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E8630A"/>
          <w:sz w:val="24"/>
          <w:szCs w:val="24"/>
        </w:rPr>
        <w:t xml:space="preserve">INDUSTRY WHITE PAPER</w:t>
      </w:r>
    </w:p>
    <w:p>
      <w:pPr>
        <w:spacing w:after="120" w:before="0"/>
      </w:pPr>
      <w:r>
        <w:rPr>
          <w:rFonts w:ascii="Arial" w:cs="Arial" w:eastAsia="Arial" w:hAnsi="Arial"/>
          <w:b/>
          <w:bCs/>
          <w:color w:val="1A1A2E"/>
          <w:sz w:val="52"/>
          <w:szCs w:val="52"/>
        </w:rPr>
        <w:t xml:space="preserve">The Physical World Has Never Had an Address.</w:t>
      </w:r>
    </w:p>
    <w:p>
      <w:pPr>
        <w:spacing w:after="200" w:before="0"/>
      </w:pPr>
      <w:r>
        <w:rPr>
          <w:rFonts w:ascii="Arial" w:cs="Arial" w:eastAsia="Arial" w:hAnsi="Arial"/>
          <w:b/>
          <w:bCs/>
          <w:color w:val="E8630A"/>
          <w:sz w:val="52"/>
          <w:szCs w:val="52"/>
        </w:rPr>
        <w:t xml:space="preserve">Until Now.</w:t>
      </w:r>
    </w:p>
    <w:p>
      <w:pPr>
        <w:spacing w:after="80" w:before="0"/>
      </w:pPr>
      <w:r>
        <w:rPr>
          <w:rFonts w:ascii="Arial" w:cs="Arial" w:eastAsia="Arial" w:hAnsi="Arial"/>
          <w:color w:val="555555"/>
          <w:sz w:val="24"/>
          <w:szCs w:val="24"/>
        </w:rPr>
        <w:t xml:space="preserve">How Harmony's Harmonic Cell Architecture Is Building the Substrate That Autonomous Systems, Spatial AI, and Human Experience All Need — From a Single Unified Foundation</w:t>
      </w:r>
    </w:p>
    <w:p>
      <w:pPr>
        <w:pBdr>
          <w:bottom w:val="single" w:color="E8630A" w:sz="4" w:space="1"/>
        </w:pBdr>
        <w:spacing w:after="200" w:before="200"/>
      </w:pPr>
      <w:r>
        <w:t xml:space="preserve"/>
      </w:r>
    </w:p>
    <w:p>
      <w:pPr>
        <w:spacing w:after="40" w:before="80"/>
      </w:pPr>
      <w:r>
        <w:rPr>
          <w:rFonts w:ascii="Arial" w:cs="Arial" w:eastAsia="Arial" w:hAnsi="Arial"/>
          <w:i/>
          <w:iCs/>
          <w:color w:val="888888"/>
          <w:sz w:val="20"/>
          <w:szCs w:val="20"/>
        </w:rPr>
        <w:t xml:space="preserve">Harmony Spatial Operating System | April 2026 | Confidential</w:t>
      </w:r>
    </w:p>
    <w:p>
      <w:r>
        <w:br w:type="page"/>
      </w:r>
    </w:p>
    <w:p>
      <w:pPr>
        <w:pStyle w:val="Heading1"/>
        <w:spacing w:after="160" w:before="400"/>
      </w:pPr>
      <w:r>
        <w:rPr>
          <w:rFonts w:ascii="Arial" w:cs="Arial" w:eastAsia="Arial" w:hAnsi="Arial"/>
          <w:b/>
          <w:bCs/>
          <w:color w:val="1A1A2E"/>
          <w:sz w:val="36"/>
          <w:szCs w:val="36"/>
        </w:rPr>
        <w:t xml:space="preserve">Executive Summary</w:t>
      </w:r>
    </w:p>
    <w:p>
      <w:pPr>
        <w:pBdr>
          <w:left w:val="single" w:color="E8630A" w:sz="12" w:space="20"/>
        </w:pBdr>
        <w:spacing w:after="160" w:before="160"/>
        <w:ind w:left="720" w:right="720"/>
      </w:pPr>
      <w:r>
        <w:rPr>
          <w:rFonts w:ascii="Arial" w:cs="Arial" w:eastAsia="Arial" w:hAnsi="Arial"/>
          <w:i/>
          <w:iCs/>
          <w:color w:val="1A1A2E"/>
          <w:sz w:val="24"/>
          <w:szCs w:val="24"/>
        </w:rPr>
        <w:t xml:space="preserve">The physical world is the largest unaddressed dataset in human history. Every building, parcel, corridor, airspace segment, and geographic feature exists without a stable, machine-readable identity that any system on Earth can query and trust. Harmony is building that identity layer — and in doing so, is building the substrate upon which the next fifty years of spatial intelligence will run.</w:t>
      </w:r>
    </w:p>
    <w:p>
      <w:pPr>
        <w:spacing w:after="80" w:before="80"/>
      </w:pPr>
      <w:r>
        <w:t xml:space="preserve"/>
      </w:r>
    </w:p>
    <w:p>
      <w:pPr>
        <w:spacing w:after="80" w:before="80"/>
      </w:pPr>
      <w:r>
        <w:rPr>
          <w:rFonts w:ascii="Arial" w:cs="Arial" w:eastAsia="Arial" w:hAnsi="Arial"/>
          <w:i w:val="false"/>
          <w:iCs w:val="false"/>
          <w:sz w:val="22"/>
          <w:szCs w:val="22"/>
        </w:rPr>
        <w:t xml:space="preserve">Three technology waves are converging simultaneously, and none of the existing platforms is architecturally positioned to serve all three:</w:t>
      </w:r>
    </w:p>
    <w:p>
      <w:pPr>
        <w:pStyle w:val="ListParagraph"/>
        <w:numPr>
          <w:ilvl w:val="0"/>
          <w:numId w:val="2"/>
        </w:numPr>
        <w:spacing w:after="60" w:before="60"/>
      </w:pPr>
      <w:r>
        <w:rPr>
          <w:rFonts w:ascii="Arial" w:cs="Arial" w:eastAsia="Arial" w:hAnsi="Arial"/>
          <w:sz w:val="22"/>
          <w:szCs w:val="22"/>
        </w:rPr>
        <w:t xml:space="preserve">Autonomous systems — vehicles, drones, robots — require real-time, machine-speed spatial context at sub-metre fidelity, GPS-independent, continuously updated</w:t>
      </w:r>
    </w:p>
    <w:p>
      <w:pPr>
        <w:pStyle w:val="ListParagraph"/>
        <w:numPr>
          <w:ilvl w:val="0"/>
          <w:numId w:val="2"/>
        </w:numPr>
        <w:spacing w:after="60" w:before="60"/>
      </w:pPr>
      <w:r>
        <w:rPr>
          <w:rFonts w:ascii="Arial" w:cs="Arial" w:eastAsia="Arial" w:hAnsi="Arial"/>
          <w:sz w:val="22"/>
          <w:szCs w:val="22"/>
        </w:rPr>
        <w:t xml:space="preserve">Spatial AI — large language models with spatial grounding, conversational interfaces that trigger spatial experiences — require a canonical address layer that resolves place names to stable, queryable identities</w:t>
      </w:r>
    </w:p>
    <w:p>
      <w:pPr>
        <w:pStyle w:val="ListParagraph"/>
        <w:numPr>
          <w:ilvl w:val="0"/>
          <w:numId w:val="2"/>
        </w:numPr>
        <w:spacing w:after="60" w:before="60"/>
      </w:pPr>
      <w:r>
        <w:rPr>
          <w:rFonts w:ascii="Arial" w:cs="Arial" w:eastAsia="Arial" w:hAnsi="Arial"/>
          <w:sz w:val="22"/>
          <w:szCs w:val="22"/>
        </w:rPr>
        <w:t xml:space="preserve">Digital twin and smart contract infrastructure — particularly for commercial real estate and infrastructure asset management — requires spatial addresses that carry temporal state, provenance, and physical field data</w:t>
      </w:r>
    </w:p>
    <w:p>
      <w:pPr>
        <w:spacing w:after="80" w:before="80"/>
      </w:pPr>
      <w:r>
        <w:t xml:space="preserve"/>
      </w:r>
    </w:p>
    <w:p>
      <w:pPr>
        <w:spacing w:after="80" w:before="80"/>
      </w:pPr>
      <w:r>
        <w:rPr>
          <w:rFonts w:ascii="Arial" w:cs="Arial" w:eastAsia="Arial" w:hAnsi="Arial"/>
          <w:i w:val="false"/>
          <w:iCs w:val="false"/>
          <w:sz w:val="22"/>
          <w:szCs w:val="22"/>
        </w:rPr>
        <w:t xml:space="preserve">Existing platforms serve at most one of these three. Google and Esri serve human visualisation. HERE and TomTom serve automotive navigation. Cesium serves 3D rendering. Nobody has built the layer beneath all of them — the universal spatial address protocol that makes physical reality as queryable as the internet.</w:t>
      </w:r>
    </w:p>
    <w:p>
      <w:pPr>
        <w:spacing w:after="80" w:before="80"/>
      </w:pPr>
      <w:r>
        <w:t xml:space="preserve"/>
      </w:r>
    </w:p>
    <w:p>
      <w:pPr>
        <w:spacing w:after="80" w:before="80"/>
      </w:pPr>
      <w:r>
        <w:rPr>
          <w:rFonts w:ascii="Arial" w:cs="Arial" w:eastAsia="Arial" w:hAnsi="Arial"/>
          <w:i w:val="false"/>
          <w:iCs w:val="false"/>
          <w:sz w:val="22"/>
          <w:szCs w:val="22"/>
        </w:rPr>
        <w:t xml:space="preserve">This paper introduces the Harmonic Cell Architecture — Harmony's theoretical framework for a spatial substrate in which the fundamental unit of representation is not a geometric primitive but a physical field object. We explain what this means, why it matters, and why the decisions being made in spatial infrastructure today will determine which platforms can participate in the spatial AI economy of 2035 and beyond.</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1. The Problem the Industry Has Not Solved</w:t>
      </w:r>
    </w:p>
    <w:p>
      <w:pPr>
        <w:pStyle w:val="Heading2"/>
        <w:spacing w:after="120" w:before="280"/>
      </w:pPr>
      <w:r>
        <w:rPr>
          <w:rFonts w:ascii="Arial" w:cs="Arial" w:eastAsia="Arial" w:hAnsi="Arial"/>
          <w:b/>
          <w:bCs/>
          <w:color w:val="E8630A"/>
          <w:sz w:val="28"/>
          <w:szCs w:val="28"/>
        </w:rPr>
        <w:t xml:space="preserve">The Tile Inheritance</w:t>
      </w:r>
    </w:p>
    <w:p>
      <w:pPr>
        <w:spacing w:after="80" w:before="80"/>
      </w:pPr>
      <w:r>
        <w:rPr>
          <w:rFonts w:ascii="Arial" w:cs="Arial" w:eastAsia="Arial" w:hAnsi="Arial"/>
          <w:i w:val="false"/>
          <w:iCs w:val="false"/>
          <w:sz w:val="22"/>
          <w:szCs w:val="22"/>
        </w:rPr>
        <w:t xml:space="preserve">Every major spatial platform you have used — Google Maps, Google Earth, ArcGIS, Cesium — shares a common ancestor: paper cartography. Maps were divided into tiles because paper had edges. That division became the digital standard because it was the model everyone knew. Thirty years later, the industry is still building on tile-based architectures, and paying the price in every loading seam, every resolution pop-in, every moment the city dissolves into blurry geometry as you zoom in.</w:t>
      </w:r>
    </w:p>
    <w:p>
      <w:pPr>
        <w:spacing w:after="80" w:before="80"/>
      </w:pPr>
      <w:r>
        <w:t xml:space="preserve"/>
      </w:r>
    </w:p>
    <w:p>
      <w:pPr>
        <w:spacing w:after="80" w:before="80"/>
      </w:pPr>
      <w:r>
        <w:rPr>
          <w:rFonts w:ascii="Arial" w:cs="Arial" w:eastAsia="Arial" w:hAnsi="Arial"/>
          <w:i w:val="false"/>
          <w:iCs w:val="false"/>
          <w:sz w:val="22"/>
          <w:szCs w:val="22"/>
        </w:rPr>
        <w:t xml:space="preserve">This is not a performance problem. It is an architectural problem. The tile is the wrong unit. And a platform built on tiles cannot become a platform that does not use tiles without a complete rebuild.</w:t>
      </w:r>
    </w:p>
    <w:p>
      <w:pPr>
        <w:pStyle w:val="Heading2"/>
        <w:spacing w:after="120" w:before="280"/>
      </w:pPr>
      <w:r>
        <w:rPr>
          <w:rFonts w:ascii="Arial" w:cs="Arial" w:eastAsia="Arial" w:hAnsi="Arial"/>
          <w:b/>
          <w:bCs/>
          <w:color w:val="E8630A"/>
          <w:sz w:val="28"/>
          <w:szCs w:val="28"/>
        </w:rPr>
        <w:t xml:space="preserve">The Separation Problem</w:t>
      </w:r>
    </w:p>
    <w:p>
      <w:pPr>
        <w:spacing w:after="80" w:before="80"/>
      </w:pPr>
      <w:r>
        <w:rPr>
          <w:rFonts w:ascii="Arial" w:cs="Arial" w:eastAsia="Arial" w:hAnsi="Arial"/>
          <w:i w:val="false"/>
          <w:iCs w:val="false"/>
          <w:sz w:val="22"/>
          <w:szCs w:val="22"/>
        </w:rPr>
        <w:t xml:space="preserve">The industry has produced two separate ecosystems that should be one. Human spatial systems — Google Maps, ArcGIS, Cesium — are designed for visual consumption. Machine spatial systems — HERE HD Maps, Mobileye's REM, robot SLAM systems — are designed for autonomous navigation. They use different data models, different formats, different update cadences, different query interfaces. There is no substrate that serves both from a single representation.</w:t>
      </w:r>
    </w:p>
    <w:p>
      <w:pPr>
        <w:spacing w:after="80" w:before="80"/>
      </w:pPr>
      <w:r>
        <w:t xml:space="preserve"/>
      </w:r>
    </w:p>
    <w:p>
      <w:pPr>
        <w:spacing w:after="80" w:before="80"/>
      </w:pPr>
      <w:r>
        <w:rPr>
          <w:rFonts w:ascii="Arial" w:cs="Arial" w:eastAsia="Arial" w:hAnsi="Arial"/>
          <w:i w:val="false"/>
          <w:iCs w:val="false"/>
          <w:sz w:val="22"/>
          <w:szCs w:val="22"/>
        </w:rPr>
        <w:t xml:space="preserve">This separation is not sustainable. Autonomous systems and human users will increasingly inhabit the same physical spaces simultaneously. The infrastructure for those spaces needs a unified representation — one that serves a drone's navigation query and a human architect's design query from the same underlying spatial record.</w:t>
      </w:r>
    </w:p>
    <w:p>
      <w:pPr>
        <w:pStyle w:val="Heading2"/>
        <w:spacing w:after="120" w:before="280"/>
      </w:pPr>
      <w:r>
        <w:rPr>
          <w:rFonts w:ascii="Arial" w:cs="Arial" w:eastAsia="Arial" w:hAnsi="Arial"/>
          <w:b/>
          <w:bCs/>
          <w:color w:val="E8630A"/>
          <w:sz w:val="28"/>
          <w:szCs w:val="28"/>
        </w:rPr>
        <w:t xml:space="preserve">The GPS Fragility Problem</w:t>
      </w:r>
    </w:p>
    <w:p>
      <w:pPr>
        <w:spacing w:after="80" w:before="80"/>
      </w:pPr>
      <w:r>
        <w:rPr>
          <w:rFonts w:ascii="Arial" w:cs="Arial" w:eastAsia="Arial" w:hAnsi="Arial"/>
          <w:i w:val="false"/>
          <w:iCs w:val="false"/>
          <w:sz w:val="22"/>
          <w:szCs w:val="22"/>
        </w:rPr>
        <w:t xml:space="preserve">The autonomous systems industry has built a trillion-dollar investment programme on the assumption that GPS is a reliable positioning reference. It is not. GPS is routinely jammed and spoofed in conflict zones. It is unreliable in urban canyons, underground, and indoors. It cannot serve the precision requirements of dense urban autonomous navigation. The industry knows this. The solution — SLAM, visual-inertial odometry, HD Maps — solves the individual robot problem but not the shared substrate problem. Every robot builds its own private map. There is no canonical record of what the world looks like that any robot can localise against.</w:t>
      </w:r>
    </w:p>
    <w:p>
      <w:pPr>
        <w:spacing w:after="80" w:before="80"/>
      </w:pPr>
      <w:r>
        <w:t xml:space="preserve"/>
      </w:r>
    </w:p>
    <w:p>
      <w:pPr>
        <w:spacing w:after="80" w:before="80"/>
      </w:pPr>
      <w:r>
        <w:rPr>
          <w:rFonts w:ascii="Arial" w:cs="Arial" w:eastAsia="Arial" w:hAnsi="Arial"/>
          <w:i w:val="false"/>
          <w:iCs w:val="false"/>
          <w:sz w:val="22"/>
          <w:szCs w:val="22"/>
        </w:rPr>
        <w:t xml:space="preserve">Harmony is building that canonical record.</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2. The Harmonic Cell — A Different Ontology</w:t>
      </w:r>
    </w:p>
    <w:p>
      <w:pPr>
        <w:spacing w:after="80" w:before="80"/>
      </w:pPr>
      <w:r>
        <w:rPr>
          <w:rFonts w:ascii="Arial" w:cs="Arial" w:eastAsia="Arial" w:hAnsi="Arial"/>
          <w:i w:val="false"/>
          <w:iCs w:val="false"/>
          <w:sz w:val="22"/>
          <w:szCs w:val="22"/>
        </w:rPr>
        <w:t xml:space="preserve">The foundational decision in any spatial platform is: what is the fundamental unit of representation?</w:t>
      </w:r>
    </w:p>
    <w:p>
      <w:pPr>
        <w:spacing w:after="80" w:before="80"/>
      </w:pPr>
      <w:r>
        <w:t xml:space="preserve"/>
      </w:r>
    </w:p>
    <w:p>
      <w:pPr>
        <w:spacing w:after="80" w:before="80"/>
      </w:pPr>
      <w:r>
        <w:rPr>
          <w:rFonts w:ascii="Arial" w:cs="Arial" w:eastAsia="Arial" w:hAnsi="Arial"/>
          <w:i w:val="false"/>
          <w:iCs w:val="false"/>
          <w:sz w:val="22"/>
          <w:szCs w:val="22"/>
        </w:rPr>
        <w:t xml:space="preserve">Every existing platform answers: geometry. A polygon. A point. A mesh. A voxel. A tile. The world is described by its shape.</w:t>
      </w:r>
    </w:p>
    <w:p>
      <w:pPr>
        <w:spacing w:after="80" w:before="80"/>
      </w:pPr>
      <w:r>
        <w:t xml:space="preserve"/>
      </w:r>
    </w:p>
    <w:p>
      <w:pPr>
        <w:spacing w:after="80" w:before="80"/>
      </w:pPr>
      <w:r>
        <w:rPr>
          <w:rFonts w:ascii="Arial" w:cs="Arial" w:eastAsia="Arial" w:hAnsi="Arial"/>
          <w:i w:val="false"/>
          <w:iCs w:val="false"/>
          <w:sz w:val="22"/>
          <w:szCs w:val="22"/>
        </w:rPr>
        <w:t xml:space="preserve">Harmony answers differently: a physical field object. The world is described by its physical state — how it interacts with light, sound, heat, and electromagnetic energy — at every point in space, at every moment in time.</w:t>
      </w:r>
    </w:p>
    <w:p>
      <w:pPr>
        <w:spacing w:after="80" w:before="80"/>
      </w:pPr>
      <w:r>
        <w:t xml:space="preserve"/>
      </w:r>
    </w:p>
    <w:p>
      <w:pPr>
        <w:pBdr>
          <w:left w:val="single" w:color="E8630A" w:sz="12" w:space="20"/>
        </w:pBdr>
        <w:spacing w:after="160" w:before="160"/>
        <w:ind w:left="720" w:right="720"/>
      </w:pPr>
      <w:r>
        <w:rPr>
          <w:rFonts w:ascii="Arial" w:cs="Arial" w:eastAsia="Arial" w:hAnsi="Arial"/>
          <w:i/>
          <w:iCs/>
          <w:color w:val="1A1A2E"/>
          <w:sz w:val="24"/>
          <w:szCs w:val="24"/>
        </w:rPr>
        <w:t xml:space="preserve">A Harmony Cell is not a container with a shape. It is a node in a physical field network — a bounded region of space whose state is described by harmonic decompositions of the physical fields that exist there.</w:t>
      </w:r>
    </w:p>
    <w:p>
      <w:pPr>
        <w:spacing w:after="80" w:before="80"/>
      </w:pPr>
      <w:r>
        <w:t xml:space="preserve"/>
      </w:r>
    </w:p>
    <w:p>
      <w:pPr>
        <w:spacing w:after="80" w:before="80"/>
      </w:pPr>
      <w:r>
        <w:rPr>
          <w:rFonts w:ascii="Arial" w:cs="Arial" w:eastAsia="Arial" w:hAnsi="Arial"/>
          <w:i w:val="false"/>
          <w:iCs w:val="false"/>
          <w:sz w:val="22"/>
          <w:szCs w:val="22"/>
        </w:rPr>
        <w:t xml:space="preserve">This is not merely a technical distinction. It is an ontological one. And it has consequences that propagate through every layer of the platform.</w:t>
      </w:r>
    </w:p>
    <w:p>
      <w:pPr>
        <w:pStyle w:val="Heading2"/>
        <w:spacing w:after="120" w:before="280"/>
      </w:pPr>
      <w:r>
        <w:rPr>
          <w:rFonts w:ascii="Arial" w:cs="Arial" w:eastAsia="Arial" w:hAnsi="Arial"/>
          <w:b/>
          <w:bCs/>
          <w:color w:val="E8630A"/>
          <w:sz w:val="28"/>
          <w:szCs w:val="28"/>
        </w:rPr>
        <w:t xml:space="preserve">What Spherical Harmonics Encode</w:t>
      </w:r>
    </w:p>
    <w:p>
      <w:pPr>
        <w:spacing w:after="80" w:before="80"/>
      </w:pPr>
      <w:r>
        <w:rPr>
          <w:rFonts w:ascii="Arial" w:cs="Arial" w:eastAsia="Arial" w:hAnsi="Arial"/>
          <w:i w:val="false"/>
          <w:iCs w:val="false"/>
          <w:sz w:val="22"/>
          <w:szCs w:val="22"/>
        </w:rPr>
        <w:t xml:space="preserve">Spherical harmonics are a 250-year-old mathematical framework for describing any phenomenon that varies with direction in three-dimensional space. They are the 3D equivalent of the Fourier series — a way of decomposing complex directional patterns into simple basis functions.</w:t>
      </w:r>
    </w:p>
    <w:p>
      <w:pPr>
        <w:spacing w:after="80" w:before="80"/>
      </w:pPr>
      <w:r>
        <w:t xml:space="preserve"/>
      </w:r>
    </w:p>
    <w:p>
      <w:pPr>
        <w:spacing w:after="80" w:before="80"/>
      </w:pPr>
      <w:r>
        <w:rPr>
          <w:rFonts w:ascii="Arial" w:cs="Arial" w:eastAsia="Arial" w:hAnsi="Arial"/>
          <w:i w:val="false"/>
          <w:iCs w:val="false"/>
          <w:sz w:val="22"/>
          <w:szCs w:val="22"/>
        </w:rPr>
        <w:t xml:space="preserve">They appear in spatial computing today because Gaussian splatting — the breakthrough rendering technology introduced in 2023 — uses them to encode how the apparent colour of each volumetric element changes depending on the viewing direction. This encodes, in compact mathematical form, the surface reflectance properties of real physical matter.</w:t>
      </w:r>
    </w:p>
    <w:p>
      <w:pPr>
        <w:spacing w:after="80" w:before="80"/>
      </w:pPr>
      <w:r>
        <w:t xml:space="preserve"/>
      </w:r>
    </w:p>
    <w:p>
      <w:pPr>
        <w:spacing w:after="80" w:before="80"/>
      </w:pPr>
      <w:r>
        <w:rPr>
          <w:rFonts w:ascii="Arial" w:cs="Arial" w:eastAsia="Arial" w:hAnsi="Arial"/>
          <w:i w:val="false"/>
          <w:iCs w:val="false"/>
          <w:sz w:val="22"/>
          <w:szCs w:val="22"/>
        </w:rPr>
        <w:t xml:space="preserve">What the rendering community has not yet fully absorbed: these coefficients are physical measurements, not rendering parameters. They describe how matter at a given location in space interacts with electromagnetic radiation. And the same mathematical framework that describes light interaction also describes acoustic propagation, thermal radiation, and electromagnetic field distribution — because all of these are wave phenomena governed by the same differential geometry.</w:t>
      </w:r>
    </w:p>
    <w:p>
      <w:pPr>
        <w:spacing w:after="80" w:before="80"/>
      </w:pPr>
      <w:r>
        <w:t xml:space="preserve"/>
      </w:r>
    </w:p>
    <w:p>
      <w:pPr>
        <w:spacing w:after="80" w:before="80"/>
      </w:pPr>
      <w:r>
        <w:rPr>
          <w:rFonts w:ascii="Arial" w:cs="Arial" w:eastAsia="Arial" w:hAnsi="Arial"/>
          <w:i w:val="false"/>
          <w:iCs w:val="false"/>
          <w:sz w:val="22"/>
          <w:szCs w:val="22"/>
        </w:rPr>
        <w:t xml:space="preserve">A Harmony Cell that carries spherical harmonic coefficients for multiple physical field types — visual radiance, acoustic pressure, thermal radiation — is not a rendering asset with extra data attached. It is a physical model of a location in space. The rendering is one projection of that model. The navigation geometry is another. The material properties are a third. All derived from the same underlying harmonic field description.</w:t>
      </w:r>
    </w:p>
    <w:p>
      <w:pPr>
        <w:pStyle w:val="Heading2"/>
        <w:spacing w:after="120" w:before="280"/>
      </w:pPr>
      <w:r>
        <w:rPr>
          <w:rFonts w:ascii="Arial" w:cs="Arial" w:eastAsia="Arial" w:hAnsi="Arial"/>
          <w:b/>
          <w:bCs/>
          <w:color w:val="E8630A"/>
          <w:sz w:val="28"/>
          <w:szCs w:val="28"/>
        </w:rPr>
        <w:t xml:space="preserve">Why This Changes Everything for Machine Intelligence</w:t>
      </w:r>
    </w:p>
    <w:p>
      <w:pPr>
        <w:spacing w:after="80" w:before="80"/>
      </w:pPr>
      <w:r>
        <w:rPr>
          <w:rFonts w:ascii="Arial" w:cs="Arial" w:eastAsia="Arial" w:hAnsi="Arial"/>
          <w:i w:val="false"/>
          <w:iCs w:val="false"/>
          <w:sz w:val="22"/>
          <w:szCs w:val="22"/>
        </w:rPr>
        <w:t xml:space="preserve">A machine learning system trained on geometric representations of the world learns the appearance of things. It can recognise what a concrete wall looks like. It cannot reason about its acoustic absorption properties, its thermal mass, its structural response to load.</w:t>
      </w:r>
    </w:p>
    <w:p>
      <w:pPr>
        <w:spacing w:after="80" w:before="80"/>
      </w:pPr>
      <w:r>
        <w:t xml:space="preserve"/>
      </w:r>
    </w:p>
    <w:p>
      <w:pPr>
        <w:spacing w:after="80" w:before="80"/>
      </w:pPr>
      <w:r>
        <w:rPr>
          <w:rFonts w:ascii="Arial" w:cs="Arial" w:eastAsia="Arial" w:hAnsi="Arial"/>
          <w:i w:val="false"/>
          <w:iCs w:val="false"/>
          <w:sz w:val="22"/>
          <w:szCs w:val="22"/>
        </w:rPr>
        <w:t xml:space="preserve">A machine learning system trained on harmonic field representations of the world learns the physical behaviour of things. It understands materials, not just appearances. It can predict how a space will sound before it is built, detect structural degradation from field anomalies, or determine whether a surface is traversable from its reflectance properties — not from an explicit label.</w:t>
      </w:r>
    </w:p>
    <w:p>
      <w:pPr>
        <w:spacing w:after="80" w:before="80"/>
      </w:pPr>
      <w:r>
        <w:t xml:space="preserve"/>
      </w:r>
    </w:p>
    <w:p>
      <w:pPr>
        <w:spacing w:after="80" w:before="80"/>
      </w:pPr>
      <w:r>
        <w:rPr>
          <w:rFonts w:ascii="Arial" w:cs="Arial" w:eastAsia="Arial" w:hAnsi="Arial"/>
          <w:i w:val="false"/>
          <w:iCs w:val="false"/>
          <w:sz w:val="22"/>
          <w:szCs w:val="22"/>
        </w:rPr>
        <w:t xml:space="preserve">This is the difference between a map that tells you what a space looks like and a substrate that tells you what a space is.</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3. Competitive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1872"/>
        <w:gridCol w:w="1404"/>
      </w:tblGrid>
      <w:tr>
        <w:tc>
          <w:tcPr>
            <w:tcW w:type="dxa" w:w="2340"/>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1872"/>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Addressing layer</w:t>
            </w:r>
          </w:p>
        </w:tc>
        <w:tc>
          <w:tcPr>
            <w:tcW w:type="dxa" w:w="1872"/>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Temporal model</w:t>
            </w:r>
          </w:p>
        </w:tc>
        <w:tc>
          <w:tcPr>
            <w:tcW w:type="dxa" w:w="1872"/>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Machine-speed queries</w:t>
            </w:r>
          </w:p>
        </w:tc>
        <w:tc>
          <w:tcPr>
            <w:tcW w:type="dxa" w:w="1404"/>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Multi-field physical data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Google Maps / Earth Engine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Tile-based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Esri / ArcGIS</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Feature-based</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Versioning (limited)</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HERE HD Maps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Lane-level geometry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Periodic update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(automotive)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Cesium / 3D Tiles</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3D asset store</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None</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Overture Maps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Feature ID (open)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Harmony (current)</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Canonical cell + entity</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Bitemporal (reserved)</w:t>
            </w:r>
          </w:p>
        </w:tc>
        <w:tc>
          <w:tcPr>
            <w:tcW w:type="dxa" w:w="1872"/>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Roadmap</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Roadmap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Harmony (harmonic target)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Harmonic Cell — field object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Bitemporal — field archive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field query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Yes — multi-field</w:t>
            </w:r>
          </w:p>
        </w:tc>
      </w:tr>
    </w:tbl>
    <w:p>
      <w:pPr>
        <w:spacing w:after="80" w:before="80"/>
      </w:pPr>
      <w:r>
        <w:t xml:space="preserve"/>
      </w:r>
    </w:p>
    <w:p>
      <w:pPr>
        <w:spacing w:after="80" w:before="80"/>
      </w:pPr>
      <w:r>
        <w:rPr>
          <w:rFonts w:ascii="Arial" w:cs="Arial" w:eastAsia="Arial" w:hAnsi="Arial"/>
          <w:i w:val="false"/>
          <w:iCs w:val="false"/>
          <w:sz w:val="22"/>
          <w:szCs w:val="22"/>
        </w:rPr>
        <w:t xml:space="preserve">No existing platform is on a trajectory toward the harmonic field architecture. The architectural decisions required to get there — custom spatial indexing, temporal versioning from day one, dual-fidelity representation, machine-speed query design — are all decisions that Harmony has already made and that existing platforms cannot make without complete rebuilds.</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4. Commercial Applications — Near and Far</w:t>
      </w:r>
    </w:p>
    <w:p>
      <w:pPr>
        <w:pStyle w:val="Heading2"/>
        <w:spacing w:after="120" w:before="280"/>
      </w:pPr>
      <w:r>
        <w:rPr>
          <w:rFonts w:ascii="Arial" w:cs="Arial" w:eastAsia="Arial" w:hAnsi="Arial"/>
          <w:b/>
          <w:bCs/>
          <w:color w:val="E8630A"/>
          <w:sz w:val="28"/>
          <w:szCs w:val="28"/>
        </w:rPr>
        <w:t xml:space="preserve">Near Term: Commercial Real Estate</w:t>
      </w:r>
    </w:p>
    <w:p>
      <w:pPr>
        <w:spacing w:after="80" w:before="80"/>
      </w:pPr>
      <w:r>
        <w:rPr>
          <w:rFonts w:ascii="Arial" w:cs="Arial" w:eastAsia="Arial" w:hAnsi="Arial"/>
          <w:i w:val="false"/>
          <w:iCs w:val="false"/>
          <w:sz w:val="22"/>
          <w:szCs w:val="22"/>
        </w:rPr>
        <w:t xml:space="preserve">The first commercial application is Reagent — an AI-powered platform for commercial real estate built on the Harmony substrate. The value proposition is specific: give a buyer the experience of standing in an asset before committing to a site visit, at a fidelity that moves institutional conviction.</w:t>
      </w:r>
    </w:p>
    <w:p>
      <w:pPr>
        <w:spacing w:after="80" w:before="80"/>
      </w:pPr>
      <w:r>
        <w:t xml:space="preserve"/>
      </w:r>
    </w:p>
    <w:p>
      <w:pPr>
        <w:spacing w:after="80" w:before="80"/>
      </w:pPr>
      <w:r>
        <w:rPr>
          <w:rFonts w:ascii="Arial" w:cs="Arial" w:eastAsia="Arial" w:hAnsi="Arial"/>
          <w:i w:val="false"/>
          <w:iCs w:val="false"/>
          <w:sz w:val="22"/>
          <w:szCs w:val="22"/>
        </w:rPr>
        <w:t xml:space="preserve">The harmonic field architecture adds a layer that no existing real estate platform offers: acoustic, thermal, and daylighting field data for commercial assets. An institutional buyer evaluating a $50M office building can query the daylighting quality of the top floor, the acoustic performance of the trading floor, the thermal efficiency of the envelope — from the spatial substrate, before engaging a specialist consultant. This is a new category of due diligence capability.</w:t>
      </w:r>
    </w:p>
    <w:p>
      <w:pPr>
        <w:spacing w:after="80" w:before="80"/>
      </w:pPr>
      <w:r>
        <w:t xml:space="preserve"/>
      </w:r>
    </w:p>
    <w:p>
      <w:pPr>
        <w:spacing w:after="80" w:before="80"/>
      </w:pPr>
      <w:r>
        <w:rPr>
          <w:rFonts w:ascii="Arial" w:cs="Arial" w:eastAsia="Arial" w:hAnsi="Arial"/>
          <w:i w:val="false"/>
          <w:iCs w:val="false"/>
          <w:sz w:val="22"/>
          <w:szCs w:val="22"/>
        </w:rPr>
        <w:t xml:space="preserve">The smart contract integration — where temporal field state changes trigger automated contract conditions — is the long-term commercial model for asset transactions conducted at the speed and confidence of physical field truth.</w:t>
      </w:r>
    </w:p>
    <w:p>
      <w:pPr>
        <w:pStyle w:val="Heading2"/>
        <w:spacing w:after="120" w:before="280"/>
      </w:pPr>
      <w:r>
        <w:rPr>
          <w:rFonts w:ascii="Arial" w:cs="Arial" w:eastAsia="Arial" w:hAnsi="Arial"/>
          <w:b/>
          <w:bCs/>
          <w:color w:val="E8630A"/>
          <w:sz w:val="28"/>
          <w:szCs w:val="28"/>
        </w:rPr>
        <w:t xml:space="preserve">Medium Term: Autonomous Systems Infrastructure</w:t>
      </w:r>
    </w:p>
    <w:p>
      <w:pPr>
        <w:spacing w:after="80" w:before="80"/>
      </w:pPr>
      <w:r>
        <w:rPr>
          <w:rFonts w:ascii="Arial" w:cs="Arial" w:eastAsia="Arial" w:hAnsi="Arial"/>
          <w:i w:val="false"/>
          <w:iCs w:val="false"/>
          <w:sz w:val="22"/>
          <w:szCs w:val="22"/>
        </w:rPr>
        <w:t xml:space="preserve">The GPS-free navigation substrate is the durable commercial moat. Every autonomous vehicle, drone, and robot that needs to navigate reliably in GPS-denied environments — indoors, underground, urban canyons, contested electromagnetic environments — is a potential customer for machine-speed Harmony Cell queries.</w:t>
      </w:r>
    </w:p>
    <w:p>
      <w:pPr>
        <w:spacing w:after="80" w:before="80"/>
      </w:pPr>
      <w:r>
        <w:t xml:space="preserve"/>
      </w:r>
    </w:p>
    <w:p>
      <w:pPr>
        <w:spacing w:after="80" w:before="80"/>
      </w:pPr>
      <w:r>
        <w:rPr>
          <w:rFonts w:ascii="Arial" w:cs="Arial" w:eastAsia="Arial" w:hAnsi="Arial"/>
          <w:i w:val="false"/>
          <w:iCs w:val="false"/>
          <w:sz w:val="22"/>
          <w:szCs w:val="22"/>
        </w:rPr>
        <w:t xml:space="preserve">The harmonic field architecture adds sensor fusion capability: a navigation system that can query not just the visual geometry of a space but its acoustic and electromagnetic field signatures has multiple independent modalities for localisation. This is the architecture that makes truly robust GPS-free navigation possible.</w:t>
      </w:r>
    </w:p>
    <w:p>
      <w:pPr>
        <w:pStyle w:val="Heading2"/>
        <w:spacing w:after="120" w:before="280"/>
      </w:pPr>
      <w:r>
        <w:rPr>
          <w:rFonts w:ascii="Arial" w:cs="Arial" w:eastAsia="Arial" w:hAnsi="Arial"/>
          <w:b/>
          <w:bCs/>
          <w:color w:val="E8630A"/>
          <w:sz w:val="28"/>
          <w:szCs w:val="28"/>
        </w:rPr>
        <w:t xml:space="preserve">Long Term: The Physical World Model</w:t>
      </w:r>
    </w:p>
    <w:p>
      <w:pPr>
        <w:spacing w:after="80" w:before="80"/>
      </w:pPr>
      <w:r>
        <w:rPr>
          <w:rFonts w:ascii="Arial" w:cs="Arial" w:eastAsia="Arial" w:hAnsi="Arial"/>
          <w:i w:val="false"/>
          <w:iCs w:val="false"/>
          <w:sz w:val="22"/>
          <w:szCs w:val="22"/>
        </w:rPr>
        <w:t xml:space="preserve">By 2035-2040, with quantum compute available at practical scale, the Harmonic Cell substrate becomes something that has never existed: a continuously updated, physically grounded, multi-field model of the entire observable physical world. Not a map. Not a digital twin of selected assets. A living physical model, queryable at any spatial and temporal resolution, serving the full spectrum from individual human spatial experience to planetary-scale machine intelligence.</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5. The Window</w:t>
      </w:r>
    </w:p>
    <w:p>
      <w:pPr>
        <w:spacing w:after="80" w:before="80"/>
      </w:pPr>
      <w:r>
        <w:rPr>
          <w:rFonts w:ascii="Arial" w:cs="Arial" w:eastAsia="Arial" w:hAnsi="Arial"/>
          <w:i w:val="false"/>
          <w:iCs w:val="false"/>
          <w:sz w:val="22"/>
          <w:szCs w:val="22"/>
        </w:rPr>
        <w:t xml:space="preserve">The decisions that determine which platforms can participate in the spatial AI economy of 2035 are being made now, in 2026. The substrate — the addressing layer, the identity model, the temporal architecture, the field representation framework — has to be designed correctly before the data accumulates. You cannot change the foundation after the building is built.</w:t>
      </w:r>
    </w:p>
    <w:p>
      <w:pPr>
        <w:spacing w:after="80" w:before="80"/>
      </w:pPr>
      <w:r>
        <w:t xml:space="preserve"/>
      </w:r>
    </w:p>
    <w:p>
      <w:pPr>
        <w:spacing w:after="80" w:before="80"/>
      </w:pPr>
      <w:r>
        <w:rPr>
          <w:rFonts w:ascii="Arial" w:cs="Arial" w:eastAsia="Arial" w:hAnsi="Arial"/>
          <w:i w:val="false"/>
          <w:iCs w:val="false"/>
          <w:sz w:val="22"/>
          <w:szCs w:val="22"/>
        </w:rPr>
        <w:t xml:space="preserve">Harmony is the only platform currently making all of the foundational decisions correctly, simultaneously, with the long horizon visible in every near-term architectural choice.</w:t>
      </w:r>
    </w:p>
    <w:p>
      <w:pPr>
        <w:spacing w:after="80" w:before="80"/>
      </w:pPr>
      <w:r>
        <w:t xml:space="preserve"/>
      </w:r>
    </w:p>
    <w:p>
      <w:pPr>
        <w:pBdr>
          <w:left w:val="single" w:color="E8630A" w:sz="12" w:space="20"/>
        </w:pBdr>
        <w:spacing w:after="160" w:before="160"/>
        <w:ind w:left="720" w:right="720"/>
      </w:pPr>
      <w:r>
        <w:rPr>
          <w:rFonts w:ascii="Arial" w:cs="Arial" w:eastAsia="Arial" w:hAnsi="Arial"/>
          <w:i/>
          <w:iCs/>
          <w:color w:val="1A1A2E"/>
          <w:sz w:val="24"/>
          <w:szCs w:val="24"/>
        </w:rPr>
        <w:t xml:space="preserve">Leading edge is not the most advanced technology. Leading edge is solving a problem in a way nobody else thought to solve it. Harmony is building the substrate that physical reality never had — not by doing what existing platforms do better, but by asking a different question about what the fundamental unit of spatial representation should be.</w:t>
      </w:r>
    </w:p>
    <w:p>
      <w:pPr>
        <w:spacing w:after="80" w:before="80"/>
      </w:pPr>
      <w:r>
        <w:t xml:space="preserve"/>
      </w:r>
    </w:p>
    <w:p>
      <w:pPr>
        <w:spacing w:after="80" w:before="80"/>
      </w:pPr>
      <w:r>
        <w:rPr>
          <w:rFonts w:ascii="Arial" w:cs="Arial" w:eastAsia="Arial" w:hAnsi="Arial"/>
          <w:i w:val="false"/>
          <w:iCs w:val="false"/>
          <w:sz w:val="22"/>
          <w:szCs w:val="22"/>
        </w:rPr>
        <w:t xml:space="preserve">The answer is a Harmonic Cell. And the company building it was named correctly from the beginning.</w:t>
      </w:r>
    </w:p>
    <w:p>
      <w:pPr>
        <w:pBdr>
          <w:bottom w:val="single" w:color="E8630A" w:sz="4" w:space="1"/>
        </w:pBdr>
        <w:spacing w:after="200" w:before="200"/>
      </w:pPr>
      <w:r>
        <w:t xml:space="preserve"/>
      </w:r>
    </w:p>
    <w:p>
      <w:pPr>
        <w:spacing w:after="80" w:before="80"/>
      </w:pPr>
      <w:r>
        <w:rPr>
          <w:rFonts w:ascii="Arial" w:cs="Arial" w:eastAsia="Arial" w:hAnsi="Arial"/>
          <w:color w:val="AAAAAA"/>
          <w:sz w:val="18"/>
          <w:szCs w:val="18"/>
        </w:rPr>
        <w:t xml:space="preserve">For partnership, investment, or pilot programme enquiries: Harmony Spatial Operating System | April 2026</w:t>
      </w:r>
    </w:p>
    <w:p>
      <w:r>
        <w:br w:type="page"/>
      </w:r>
    </w:p>
    <w:p>
      <w:pPr>
        <w:spacing w:after="80" w:before="400"/>
      </w:pPr>
      <w:r>
        <w:rPr>
          <w:rFonts w:ascii="Arial" w:cs="Arial" w:eastAsia="Arial" w:hAnsi="Arial"/>
          <w:b/>
          <w:bCs/>
          <w:color w:val="888888"/>
          <w:sz w:val="24"/>
          <w:szCs w:val="24"/>
        </w:rPr>
        <w:t xml:space="preserve">HARMONY SPATIAL OPERATING SYSTEM</w:t>
      </w:r>
    </w:p>
    <w:p>
      <w:pPr>
        <w:spacing w:after="120" w:before="0"/>
      </w:pPr>
      <w:r>
        <w:rPr>
          <w:rFonts w:ascii="Arial" w:cs="Arial" w:eastAsia="Arial" w:hAnsi="Arial"/>
          <w:b/>
          <w:bCs/>
          <w:color w:val="1A1A2E"/>
          <w:sz w:val="44"/>
          <w:szCs w:val="44"/>
        </w:rPr>
        <w:t xml:space="preserve">Harmonic Cell Initiative — Internal Programme Brief</w:t>
      </w:r>
    </w:p>
    <w:p>
      <w:pPr>
        <w:spacing w:after="80" w:before="0"/>
      </w:pPr>
      <w:r>
        <w:rPr>
          <w:rFonts w:ascii="Arial" w:cs="Arial" w:eastAsia="Arial" w:hAnsi="Arial"/>
          <w:color w:val="555555"/>
          <w:sz w:val="22"/>
          <w:szCs w:val="22"/>
        </w:rPr>
        <w:t xml:space="preserve">Complete Innovation and Invention Record | Research Team Charter | Architecture Directives</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A. Innovation and Invention Record</w:t>
      </w:r>
    </w:p>
    <w:p>
      <w:pPr>
        <w:spacing w:after="80" w:before="80"/>
      </w:pPr>
      <w:r>
        <w:rPr>
          <w:rFonts w:ascii="Arial" w:cs="Arial" w:eastAsia="Arial" w:hAnsi="Arial"/>
          <w:i w:val="false"/>
          <w:iCs w:val="false"/>
          <w:sz w:val="22"/>
          <w:szCs w:val="22"/>
        </w:rPr>
        <w:t xml:space="preserve">This section formally documents the innovations and inventions developed in the Harmonic Cell Initiative founding session. These are the intellectual assets that form the basis of the patent filing strategy and the research programme.</w:t>
      </w:r>
    </w:p>
    <w:p>
      <w:pPr>
        <w:spacing w:after="80" w:before="80"/>
      </w:pPr>
      <w:r>
        <w:t xml:space="preserve"/>
      </w:r>
    </w:p>
    <w:p>
      <w:pPr>
        <w:pStyle w:val="Heading2"/>
        <w:spacing w:after="120" w:before="280"/>
      </w:pPr>
      <w:r>
        <w:rPr>
          <w:rFonts w:ascii="Arial" w:cs="Arial" w:eastAsia="Arial" w:hAnsi="Arial"/>
          <w:b/>
          <w:bCs/>
          <w:color w:val="E8630A"/>
          <w:sz w:val="28"/>
          <w:szCs w:val="28"/>
        </w:rPr>
        <w:t xml:space="preserve">Innovation 1 — The Harmonic Cell as a Fundamental Spatial Unit</w:t>
      </w:r>
    </w:p>
    <w:p>
      <w:pPr>
        <w:spacing w:after="80" w:before="80"/>
      </w:pPr>
      <w:r>
        <w:rPr>
          <w:rFonts w:ascii="Arial" w:cs="Arial" w:eastAsia="Arial" w:hAnsi="Arial"/>
          <w:i w:val="false"/>
          <w:iCs w:val="false"/>
          <w:sz w:val="22"/>
          <w:szCs w:val="22"/>
        </w:rPr>
        <w:t xml:space="preserve">The proposal to replace geometric primitives (polygons, meshes, point clouds, Gaussian splats) with harmonic field objects as the fundamental unit of spatial representation. A Harmonic Cell is defined by spherical harmonic decompositions of physical fields at a location — not by its shape. This is a foundational ontological inversion relative to all existing spatial platforms.</w:t>
      </w:r>
    </w:p>
    <w:p>
      <w:pPr>
        <w:spacing w:after="80" w:before="80"/>
      </w:pPr>
      <w:r>
        <w:rPr>
          <w:rFonts w:ascii="Arial" w:cs="Arial" w:eastAsia="Arial" w:hAnsi="Arial"/>
          <w:b/>
          <w:bCs/>
          <w:sz w:val="22"/>
          <w:szCs w:val="22"/>
        </w:rPr>
        <w:t xml:space="preserve">IP Status: </w:t>
      </w:r>
      <w:r>
        <w:rPr>
          <w:rFonts w:ascii="Arial" w:cs="Arial" w:eastAsia="Arial" w:hAnsi="Arial"/>
          <w:color w:val="C0392B"/>
          <w:sz w:val="22"/>
          <w:szCs w:val="22"/>
        </w:rPr>
        <w:t xml:space="preserve">Priority patent filing recommended. Novel, non-obvious, architecturally significant.</w:t>
      </w:r>
    </w:p>
    <w:p>
      <w:pPr>
        <w:pStyle w:val="Heading2"/>
        <w:spacing w:after="120" w:before="280"/>
      </w:pPr>
      <w:r>
        <w:rPr>
          <w:rFonts w:ascii="Arial" w:cs="Arial" w:eastAsia="Arial" w:hAnsi="Arial"/>
          <w:b/>
          <w:bCs/>
          <w:color w:val="E8630A"/>
          <w:sz w:val="28"/>
          <w:szCs w:val="28"/>
        </w:rPr>
        <w:t xml:space="preserve">Innovation 2 — Multi-Field Harmonic Cell Architecture</w:t>
      </w:r>
    </w:p>
    <w:p>
      <w:pPr>
        <w:spacing w:after="80" w:before="80"/>
      </w:pPr>
      <w:r>
        <w:rPr>
          <w:rFonts w:ascii="Arial" w:cs="Arial" w:eastAsia="Arial" w:hAnsi="Arial"/>
          <w:i w:val="false"/>
          <w:iCs w:val="false"/>
          <w:sz w:val="22"/>
          <w:szCs w:val="22"/>
        </w:rPr>
        <w:t xml:space="preserve">The extension of spherical harmonic encoding beyond visible radiance (currently used in Gaussian splatting) to acoustic, thermal, and electromagnetic fields within a single unified cell object. The mathematical identity between these field types — all are wave phenomena governed by the same differential geometry — enables a single representation framework to carry all of them simultaneously.</w:t>
      </w:r>
    </w:p>
    <w:p>
      <w:pPr>
        <w:spacing w:after="80" w:before="80"/>
      </w:pPr>
      <w:r>
        <w:rPr>
          <w:rFonts w:ascii="Arial" w:cs="Arial" w:eastAsia="Arial" w:hAnsi="Arial"/>
          <w:b/>
          <w:bCs/>
          <w:sz w:val="22"/>
          <w:szCs w:val="22"/>
        </w:rPr>
        <w:t xml:space="preserve">IP Status: </w:t>
      </w:r>
      <w:r>
        <w:rPr>
          <w:rFonts w:ascii="Arial" w:cs="Arial" w:eastAsia="Arial" w:hAnsi="Arial"/>
          <w:color w:val="C0392B"/>
          <w:sz w:val="22"/>
          <w:szCs w:val="22"/>
        </w:rPr>
        <w:t xml:space="preserve">Priority patent filing recommended. Application to spatial substrates is novel.</w:t>
      </w:r>
    </w:p>
    <w:p>
      <w:pPr>
        <w:pStyle w:val="Heading2"/>
        <w:spacing w:after="120" w:before="280"/>
      </w:pPr>
      <w:r>
        <w:rPr>
          <w:rFonts w:ascii="Arial" w:cs="Arial" w:eastAsia="Arial" w:hAnsi="Arial"/>
          <w:b/>
          <w:bCs/>
          <w:color w:val="E8630A"/>
          <w:sz w:val="28"/>
          <w:szCs w:val="28"/>
        </w:rPr>
        <w:t xml:space="preserve">Innovation 3 — The Temporal Harmonic Archive</w:t>
      </w:r>
    </w:p>
    <w:p>
      <w:pPr>
        <w:spacing w:after="80" w:before="80"/>
      </w:pPr>
      <w:r>
        <w:rPr>
          <w:rFonts w:ascii="Arial" w:cs="Arial" w:eastAsia="Arial" w:hAnsi="Arial"/>
          <w:i w:val="false"/>
          <w:iCs w:val="false"/>
          <w:sz w:val="22"/>
          <w:szCs w:val="22"/>
        </w:rPr>
        <w:t xml:space="preserve">The combination of bitemporal versioning (already in Harmony's schema layer) with harmonic field states to produce a physically grounded archive of measurable reality. Versioned harmonic field states are not a database of facts — they are a database of physical measurements, with the epistemic properties of measurement rather than assertion.</w:t>
      </w:r>
    </w:p>
    <w:p>
      <w:pPr>
        <w:spacing w:after="80" w:before="80"/>
      </w:pPr>
      <w:r>
        <w:rPr>
          <w:rFonts w:ascii="Arial" w:cs="Arial" w:eastAsia="Arial" w:hAnsi="Arial"/>
          <w:b/>
          <w:bCs/>
          <w:sz w:val="22"/>
          <w:szCs w:val="22"/>
        </w:rPr>
        <w:t xml:space="preserve">IP Status: </w:t>
      </w:r>
      <w:r>
        <w:rPr>
          <w:rFonts w:ascii="Arial" w:cs="Arial" w:eastAsia="Arial" w:hAnsi="Arial"/>
          <w:color w:val="C0392B"/>
          <w:sz w:val="22"/>
          <w:szCs w:val="22"/>
        </w:rPr>
        <w:t xml:space="preserve">Strong patent position when combined with Harmony Cell identity system.</w:t>
      </w:r>
    </w:p>
    <w:p>
      <w:pPr>
        <w:pStyle w:val="Heading2"/>
        <w:spacing w:after="120" w:before="280"/>
      </w:pPr>
      <w:r>
        <w:rPr>
          <w:rFonts w:ascii="Arial" w:cs="Arial" w:eastAsia="Arial" w:hAnsi="Arial"/>
          <w:b/>
          <w:bCs/>
          <w:color w:val="E8630A"/>
          <w:sz w:val="28"/>
          <w:szCs w:val="28"/>
        </w:rPr>
        <w:t xml:space="preserve">Innovation 4 — Gaussian-to-Knowledge Extraction Pipeline</w:t>
      </w:r>
    </w:p>
    <w:p>
      <w:pPr>
        <w:spacing w:after="80" w:before="80"/>
      </w:pPr>
      <w:r>
        <w:rPr>
          <w:rFonts w:ascii="Arial" w:cs="Arial" w:eastAsia="Arial" w:hAnsi="Arial"/>
          <w:i w:val="false"/>
          <w:iCs w:val="false"/>
          <w:sz w:val="22"/>
          <w:szCs w:val="22"/>
        </w:rPr>
        <w:t xml:space="preserve">The extraction of physical knowledge (material properties, structural characteristics, change detection signatures) from Gaussian splat coefficient distributions. Treating Gaussian parameters as physical measurements rather than rendering parameters — enabling material classification, structural integrity inference, and temporal change detection from splat data alone.</w:t>
      </w:r>
    </w:p>
    <w:p>
      <w:pPr>
        <w:spacing w:after="80" w:before="80"/>
      </w:pPr>
      <w:r>
        <w:rPr>
          <w:rFonts w:ascii="Arial" w:cs="Arial" w:eastAsia="Arial" w:hAnsi="Arial"/>
          <w:b/>
          <w:bCs/>
          <w:sz w:val="22"/>
          <w:szCs w:val="22"/>
        </w:rPr>
        <w:t xml:space="preserve">IP Status: </w:t>
      </w:r>
      <w:r>
        <w:rPr>
          <w:rFonts w:ascii="Arial" w:cs="Arial" w:eastAsia="Arial" w:hAnsi="Arial"/>
          <w:color w:val="C0392B"/>
          <w:sz w:val="22"/>
          <w:szCs w:val="22"/>
        </w:rPr>
        <w:t xml:space="preserve">Provisional patent recommended before research prototype is published.</w:t>
      </w:r>
    </w:p>
    <w:p>
      <w:pPr>
        <w:pStyle w:val="Heading2"/>
        <w:spacing w:after="120" w:before="280"/>
      </w:pPr>
      <w:r>
        <w:rPr>
          <w:rFonts w:ascii="Arial" w:cs="Arial" w:eastAsia="Arial" w:hAnsi="Arial"/>
          <w:b/>
          <w:bCs/>
          <w:color w:val="E8630A"/>
          <w:sz w:val="28"/>
          <w:szCs w:val="28"/>
        </w:rPr>
        <w:t xml:space="preserve">Innovation 5 — Quantum-Compatible Spatial Substrate Design</w:t>
      </w:r>
    </w:p>
    <w:p>
      <w:pPr>
        <w:spacing w:after="80" w:before="80"/>
      </w:pPr>
      <w:r>
        <w:rPr>
          <w:rFonts w:ascii="Arial" w:cs="Arial" w:eastAsia="Arial" w:hAnsi="Arial"/>
          <w:i w:val="false"/>
          <w:iCs w:val="false"/>
          <w:sz w:val="22"/>
          <w:szCs w:val="22"/>
        </w:rPr>
        <w:t xml:space="preserve">The architectural insight that a harmonic field substrate is natively compatible with quantum computational paradigms — because harmonic field operations (coupled field simulation, coefficient optimisation, temporal interpolation) are the natural operations of quantum computation. The design directive to ensure substrate architecture does not foreclose quantum acceleration.</w:t>
      </w:r>
    </w:p>
    <w:p>
      <w:pPr>
        <w:spacing w:after="80" w:before="80"/>
      </w:pPr>
      <w:r>
        <w:rPr>
          <w:rFonts w:ascii="Arial" w:cs="Arial" w:eastAsia="Arial" w:hAnsi="Arial"/>
          <w:b/>
          <w:bCs/>
          <w:sz w:val="22"/>
          <w:szCs w:val="22"/>
        </w:rPr>
        <w:t xml:space="preserve">IP Status: </w:t>
      </w:r>
      <w:r>
        <w:rPr>
          <w:rFonts w:ascii="Arial" w:cs="Arial" w:eastAsia="Arial" w:hAnsi="Arial"/>
          <w:color w:val="C0392B"/>
          <w:sz w:val="22"/>
          <w:szCs w:val="22"/>
        </w:rPr>
        <w:t xml:space="preserve">Document as architectural principle. Patent specific implementations when quantum integration begins.</w:t>
      </w:r>
    </w:p>
    <w:p>
      <w:pPr>
        <w:pStyle w:val="Heading2"/>
        <w:spacing w:after="120" w:before="280"/>
      </w:pPr>
      <w:r>
        <w:rPr>
          <w:rFonts w:ascii="Arial" w:cs="Arial" w:eastAsia="Arial" w:hAnsi="Arial"/>
          <w:b/>
          <w:bCs/>
          <w:color w:val="E8630A"/>
          <w:sz w:val="28"/>
          <w:szCs w:val="28"/>
        </w:rPr>
        <w:t xml:space="preserve">Guiding Principle — Formally Adopted</w:t>
      </w:r>
    </w:p>
    <w:p>
      <w:pPr>
        <w:pBdr>
          <w:left w:val="single" w:color="E8630A" w:sz="12" w:space="20"/>
        </w:pBdr>
        <w:spacing w:after="160" w:before="160"/>
        <w:ind w:left="720" w:right="720"/>
      </w:pPr>
      <w:r>
        <w:rPr>
          <w:rFonts w:ascii="Arial" w:cs="Arial" w:eastAsia="Arial" w:hAnsi="Arial"/>
          <w:i/>
          <w:iCs/>
          <w:color w:val="1A1A2E"/>
          <w:sz w:val="24"/>
          <w:szCs w:val="24"/>
        </w:rPr>
        <w:t xml:space="preserve">"Leading edge is not 'we have the most advanced technology.' Leading edge is 'we solve a problem in a way nobody else thought to solve it.'"</w:t>
      </w:r>
    </w:p>
    <w:p>
      <w:pPr>
        <w:spacing w:after="80" w:before="80"/>
      </w:pPr>
      <w:r>
        <w:rPr>
          <w:rFonts w:ascii="Arial" w:cs="Arial" w:eastAsia="Arial" w:hAnsi="Arial"/>
          <w:i w:val="false"/>
          <w:iCs w:val="false"/>
          <w:sz w:val="22"/>
          <w:szCs w:val="22"/>
        </w:rPr>
        <w:t xml:space="preserve">This principle is adopted as a governing commitment for the Harmony organisation — applicable to all five pillars, all team decisions, and all research programme design.</w:t>
      </w:r>
    </w:p>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B. Architecture Directives for Dr. Voss</w:t>
      </w:r>
    </w:p>
    <w:p>
      <w:pPr>
        <w:spacing w:after="80" w:before="80"/>
      </w:pPr>
      <w:r>
        <w:rPr>
          <w:rFonts w:ascii="Arial" w:cs="Arial" w:eastAsia="Arial" w:hAnsi="Arial"/>
          <w:i w:val="false"/>
          <w:iCs w:val="false"/>
          <w:sz w:val="22"/>
          <w:szCs w:val="22"/>
        </w:rPr>
        <w:t xml:space="preserve">The following directives emerge from the Harmonic Cell Initiative and require Principal Architect validation before implementation: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5616"/>
        <w:gridCol w:w="1404"/>
        <w:gridCol w:w="1404"/>
      </w:tblGrid>
      <w:tr>
        <w:tc>
          <w:tcPr>
            <w:tcW w:type="dxa" w:w="936"/>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5616"/>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Directive</w:t>
            </w:r>
          </w:p>
        </w:tc>
        <w:tc>
          <w:tcPr>
            <w:tcW w:type="dxa" w:w="1404"/>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Urgency</w:t>
            </w:r>
          </w:p>
        </w:tc>
        <w:tc>
          <w:tcPr>
            <w:tcW w:type="dxa" w:w="1404"/>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Blocks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D1</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Add reserved field field_descriptors to cell schema — typed container for harmonic field coefficients indexed by field_type, harmonic_order, and temporal_index. Empty at activation. Must not be foreclosed by Sprint 2 schema decisions.</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IMMEDIATE</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Sprint 2</w:t>
            </w:r>
          </w:p>
        </w:tc>
      </w:tr>
      <w:tr>
        <w:tc>
          <w:tcPr>
            <w:tcW w:type="dxa" w:w="936"/>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D2</w:t>
            </w:r>
          </w:p>
        </w:tc>
        <w:tc>
          <w:tcPr>
            <w:tcW w:type="dxa" w:w="5616"/>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Confirm that the asset bundle schema (Section 7.1 of Rendering Architecture Plan) is extensible to carry harmonic coefficient packages alongside glTF mesh bundles. Same cell_key + fidelity_class keying model.</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Sprint 2</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Track 2</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D3</w:t>
            </w:r>
          </w:p>
        </w:tc>
        <w:tc>
          <w:tcPr>
            <w:tcW w:type="dxa" w:w="561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Review bitemporal schema (ADR-009) for compatibility with field-state versioning — specifically whether the valid_from/valid_to model accommodates continuous field update cadences (acoustic: hourly, thermal: daily, visual: monthly).</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1 Research</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Phase 2</w:t>
            </w:r>
          </w:p>
        </w:tc>
      </w:tr>
      <w:tr>
        <w:tc>
          <w:tcPr>
            <w:tcW w:type="dxa" w:w="936"/>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D4</w:t>
            </w:r>
          </w:p>
        </w:tc>
        <w:tc>
          <w:tcPr>
            <w:tcW w:type="dxa" w:w="5616"/>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Assess whether the 12-level cell hierarchy provides sufficient spatial resolution for acoustic field encoding at indoor scale. Acoustic field spatial resolution requirements are finer than visual rendering requirements at close range.</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Phase 1 Research</w:t>
            </w:r>
          </w:p>
        </w:tc>
        <w:tc>
          <w:tcPr>
            <w:tcW w:type="dxa" w:w="1404"/>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Phase 2</w:t>
            </w:r>
          </w:p>
        </w:tc>
      </w:tr>
    </w:tbl>
    <w:p>
      <w:pPr>
        <w:pBdr>
          <w:bottom w:val="single" w:color="E8630A" w:sz="4" w:space="1"/>
        </w:pBdr>
        <w:spacing w:after="200" w:before="200"/>
      </w:pPr>
      <w:r>
        <w:t xml:space="preserve"/>
      </w:r>
    </w:p>
    <w:p>
      <w:pPr>
        <w:pStyle w:val="Heading1"/>
        <w:spacing w:after="160" w:before="400"/>
      </w:pPr>
      <w:r>
        <w:rPr>
          <w:rFonts w:ascii="Arial" w:cs="Arial" w:eastAsia="Arial" w:hAnsi="Arial"/>
          <w:b/>
          <w:bCs/>
          <w:color w:val="1A1A2E"/>
          <w:sz w:val="36"/>
          <w:szCs w:val="36"/>
        </w:rPr>
        <w:t xml:space="preserve">C. Recommended Research Team</w:t>
      </w:r>
    </w:p>
    <w:p>
      <w:pPr>
        <w:spacing w:after="80" w:before="80"/>
      </w:pPr>
      <w:r>
        <w:rPr>
          <w:rFonts w:ascii="Arial" w:cs="Arial" w:eastAsia="Arial" w:hAnsi="Arial"/>
          <w:i w:val="false"/>
          <w:iCs w:val="false"/>
          <w:sz w:val="22"/>
          <w:szCs w:val="22"/>
        </w:rPr>
        <w:t xml:space="preserve">The Harmonic Cell Initiative requires a dedicated research team operating in parallel with the five-pillar build programme. This team is not a build team. It is a theoretical and prototype research team whose output is specifications, proofs, and demonstrations — not production code.</w:t>
      </w:r>
    </w:p>
    <w:p>
      <w:pPr>
        <w:spacing w:after="80" w:before="80"/>
      </w:pPr>
      <w:r>
        <w:t xml:space="preserve"/>
      </w:r>
    </w:p>
    <w:p>
      <w:pPr>
        <w:pStyle w:val="Heading2"/>
        <w:spacing w:after="120" w:before="280"/>
      </w:pPr>
      <w:r>
        <w:rPr>
          <w:rFonts w:ascii="Arial" w:cs="Arial" w:eastAsia="Arial" w:hAnsi="Arial"/>
          <w:b/>
          <w:bCs/>
          <w:color w:val="E8630A"/>
          <w:sz w:val="28"/>
          <w:szCs w:val="28"/>
        </w:rPr>
        <w:t xml:space="preserve">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340"/>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Background</w:t>
            </w:r>
          </w:p>
        </w:tc>
        <w:tc>
          <w:tcPr>
            <w:tcW w:type="dxa" w:w="2340"/>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Primary Responsibility</w:t>
            </w:r>
          </w:p>
        </w:tc>
        <w:tc>
          <w:tcPr>
            <w:tcW w:type="dxa" w:w="2340"/>
            <w:tcBorders>
              <w:top w:val="single" w:color="E8630A" w:sz="1"/>
              <w:left w:val="single" w:color="E8630A" w:sz="1"/>
              <w:bottom w:val="single" w:color="E8630A" w:sz="1"/>
              <w:right w:val="single" w:color="E8630A" w:sz="1"/>
            </w:tcBorders>
            <w:shd w:fill="E8630A" w:val="clear"/>
            <w:tcMar>
              <w:top w:type="dxa" w:w="100"/>
              <w:left w:type="dxa" w:w="140"/>
              <w:bottom w:type="dxa" w:w="100"/>
              <w:right w:type="dxa" w:w="140"/>
            </w:tcMar>
          </w:tcPr>
          <w:p>
            <w:r>
              <w:rPr>
                <w:rFonts w:ascii="Arial" w:cs="Arial" w:eastAsia="Arial" w:hAnsi="Arial"/>
                <w:b/>
                <w:bCs/>
                <w:color w:val="FFFFFF"/>
                <w:sz w:val="20"/>
                <w:szCs w:val="20"/>
              </w:rPr>
              <w:t xml:space="preserve">Authority Scope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 Sina Nakamura — Mathematical Physics Lead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PhD Mathematical Physics. Harmonic analysis, quantum field theory, computational geometry.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Formal specification of Harmonic Cell mathematical object. Proof of completeness. Quantum compatibility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Binding authority over mathematical formalism</w:t>
            </w:r>
          </w:p>
        </w:tc>
      </w:tr>
      <w:tr>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Dr. Amara Osei — Acoustic Field Specialist</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PhD Acoustics / Spatial Audio. HOA encoding, room acoustics, psychoacoustics. Industry: spatial audio engineering.</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Design and execution of acoustic field capture protocol. Phase 2 prototype lead. Commercial acoustic application validation.</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Binding authority over acoustic field methodology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 Lena Vasquez — Computational Vision &amp; Field Extraction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PhD Computer Vision. Neural scene representations, Gaussian splatting, material recognition from photometric data.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Gaussian-to-knowledge extraction pipeline. Procedural inference from open-source imagery. Visual field harmonic decomposition.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Binding authority over field extraction methodology</w:t>
            </w:r>
          </w:p>
        </w:tc>
      </w:tr>
      <w:tr>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Marcus Webb (dual role) — Integration Bridge</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Existing Tech Lead / Orchestrator. Awareness of full five-pillar architecture.</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Ensure research team outputs are translatable into production architecture directives. Bridge to Harmony Dev Team.</w:t>
            </w:r>
          </w:p>
        </w:tc>
        <w:tc>
          <w:tcPr>
            <w:tcW w:type="dxa" w:w="2340"/>
            <w:tcBorders>
              <w:top w:val="single" w:color="CCCCCC" w:sz="1"/>
              <w:left w:val="single" w:color="CCCCCC" w:sz="1"/>
              <w:bottom w:val="single" w:color="CCCCCC" w:sz="1"/>
              <w:right w:val="single" w:color="CCCCCC" w:sz="1"/>
            </w:tcBorders>
            <w:shd w:fill="FFF4EE" w:val="clear"/>
            <w:tcMar>
              <w:top w:type="dxa" w:w="80"/>
              <w:left w:type="dxa" w:w="140"/>
              <w:bottom w:type="dxa" w:w="80"/>
              <w:right w:type="dxa" w:w="140"/>
            </w:tcMar>
          </w:tcPr>
          <w:p>
            <w:r>
              <w:rPr>
                <w:rFonts w:ascii="Arial" w:cs="Arial" w:eastAsia="Arial" w:hAnsi="Arial"/>
                <w:sz w:val="20"/>
                <w:szCs w:val="20"/>
              </w:rPr>
              <w:t xml:space="preserve">No new binding authority — existing scope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Dr. Kofi Boateng — Programme Director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CGO. Thirty years geospatial. Research programme governance, external partnership, IP strategy, publication strategy.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Overall programme direction. Cesium partnership. Research community engagement. Patent filing coordination.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Binding authority over programme strategy</w:t>
            </w:r>
          </w:p>
        </w:tc>
      </w:tr>
    </w:tbl>
    <w:p>
      <w:pPr>
        <w:pBdr>
          <w:bottom w:val="single" w:color="E8630A" w:sz="4" w:space="1"/>
        </w:pBdr>
        <w:spacing w:after="200" w:before="200"/>
      </w:pPr>
      <w:r>
        <w:t xml:space="preserve"/>
      </w:r>
    </w:p>
    <w:p>
      <w:pPr>
        <w:spacing w:after="80" w:before="80"/>
      </w:pPr>
      <w:r>
        <w:rPr>
          <w:rFonts w:ascii="Arial" w:cs="Arial" w:eastAsia="Arial" w:hAnsi="Arial"/>
          <w:color w:val="AAAAAA"/>
          <w:sz w:val="16"/>
          <w:szCs w:val="16"/>
        </w:rPr>
        <w:t xml:space="preserve">HARMONY SPATIAL OPERATING SYSTEM — CONFIDENTIAL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E8630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2026-04-25T04:02:24.248Z</dcterms:created>
  <dcterms:modified xsi:type="dcterms:W3CDTF">2026-04-25T04:02:24.249Z</dcterms:modified>
</cp:coreProperties>
</file>

<file path=docProps/custom.xml><?xml version="1.0" encoding="utf-8"?>
<Properties xmlns="http://schemas.openxmlformats.org/officeDocument/2006/custom-properties" xmlns:vt="http://schemas.openxmlformats.org/officeDocument/2006/docPropsVTypes"/>
</file>