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8A9BAD"/>
          <w:sz w:val="28"/>
          <w:szCs w:val="28"/>
        </w:rPr>
        <w:t xml:space="preserve">HARMONY SPATIAL OPERATING SYSTEM</w:t>
      </w:r>
    </w:p>
    <w:p>
      <w:pPr>
        <w:spacing w:after="200" w:before="0"/>
      </w:pPr>
      <w:r>
        <w:rPr>
          <w:rFonts w:ascii="Arial" w:cs="Arial" w:eastAsia="Arial" w:hAnsi="Arial"/>
          <w:b/>
          <w:bCs/>
          <w:color w:val="1A3A5C"/>
          <w:sz w:val="52"/>
          <w:szCs w:val="52"/>
        </w:rPr>
        <w:t xml:space="preserve">Rendering Architecture Plan</w:t>
      </w:r>
    </w:p>
    <w:p>
      <w:pPr>
        <w:spacing w:after="80" w:before="0"/>
      </w:pPr>
      <w:r>
        <w:rPr>
          <w:rFonts w:ascii="Arial" w:cs="Arial" w:eastAsia="Arial" w:hAnsi="Arial"/>
          <w:color w:val="4A6580"/>
          <w:sz w:val="24"/>
          <w:szCs w:val="24"/>
        </w:rPr>
        <w:t xml:space="preserve">Pillar 3 Strategy | Pillar 2 Sprint 2 Data Contract</w:t>
      </w:r>
    </w:p>
    <w:p>
      <w:pPr>
        <w:pBdr>
          <w:bottom w:val="single" w:color="1A3A5C"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b/>
                <w:bCs/>
                <w:sz w:val="20"/>
                <w:szCs w:val="20"/>
              </w:rPr>
              <w:t xml:space="preserve">Prepared by</w:t>
            </w:r>
          </w:p>
        </w:tc>
        <w:tc>
          <w:tcPr>
            <w:tcW w:type="dxa" w:w="70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Dr. Kofi Boateng, Chief Geospatial Officer</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b/>
                <w:bCs/>
                <w:sz w:val="20"/>
                <w:szCs w:val="20"/>
              </w:rPr>
              <w:t xml:space="preserve">Reviewed by</w:t>
            </w:r>
          </w:p>
        </w:tc>
        <w:tc>
          <w:tcPr>
            <w:tcW w:type="dxa" w:w="70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392B"/>
                <w:sz w:val="20"/>
                <w:szCs w:val="20"/>
              </w:rPr>
              <w:t xml:space="preserve">Dr. Mara Voss, Principal Architect — VALIDATION REQUIRED</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b/>
                <w:bCs/>
                <w:sz w:val="20"/>
                <w:szCs w:val="20"/>
              </w:rPr>
              <w:t xml:space="preserve">Date</w:t>
            </w:r>
          </w:p>
        </w:tc>
        <w:tc>
          <w:tcPr>
            <w:tcW w:type="dxa" w:w="70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April 2026</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b/>
                <w:bCs/>
                <w:sz w:val="20"/>
                <w:szCs w:val="20"/>
              </w:rPr>
              <w:t xml:space="preserve">Status</w:t>
            </w:r>
          </w:p>
        </w:tc>
        <w:tc>
          <w:tcPr>
            <w:tcW w:type="dxa" w:w="70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392B"/>
                <w:sz w:val="20"/>
                <w:szCs w:val="20"/>
              </w:rPr>
              <w:t xml:space="preserve">DRAFT — Awaiting Voss validation before Pillar 2 Sprint 2 commencement</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b/>
                <w:bCs/>
                <w:sz w:val="20"/>
                <w:szCs w:val="20"/>
              </w:rPr>
              <w:t xml:space="preserve">ADR Required</w:t>
            </w:r>
          </w:p>
        </w:tc>
        <w:tc>
          <w:tcPr>
            <w:tcW w:type="dxa" w:w="70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ADR-016 — Rendering Architecture and Pillar 2/3 Data Contract</w:t>
            </w:r>
          </w:p>
        </w:tc>
      </w:tr>
    </w:tbl>
    <w:p>
      <w:pPr>
        <w:spacing w:after="80" w:before="80"/>
      </w:pPr>
      <w:r>
        <w:t xml:space="preserve"/>
      </w:r>
    </w:p>
    <w:p>
      <w:pPr>
        <w:spacing w:after="80" w:before="80"/>
      </w:pPr>
      <w:r>
        <w:t xml:space="preserve"/>
      </w:r>
    </w:p>
    <w:p>
      <w:r>
        <w:br w:type="page"/>
      </w:r>
    </w:p>
    <w:p>
      <w:pPr>
        <w:pStyle w:val="Heading1"/>
        <w:spacing w:after="160" w:before="360"/>
      </w:pPr>
      <w:r>
        <w:rPr>
          <w:rFonts w:ascii="Arial" w:cs="Arial" w:eastAsia="Arial" w:hAnsi="Arial"/>
          <w:b/>
          <w:bCs/>
          <w:color w:val="1A3A5C"/>
          <w:sz w:val="32"/>
          <w:szCs w:val="32"/>
        </w:rPr>
        <w:t xml:space="preserve">1. Guiding Principle</w:t>
      </w:r>
    </w:p>
    <w:p>
      <w:pPr>
        <w:spacing w:after="80" w:before="80"/>
      </w:pPr>
      <w:r>
        <w:rPr>
          <w:rFonts w:ascii="Arial" w:cs="Arial" w:eastAsia="Arial" w:hAnsi="Arial"/>
          <w:sz w:val="22"/>
          <w:szCs w:val="22"/>
        </w:rPr>
        <w:t xml:space="preserve">This plan is governed by a single strategic principle that Dr. Boateng introduced in session and which Harmony's founder has adopted as a foundational organisational commitment:</w:t>
      </w:r>
    </w:p>
    <w:p>
      <w:pPr>
        <w:spacing w:after="80" w:before="80"/>
      </w:pPr>
      <w:r>
        <w:t xml:space="preserve"/>
      </w:r>
    </w:p>
    <w:p>
      <w:pPr>
        <w:pBdr>
          <w:left w:val="single" w:color="1A3A5C" w:sz="12" w:space="20"/>
        </w:pBdr>
        <w:spacing w:after="160" w:before="160"/>
        <w:ind w:left="720" w:right="720"/>
      </w:pPr>
      <w:r>
        <w:rPr>
          <w:rFonts w:ascii="Arial" w:cs="Arial" w:eastAsia="Arial" w:hAnsi="Arial"/>
          <w:i/>
          <w:iCs/>
          <w:color w:val="1A3A5C"/>
          <w:sz w:val="24"/>
          <w:szCs w:val="24"/>
        </w:rPr>
        <w:t xml:space="preserve">"Leading edge is not 'we have the most advanced technology.' Leading edge is 'we solve a problem in a way nobody else thought to solve it.'"</w:t>
      </w:r>
    </w:p>
    <w:p>
      <w:pPr>
        <w:spacing w:after="80" w:before="80"/>
      </w:pPr>
      <w:r>
        <w:t xml:space="preserve"/>
      </w:r>
    </w:p>
    <w:p>
      <w:pPr>
        <w:spacing w:after="80" w:before="80"/>
      </w:pPr>
      <w:r>
        <w:rPr>
          <w:rFonts w:ascii="Arial" w:cs="Arial" w:eastAsia="Arial" w:hAnsi="Arial"/>
          <w:sz w:val="22"/>
          <w:szCs w:val="22"/>
        </w:rPr>
        <w:t xml:space="preserve">This principle governs every decision in this document. The rendering architecture is not an exercise in technological novelty. It is a deliberate strategy to solve the perceptual continuity problem — the tile-switching, pop-in, and LOD discontinuity that every existing spatial platform has inherited from paper cartography — in a way that creates durable competitive moat while maintaining programme momentum.</w:t>
      </w:r>
    </w:p>
    <w:p>
      <w:pPr>
        <w:pBdr>
          <w:bottom w:val="single" w:color="1A3A5C" w:sz="4" w:space="1"/>
        </w:pBdr>
        <w:spacing w:after="160" w:before="160"/>
      </w:pPr>
      <w:r>
        <w:t xml:space="preserve"/>
      </w:r>
    </w:p>
    <w:p>
      <w:pPr>
        <w:pStyle w:val="Heading1"/>
        <w:spacing w:after="160" w:before="360"/>
      </w:pPr>
      <w:r>
        <w:rPr>
          <w:rFonts w:ascii="Arial" w:cs="Arial" w:eastAsia="Arial" w:hAnsi="Arial"/>
          <w:b/>
          <w:bCs/>
          <w:color w:val="1A3A5C"/>
          <w:sz w:val="32"/>
          <w:szCs w:val="32"/>
        </w:rPr>
        <w:t xml:space="preserve">2. The Problem We Are Solving</w:t>
      </w:r>
    </w:p>
    <w:p>
      <w:pPr>
        <w:spacing w:after="80" w:before="80"/>
      </w:pPr>
      <w:r>
        <w:rPr>
          <w:rFonts w:ascii="Arial" w:cs="Arial" w:eastAsia="Arial" w:hAnsi="Arial"/>
          <w:sz w:val="22"/>
          <w:szCs w:val="22"/>
        </w:rPr>
        <w:t xml:space="preserve">Every major spatial platform — Google Earth, Google Maps, Cesium, ArcGIS Online — shares a common architectural inheritance: the world is divided into discrete image tiles loaded at discrete zoom levels. The seams, pop-in, loading delays, and geometric discontinuity that every user has experienced are not performance failures. They are structural consequences of that model. The architecture is doing exactly what it was designed to do. The design is the problem.</w:t>
      </w:r>
    </w:p>
    <w:p>
      <w:pPr>
        <w:spacing w:after="80" w:before="80"/>
      </w:pPr>
      <w:r>
        <w:t xml:space="preserve"/>
      </w:r>
    </w:p>
    <w:p>
      <w:pPr>
        <w:spacing w:after="80" w:before="80"/>
      </w:pPr>
      <w:r>
        <w:rPr>
          <w:rFonts w:ascii="Arial" w:cs="Arial" w:eastAsia="Arial" w:hAnsi="Arial"/>
          <w:sz w:val="22"/>
          <w:szCs w:val="22"/>
        </w:rPr>
        <w:t xml:space="preserve">What Harmony's North Star I demands is perceptual continuity — the experience of moving through physical space, not loading a document. The city resolves as you descend into it. There are no visible boundaries. No swap events. No loading states. The world flows.</w:t>
      </w:r>
    </w:p>
    <w:p>
      <w:pPr>
        <w:spacing w:after="80" w:before="80"/>
      </w:pPr>
      <w:r>
        <w:t xml:space="preserve"/>
      </w:r>
    </w:p>
    <w:p>
      <w:pPr>
        <w:spacing w:after="80" w:before="80"/>
      </w:pPr>
      <w:r>
        <w:rPr>
          <w:rFonts w:ascii="Arial" w:cs="Arial" w:eastAsia="Arial" w:hAnsi="Arial"/>
          <w:sz w:val="22"/>
          <w:szCs w:val="22"/>
        </w:rPr>
        <w:t xml:space="preserve">This document defines the architecture that delivers that experience in the near term, and the research programme that extends it toward photorealistic completeness in the medium term.</w:t>
      </w:r>
    </w:p>
    <w:p>
      <w:pPr>
        <w:pBdr>
          <w:bottom w:val="single" w:color="1A3A5C" w:sz="4" w:space="1"/>
        </w:pBdr>
        <w:spacing w:after="160" w:before="160"/>
      </w:pPr>
      <w:r>
        <w:t xml:space="preserve"/>
      </w:r>
    </w:p>
    <w:p>
      <w:pPr>
        <w:pStyle w:val="Heading1"/>
        <w:spacing w:after="160" w:before="360"/>
      </w:pPr>
      <w:r>
        <w:rPr>
          <w:rFonts w:ascii="Arial" w:cs="Arial" w:eastAsia="Arial" w:hAnsi="Arial"/>
          <w:b/>
          <w:bCs/>
          <w:color w:val="1A3A5C"/>
          <w:sz w:val="32"/>
          <w:szCs w:val="32"/>
        </w:rPr>
        <w:t xml:space="preserve">3. The Two-Track Rendering Architecture</w:t>
      </w:r>
    </w:p>
    <w:p>
      <w:pPr>
        <w:spacing w:after="80" w:before="80"/>
      </w:pPr>
      <w:r>
        <w:rPr>
          <w:rFonts w:ascii="Arial" w:cs="Arial" w:eastAsia="Arial" w:hAnsi="Arial"/>
          <w:sz w:val="22"/>
          <w:szCs w:val="22"/>
        </w:rPr>
        <w:t xml:space="preserve">The architecture operates on two parallel tracks with a defined migration path between them. No decision on Track 1 forecloses Track 2. Track 2 is designed to slot into the same substrate without breaking changes.</w:t>
      </w:r>
    </w:p>
    <w:p>
      <w:pPr>
        <w:spacing w:after="80" w:before="80"/>
      </w:pPr>
      <w:r>
        <w:t xml:space="preserve"/>
      </w:r>
    </w:p>
    <w:p>
      <w:pPr>
        <w:pStyle w:val="Heading2"/>
        <w:spacing w:after="120" w:before="280"/>
      </w:pPr>
      <w:r>
        <w:rPr>
          <w:rFonts w:ascii="Arial" w:cs="Arial" w:eastAsia="Arial" w:hAnsi="Arial"/>
          <w:b/>
          <w:bCs/>
          <w:color w:val="1A3A5C"/>
          <w:sz w:val="26"/>
          <w:szCs w:val="26"/>
        </w:rPr>
        <w:t xml:space="preserve">Track 1 — Production MVP: Streaming Progressive Mesh</w:t>
      </w:r>
    </w:p>
    <w:p>
      <w:pPr>
        <w:spacing w:after="80" w:before="80"/>
      </w:pPr>
      <w:r>
        <w:rPr>
          <w:rFonts w:ascii="Arial" w:cs="Arial" w:eastAsia="Arial" w:hAnsi="Arial"/>
          <w:sz w:val="22"/>
          <w:szCs w:val="22"/>
        </w:rPr>
        <w:t xml:space="preserve">Track 1 is the rendering layer that ships with the Central Coast pilot and the Reagent application layer. It is production-ready today using mature, well-understood technology.</w:t>
      </w:r>
    </w:p>
    <w:p>
      <w:pPr>
        <w:spacing w:after="80" w:before="80"/>
      </w:pPr>
      <w:r>
        <w:t xml:space="preserve"/>
      </w:r>
    </w:p>
    <w:p>
      <w:pPr>
        <w:spacing w:after="80" w:before="200"/>
      </w:pPr>
      <w:r>
        <w:rPr>
          <w:rFonts w:ascii="Arial" w:cs="Arial" w:eastAsia="Arial" w:hAnsi="Arial"/>
          <w:b/>
          <w:bCs/>
          <w:color w:val="2C5F8A"/>
          <w:sz w:val="22"/>
          <w:szCs w:val="22"/>
        </w:rPr>
        <w:t xml:space="preserve">How it works</w:t>
      </w:r>
    </w:p>
    <w:p>
      <w:pPr>
        <w:spacing w:after="80" w:before="80"/>
      </w:pPr>
      <w:r>
        <w:rPr>
          <w:rFonts w:ascii="Arial" w:cs="Arial" w:eastAsia="Arial" w:hAnsi="Arial"/>
          <w:sz w:val="22"/>
          <w:szCs w:val="22"/>
        </w:rPr>
        <w:t xml:space="preserve">Every Harmony Cell carries its geometry as a progressive mesh — a compressed 3D representation that exists simultaneously at multiple fidelity levels. The renderer requests the coarsest representation first and upgrades fidelity as the camera dwells or approaches. There are no tile boundaries because the unit of geometry is the cell, not the tile. There are no swap events because the transition between fidelity levels is continuous, not discrete.</w:t>
      </w:r>
    </w:p>
    <w:p>
      <w:pPr>
        <w:spacing w:after="80" w:before="80"/>
      </w:pPr>
      <w:r>
        <w:t xml:space="preserve"/>
      </w:r>
    </w:p>
    <w:p>
      <w:pPr>
        <w:spacing w:after="80" w:before="200"/>
      </w:pPr>
      <w:r>
        <w:rPr>
          <w:rFonts w:ascii="Arial" w:cs="Arial" w:eastAsia="Arial" w:hAnsi="Arial"/>
          <w:b/>
          <w:bCs/>
          <w:color w:val="2C5F8A"/>
          <w:sz w:val="22"/>
          <w:szCs w:val="22"/>
        </w:rPr>
        <w:t xml:space="preserve">Why this delivers "flow"</w:t>
      </w:r>
    </w:p>
    <w:p>
      <w:pPr>
        <w:spacing w:after="80" w:before="80"/>
      </w:pPr>
      <w:r>
        <w:rPr>
          <w:rFonts w:ascii="Arial" w:cs="Arial" w:eastAsia="Arial" w:hAnsi="Arial"/>
          <w:sz w:val="22"/>
          <w:szCs w:val="22"/>
        </w:rPr>
        <w:t xml:space="preserve">Harmony's Pillar 1 adjacency ring API enables predictive pre-fetching. The renderer knows, at every frame, which cells lie along the camera's trajectory. It requests them before the camera arrives. By the time the user's view reaches a cell, the geometry is resident. The loading event is invisible because it happened before it was needed.</w:t>
      </w:r>
    </w:p>
    <w:p>
      <w:pPr>
        <w:spacing w:after="80" w:before="80"/>
      </w:pPr>
      <w:r>
        <w:t xml:space="preserve"/>
      </w:r>
    </w:p>
    <w:p>
      <w:pPr>
        <w:spacing w:after="80" w:before="200"/>
      </w:pPr>
      <w:r>
        <w:rPr>
          <w:rFonts w:ascii="Arial" w:cs="Arial" w:eastAsia="Arial" w:hAnsi="Arial"/>
          <w:b/>
          <w:bCs/>
          <w:color w:val="2C5F8A"/>
          <w:sz w:val="22"/>
          <w:szCs w:val="22"/>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6552"/>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Geometry format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glTF 2.0 with Draco mesh compression</w:t>
            </w:r>
          </w:p>
        </w:tc>
      </w:tr>
      <w:tr>
        <w:tc>
          <w:tcPr>
            <w:tcW w:type="dxa" w:w="2808"/>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Storage key</w:t>
            </w:r>
          </w:p>
        </w:tc>
        <w:tc>
          <w:tcPr>
            <w:tcW w:type="dxa" w:w="6552"/>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cell_key + fidelity_class (structural / photorealistic)</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LOD model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12-level Harmony Cell hierarchy — existing substrate</w:t>
            </w:r>
          </w:p>
        </w:tc>
      </w:tr>
      <w:tr>
        <w:tc>
          <w:tcPr>
            <w:tcW w:type="dxa" w:w="2808"/>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Pre-fetch signal</w:t>
            </w:r>
          </w:p>
        </w:tc>
        <w:tc>
          <w:tcPr>
            <w:tcW w:type="dxa" w:w="6552"/>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Pillar 1 adjacency ring API — existing endpoint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Renderer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WebGL (production), WebGPU migration path preserved</w:t>
            </w:r>
          </w:p>
        </w:tc>
      </w:tr>
      <w:tr>
        <w:tc>
          <w:tcPr>
            <w:tcW w:type="dxa" w:w="2808"/>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Baseline data</w:t>
            </w:r>
          </w:p>
        </w:tc>
        <w:tc>
          <w:tcPr>
            <w:tcW w:type="dxa" w:w="6552"/>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Overture Maps Foundation footprints + procedural extrusion</w:t>
            </w:r>
          </w:p>
        </w:tc>
      </w:tr>
    </w:tbl>
    <w:p>
      <w:pPr>
        <w:spacing w:after="80" w:before="80"/>
      </w:pPr>
      <w:r>
        <w:t xml:space="preserve"/>
      </w:r>
    </w:p>
    <w:p>
      <w:pPr>
        <w:spacing w:after="80" w:before="200"/>
      </w:pPr>
      <w:r>
        <w:rPr>
          <w:rFonts w:ascii="Arial" w:cs="Arial" w:eastAsia="Arial" w:hAnsi="Arial"/>
          <w:b/>
          <w:bCs/>
          <w:color w:val="2C5F8A"/>
          <w:sz w:val="22"/>
          <w:szCs w:val="22"/>
        </w:rPr>
        <w:t xml:space="preserve">Limitations (acknowledged)</w:t>
      </w:r>
    </w:p>
    <w:p>
      <w:pPr>
        <w:spacing w:after="80" w:before="80"/>
      </w:pPr>
      <w:r>
        <w:rPr>
          <w:rFonts w:ascii="Arial" w:cs="Arial" w:eastAsia="Arial" w:hAnsi="Arial"/>
          <w:sz w:val="22"/>
          <w:szCs w:val="22"/>
        </w:rPr>
        <w:t xml:space="preserve">Track 1 delivers perceptual continuity and structural accuracy. It does not deliver the photorealistic fidelity required to give a commercial real estate buyer the conviction to commit to an asset acquisition without a site visit. That is Track 2's function.</w:t>
      </w:r>
    </w:p>
    <w:p>
      <w:pPr>
        <w:spacing w:after="80" w:before="80"/>
      </w:pPr>
      <w:r>
        <w:t xml:space="preserve"/>
      </w:r>
    </w:p>
    <w:p>
      <w:pPr>
        <w:spacing w:after="80" w:before="80"/>
      </w:pPr>
      <w:r>
        <w:t xml:space="preserve"/>
      </w:r>
    </w:p>
    <w:p>
      <w:pPr>
        <w:pStyle w:val="Heading2"/>
        <w:spacing w:after="120" w:before="280"/>
      </w:pPr>
      <w:r>
        <w:rPr>
          <w:rFonts w:ascii="Arial" w:cs="Arial" w:eastAsia="Arial" w:hAnsi="Arial"/>
          <w:b/>
          <w:bCs/>
          <w:color w:val="1A3A5C"/>
          <w:sz w:val="26"/>
          <w:szCs w:val="26"/>
        </w:rPr>
        <w:t xml:space="preserve">Track 2 — Photorealistic Target: Gaussian Splatting</w:t>
      </w:r>
    </w:p>
    <w:p>
      <w:pPr>
        <w:spacing w:after="80" w:before="80"/>
      </w:pPr>
      <w:r>
        <w:rPr>
          <w:rFonts w:ascii="Arial" w:cs="Arial" w:eastAsia="Arial" w:hAnsi="Arial"/>
          <w:sz w:val="22"/>
          <w:szCs w:val="22"/>
        </w:rPr>
        <w:t xml:space="preserve">Gaussian splatting is the correct long-term rendering technology for Harmony's commercial real estate pathway and its North Star I commitment. Instead of geometry, the scene is stored as millions of small volumetric blobs — each with a position, colour, opacity, and covariance — that blend continuously as the camera moves. There are no geometric polygons. There are no tile boundaries. The result is photorealistic fidelity that is indistinguishable from standing in the physical space.</w:t>
      </w:r>
    </w:p>
    <w:p>
      <w:pPr>
        <w:spacing w:after="80" w:before="80"/>
      </w:pPr>
      <w:r>
        <w:t xml:space="preserve"/>
      </w:r>
    </w:p>
    <w:p>
      <w:pPr>
        <w:spacing w:after="80" w:before="80"/>
      </w:pPr>
      <w:r>
        <w:rPr>
          <w:rFonts w:ascii="Arial" w:cs="Arial" w:eastAsia="Arial" w:hAnsi="Arial"/>
          <w:sz w:val="22"/>
          <w:szCs w:val="22"/>
        </w:rPr>
        <w:t xml:space="preserve">Track 2 is not in production today. The streaming protocol is not yet standardised. Compression at globe scale is unsolved. Capture infrastructure requires investment. These are the constraints the research programme (Section 5) is designed to address.</w:t>
      </w:r>
    </w:p>
    <w:p>
      <w:pPr>
        <w:spacing w:after="80" w:before="80"/>
      </w:pPr>
      <w:r>
        <w:t xml:space="preserve"/>
      </w:r>
    </w:p>
    <w:p>
      <w:pPr>
        <w:spacing w:after="80" w:before="200"/>
      </w:pPr>
      <w:r>
        <w:rPr>
          <w:rFonts w:ascii="Arial" w:cs="Arial" w:eastAsia="Arial" w:hAnsi="Arial"/>
          <w:b/>
          <w:bCs/>
          <w:color w:val="2C5F8A"/>
          <w:sz w:val="22"/>
          <w:szCs w:val="22"/>
        </w:rPr>
        <w:t xml:space="preserve">Why it matters for commercial real estate</w:t>
      </w:r>
    </w:p>
    <w:p>
      <w:pPr>
        <w:spacing w:after="80" w:before="80"/>
      </w:pPr>
      <w:r>
        <w:rPr>
          <w:rFonts w:ascii="Arial" w:cs="Arial" w:eastAsia="Arial" w:hAnsi="Arial"/>
          <w:sz w:val="22"/>
          <w:szCs w:val="22"/>
        </w:rPr>
        <w:t xml:space="preserve">A buyer considering a $50M commercial asset needs conviction, not information. A progressive mesh can convey location, context, and neighbourhood. A Gaussian splat can convey the quality of the atrium light at 9am, the material finish of the lobby floor, the ceiling height of the top-floor office suite. These are the details that move institutional capital. Track 1 enables Reagent. Track 2 enables smart contract asset transactions.</w:t>
      </w:r>
    </w:p>
    <w:p>
      <w:pPr>
        <w:spacing w:after="80" w:before="80"/>
      </w:pPr>
      <w:r>
        <w:t xml:space="preserve"/>
      </w:r>
    </w:p>
    <w:p>
      <w:pPr>
        <w:spacing w:after="80" w:before="200"/>
      </w:pPr>
      <w:r>
        <w:rPr>
          <w:rFonts w:ascii="Arial" w:cs="Arial" w:eastAsia="Arial" w:hAnsi="Arial"/>
          <w:b/>
          <w:bCs/>
          <w:color w:val="2C5F8A"/>
          <w:sz w:val="22"/>
          <w:szCs w:val="22"/>
        </w:rPr>
        <w:t xml:space="preserve">Migration model</w:t>
      </w:r>
    </w:p>
    <w:p>
      <w:pPr>
        <w:spacing w:after="80" w:before="80"/>
      </w:pPr>
      <w:r>
        <w:rPr>
          <w:rFonts w:ascii="Arial" w:cs="Arial" w:eastAsia="Arial" w:hAnsi="Arial"/>
          <w:sz w:val="22"/>
          <w:szCs w:val="22"/>
        </w:rPr>
        <w:t xml:space="preserve">The migration from Track 1 to Track 2 is non-breaking at the cell level. Both tracks store their rendering assets as bundles keyed by cell_key and fidelity_class. The renderer requests the best available bundle for the current camera state. When a cell has a splat bundle, the renderer uses it. When it does not, it falls back to the mesh bundle. Coverage expands incrementally without a cutover event.</w:t>
      </w:r>
    </w:p>
    <w:p>
      <w:pPr>
        <w:pBdr>
          <w:bottom w:val="single" w:color="1A3A5C" w:sz="4" w:space="1"/>
        </w:pBdr>
        <w:spacing w:after="160" w:before="160"/>
      </w:pPr>
      <w:r>
        <w:t xml:space="preserve"/>
      </w:r>
    </w:p>
    <w:p>
      <w:pPr>
        <w:pStyle w:val="Heading1"/>
        <w:spacing w:after="160" w:before="360"/>
      </w:pPr>
      <w:r>
        <w:rPr>
          <w:rFonts w:ascii="Arial" w:cs="Arial" w:eastAsia="Arial" w:hAnsi="Arial"/>
          <w:b/>
          <w:bCs/>
          <w:color w:val="1A3A5C"/>
          <w:sz w:val="32"/>
          <w:szCs w:val="32"/>
        </w:rPr>
        <w:t xml:space="preserve">4. Procedural Generation — The Innovation Layer</w:t>
      </w:r>
    </w:p>
    <w:p>
      <w:pPr>
        <w:spacing w:after="80" w:before="80"/>
      </w:pPr>
      <w:r>
        <w:rPr>
          <w:rFonts w:ascii="Arial" w:cs="Arial" w:eastAsia="Arial" w:hAnsi="Arial"/>
          <w:sz w:val="22"/>
          <w:szCs w:val="22"/>
        </w:rPr>
        <w:t xml:space="preserve">Procedural generation is the architectural decision that separates Harmony from every platform that has attempted high-fidelity globe-scale rendering before. It is also the area where Harmony's intellectual property position is strongest.</w:t>
      </w:r>
    </w:p>
    <w:p>
      <w:pPr>
        <w:spacing w:after="80" w:before="80"/>
      </w:pPr>
      <w:r>
        <w:t xml:space="preserve"/>
      </w:r>
    </w:p>
    <w:p>
      <w:pPr>
        <w:spacing w:after="80" w:before="80"/>
      </w:pPr>
      <w:r>
        <w:rPr>
          <w:rFonts w:ascii="Arial" w:cs="Arial" w:eastAsia="Arial" w:hAnsi="Arial"/>
          <w:sz w:val="22"/>
          <w:szCs w:val="22"/>
        </w:rPr>
        <w:t xml:space="preserve">The problem every platform faces is capture coverage. Real photogrammetric capture — drone flights, mobile SLAM, lidar — is expensive and time-consuming. No platform has full coverage of any major urban area at splat quality. The standard response is to wait until capture completes before showing high-fidelity content. The result is permanent patchwork coverage.</w:t>
      </w:r>
    </w:p>
    <w:p>
      <w:pPr>
        <w:spacing w:after="80" w:before="80"/>
      </w:pPr>
      <w:r>
        <w:t xml:space="preserve"/>
      </w:r>
    </w:p>
    <w:p>
      <w:pPr>
        <w:spacing w:after="80" w:before="80"/>
      </w:pPr>
      <w:r>
        <w:rPr>
          <w:rFonts w:ascii="Arial" w:cs="Arial" w:eastAsia="Arial" w:hAnsi="Arial"/>
          <w:sz w:val="22"/>
          <w:szCs w:val="22"/>
        </w:rPr>
        <w:t xml:space="preserve">Harmony's response is different: infer plausible high-fidelity detail from open-source data sources that have never been used for this purpose.</w:t>
      </w:r>
    </w:p>
    <w:p>
      <w:pPr>
        <w:spacing w:after="80" w:before="80"/>
      </w:pPr>
      <w:r>
        <w:t xml:space="preserve"/>
      </w:r>
    </w:p>
    <w:p>
      <w:pPr>
        <w:pStyle w:val="Heading2"/>
        <w:spacing w:after="120" w:before="280"/>
      </w:pPr>
      <w:r>
        <w:rPr>
          <w:rFonts w:ascii="Arial" w:cs="Arial" w:eastAsia="Arial" w:hAnsi="Arial"/>
          <w:b/>
          <w:bCs/>
          <w:color w:val="1A3A5C"/>
          <w:sz w:val="26"/>
          <w:szCs w:val="26"/>
        </w:rPr>
        <w:t xml:space="preserve">The inference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312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it provides</w:t>
            </w:r>
          </w:p>
        </w:tc>
        <w:tc>
          <w:tcPr>
            <w:tcW w:type="dxa" w:w="312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Inference target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Street-level imagery (open)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Facade colour, material, window pattern, signage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Exterior geometry and texture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Cadastral / building permits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Floor count, footprint, use class, construction date</w:t>
            </w:r>
          </w:p>
        </w:tc>
        <w:tc>
          <w:tcPr>
            <w:tcW w:type="dxa" w:w="31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Structural form factor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Satellite / aerial imagery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Roof form, surface material, surrounding context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Top-down geometry</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Real estate listings (public)</w:t>
            </w:r>
          </w:p>
        </w:tc>
        <w:tc>
          <w:tcPr>
            <w:tcW w:type="dxa" w:w="31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Interior photos, floor plans, fitout detail</w:t>
            </w:r>
          </w:p>
        </w:tc>
        <w:tc>
          <w:tcPr>
            <w:tcW w:type="dxa" w:w="31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Interior plausibility model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Construction / planning docs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Material specifications, structural drawings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High-value asset detail</w:t>
            </w:r>
          </w:p>
        </w:tc>
      </w:tr>
    </w:tbl>
    <w:p>
      <w:pPr>
        <w:spacing w:after="80" w:before="80"/>
      </w:pPr>
      <w:r>
        <w:t xml:space="preserve"/>
      </w:r>
    </w:p>
    <w:p>
      <w:pPr>
        <w:pStyle w:val="Heading2"/>
        <w:spacing w:after="120" w:before="280"/>
      </w:pPr>
      <w:r>
        <w:rPr>
          <w:rFonts w:ascii="Arial" w:cs="Arial" w:eastAsia="Arial" w:hAnsi="Arial"/>
          <w:b/>
          <w:bCs/>
          <w:color w:val="1A3A5C"/>
          <w:sz w:val="26"/>
          <w:szCs w:val="26"/>
        </w:rPr>
        <w:t xml:space="preserve">The IP position</w:t>
      </w:r>
    </w:p>
    <w:p>
      <w:pPr>
        <w:spacing w:after="80" w:before="80"/>
      </w:pPr>
      <w:r>
        <w:rPr>
          <w:rFonts w:ascii="Arial" w:cs="Arial" w:eastAsia="Arial" w:hAnsi="Arial"/>
          <w:sz w:val="22"/>
          <w:szCs w:val="22"/>
        </w:rPr>
        <w:t xml:space="preserve">The procedural inference pipeline — the specific methodology for combining these sources into a coherent, cell-resident, high-fidelity 3D model — is Harmony's proprietary contribution. The individual data sources are open. The technique for combining them is not. This is where patent protection should be sought.</w:t>
      </w:r>
    </w:p>
    <w:p>
      <w:pPr>
        <w:spacing w:after="80" w:before="80"/>
      </w:pPr>
      <w:r>
        <w:t xml:space="preserve"/>
      </w:r>
    </w:p>
    <w:p>
      <w:pPr>
        <w:spacing w:after="80" w:before="80"/>
      </w:pPr>
      <w:r>
        <w:rPr>
          <w:rFonts w:ascii="Arial" w:cs="Arial" w:eastAsia="Arial" w:hAnsi="Arial"/>
          <w:sz w:val="22"/>
          <w:szCs w:val="22"/>
        </w:rPr>
        <w:t xml:space="preserve">The rendering technology (Gaussian splatting) will be commoditised within 18-24 months. The cell substrate is already being filed for protection. The procedural inference methodology is the third pillar of the IP strategy — and it is the one most directly tied to the commercial real estate use case.</w:t>
      </w:r>
    </w:p>
    <w:p>
      <w:pPr>
        <w:pBdr>
          <w:bottom w:val="single" w:color="1A3A5C" w:sz="4" w:space="1"/>
        </w:pBdr>
        <w:spacing w:after="160" w:before="160"/>
      </w:pPr>
      <w:r>
        <w:t xml:space="preserve"/>
      </w:r>
    </w:p>
    <w:p>
      <w:pPr>
        <w:pStyle w:val="Heading1"/>
        <w:spacing w:after="160" w:before="360"/>
      </w:pPr>
      <w:r>
        <w:rPr>
          <w:rFonts w:ascii="Arial" w:cs="Arial" w:eastAsia="Arial" w:hAnsi="Arial"/>
          <w:b/>
          <w:bCs/>
          <w:color w:val="1A3A5C"/>
          <w:sz w:val="32"/>
          <w:szCs w:val="32"/>
        </w:rPr>
        <w:t xml:space="preserve">5. The Parallel Research Programme</w:t>
      </w:r>
    </w:p>
    <w:p>
      <w:pPr>
        <w:spacing w:after="80" w:before="80"/>
      </w:pPr>
      <w:r>
        <w:rPr>
          <w:rFonts w:ascii="Arial" w:cs="Arial" w:eastAsia="Arial" w:hAnsi="Arial"/>
          <w:sz w:val="22"/>
          <w:szCs w:val="22"/>
        </w:rPr>
        <w:t xml:space="preserve">Three research work streams run in parallel with Pillar 2 Sprint 2 and Pillar 3 Track 1 development. None of them block the MVP. All of them inform the Track 2 migration decision.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1560"/>
        <w:gridCol w:w="1560"/>
      </w:tblGrid>
      <w:tr>
        <w:tc>
          <w:tcPr>
            <w:tcW w:type="dxa" w:w="156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Work Stream</w:t>
            </w:r>
          </w:p>
        </w:tc>
        <w:tc>
          <w:tcPr>
            <w:tcW w:type="dxa" w:w="234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Objective</w:t>
            </w:r>
          </w:p>
        </w:tc>
        <w:tc>
          <w:tcPr>
            <w:tcW w:type="dxa" w:w="234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Question to answer</w:t>
            </w:r>
          </w:p>
        </w:tc>
        <w:tc>
          <w:tcPr>
            <w:tcW w:type="dxa" w:w="156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Duration</w:t>
            </w:r>
          </w:p>
        </w:tc>
        <w:tc>
          <w:tcPr>
            <w:tcW w:type="dxa" w:w="156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Owner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WS-A: Cesium Partnership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Explore collaboration on splat streaming standard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Is Cesium a willing co-development partner? Can we shape the streaming protocol?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 weeks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Boateng</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WS-B: Splat Compression</w:t>
            </w:r>
          </w:p>
        </w:tc>
        <w:tc>
          <w:tcPr>
            <w:tcW w:type="dxa" w:w="23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Commission specialist research on volumetric compression</w:t>
            </w:r>
          </w:p>
        </w:tc>
        <w:tc>
          <w:tcPr>
            <w:tcW w:type="dxa" w:w="23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Can 60-75% lossless compression be achieved on streetscape-scale splats at acceptable inference cost?</w:t>
            </w:r>
          </w:p>
        </w:tc>
        <w:tc>
          <w:tcPr>
            <w:tcW w:type="dxa" w:w="1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4-6 weeks</w:t>
            </w:r>
          </w:p>
        </w:tc>
        <w:tc>
          <w:tcPr>
            <w:tcW w:type="dxa" w:w="1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External specialist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WS-C: Procedural Inference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Prototype facade and interior inference from open-source imagery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What fidelity can be achieved? What is the cost per building? What is the IP position?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4-6 weeks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Computer vision specialist</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WS-D: Splat Renderer Integration</w:t>
            </w:r>
          </w:p>
        </w:tc>
        <w:tc>
          <w:tcPr>
            <w:tcW w:type="dxa" w:w="23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Engineering (not research) integration of existing splat tools via cell API</w:t>
            </w:r>
          </w:p>
        </w:tc>
        <w:tc>
          <w:tcPr>
            <w:tcW w:type="dxa" w:w="23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Does splat streaming work at required latency and scale with existing tools?</w:t>
            </w:r>
          </w:p>
        </w:tc>
        <w:tc>
          <w:tcPr>
            <w:tcW w:type="dxa" w:w="1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8-12 weeks</w:t>
            </w:r>
          </w:p>
        </w:tc>
        <w:tc>
          <w:tcPr>
            <w:tcW w:type="dxa" w:w="1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Harmony Dev Team</w:t>
            </w:r>
          </w:p>
        </w:tc>
      </w:tr>
    </w:tbl>
    <w:p>
      <w:pPr>
        <w:spacing w:after="80" w:before="80"/>
      </w:pPr>
      <w:r>
        <w:t xml:space="preserve"/>
      </w:r>
    </w:p>
    <w:p>
      <w:pPr>
        <w:spacing w:after="80" w:before="80"/>
      </w:pPr>
      <w:r>
        <w:rPr>
          <w:rFonts w:ascii="Arial" w:cs="Arial" w:eastAsia="Arial" w:hAnsi="Arial"/>
          <w:sz w:val="22"/>
          <w:szCs w:val="22"/>
        </w:rPr>
        <w:t xml:space="preserve">At the conclusion of WS-A through WS-C (weeks 6-8), a decision gate is held: does the splat pathway become the primary Track 2 development programme, or does the timeline extend based on what the research reveals? This gate requires Mikey's decision authority.</w:t>
      </w:r>
    </w:p>
    <w:p>
      <w:pPr>
        <w:pBdr>
          <w:bottom w:val="single" w:color="1A3A5C" w:sz="4" w:space="1"/>
        </w:pBdr>
        <w:spacing w:after="160" w:before="160"/>
      </w:pPr>
      <w:r>
        <w:t xml:space="preserve"/>
      </w:r>
    </w:p>
    <w:p>
      <w:pPr>
        <w:pStyle w:val="Heading1"/>
        <w:spacing w:after="160" w:before="360"/>
      </w:pPr>
      <w:r>
        <w:rPr>
          <w:rFonts w:ascii="Arial" w:cs="Arial" w:eastAsia="Arial" w:hAnsi="Arial"/>
          <w:b/>
          <w:bCs/>
          <w:color w:val="1A3A5C"/>
          <w:sz w:val="32"/>
          <w:szCs w:val="32"/>
        </w:rPr>
        <w:t xml:space="preserve">6. Latency Model — LLM Query to Spatial Experience</w:t>
      </w:r>
    </w:p>
    <w:p>
      <w:pPr>
        <w:spacing w:after="80" w:before="80"/>
      </w:pPr>
      <w:r>
        <w:rPr>
          <w:rFonts w:ascii="Arial" w:cs="Arial" w:eastAsia="Arial" w:hAnsi="Arial"/>
          <w:sz w:val="22"/>
          <w:szCs w:val="22"/>
        </w:rPr>
        <w:t xml:space="preserve">The user experience Harmony's founder described — where asking a question about a place results in the world flowing toward that place — is technically a three-system handoff under latency pressure. The perceived latency is the sum of all three. The architecture is designed to hide the rendering cost inside the LLM response time.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234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System</w:t>
            </w:r>
          </w:p>
        </w:tc>
        <w:tc>
          <w:tcPr>
            <w:tcW w:type="dxa" w:w="234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Target latency</w:t>
            </w:r>
          </w:p>
        </w:tc>
        <w:tc>
          <w:tcPr>
            <w:tcW w:type="dxa" w:w="234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Optimisation strategy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Semantic extraction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Class III Conversational Spatial Agent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&lt; 200ms after first tokens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Begin extraction during streaming response — do not wait for completion</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2. Cell resolution</w:t>
            </w:r>
          </w:p>
        </w:tc>
        <w:tc>
          <w:tcPr>
            <w:tcW w:type="dxa" w:w="23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Identity Registry (Pillar 1 — live)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&lt; 100ms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Already delivered. Exact match, fuzzy match, known_names index operational.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 Geometry pre-fetch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Renderer + adjacency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&lt; 500ms on standard network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Pre-fetch begins at stage 1, not stage 2. Geometry is resident before camera moves.</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4. Spatial transition</w:t>
            </w:r>
          </w:p>
        </w:tc>
        <w:tc>
          <w:tcPr>
            <w:tcW w:type="dxa" w:w="23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Renderer — camera animation</w:t>
            </w:r>
          </w:p>
        </w:tc>
        <w:tc>
          <w:tcPr>
            <w:tcW w:type="dxa" w:w="23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&lt; 100ms to begin</w:t>
            </w:r>
          </w:p>
        </w:tc>
        <w:tc>
          <w:tcPr>
            <w:tcW w:type="dxa" w:w="23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Camera begins moving before full geometry load. LOD upgrades in-flight.</w:t>
            </w:r>
          </w:p>
        </w:tc>
      </w:tr>
    </w:tbl>
    <w:p>
      <w:pPr>
        <w:spacing w:after="80" w:before="80"/>
      </w:pPr>
      <w:r>
        <w:t xml:space="preserve"/>
      </w:r>
    </w:p>
    <w:p>
      <w:pPr>
        <w:spacing w:after="80" w:before="80"/>
      </w:pPr>
      <w:r>
        <w:rPr>
          <w:rFonts w:ascii="Arial" w:cs="Arial" w:eastAsia="Arial" w:hAnsi="Arial"/>
          <w:sz w:val="22"/>
          <w:szCs w:val="22"/>
        </w:rPr>
        <w:t xml:space="preserve">The key architectural instruction for Pillar 3: the renderer must accept pre-fetch signals from a partial entity resolution — not only from a complete one. The moment a candidate cell is identified (even at low confidence), pre-fetching begins. This is the mechanism that makes the transition feel immediate.</w:t>
      </w:r>
    </w:p>
    <w:p>
      <w:pPr>
        <w:spacing w:after="80" w:before="80"/>
      </w:pPr>
      <w:r>
        <w:t xml:space="preserve"/>
      </w:r>
    </w:p>
    <w:p>
      <w:pPr>
        <w:spacing w:after="80" w:before="80"/>
      </w:pPr>
      <w:r>
        <w:rPr>
          <w:rFonts w:ascii="Arial" w:cs="Arial" w:eastAsia="Arial" w:hAnsi="Arial"/>
          <w:sz w:val="22"/>
          <w:szCs w:val="22"/>
        </w:rPr>
        <w:t xml:space="preserve">For Gap 2 (machine query latency), the provisional target proposed for Dr. Voss's validation is 100ms for human-facing spatial transitions. Class II Navigation Agent targets (autonomous systems) require a separate specification and remain open.</w:t>
      </w:r>
    </w:p>
    <w:p>
      <w:pPr>
        <w:pBdr>
          <w:bottom w:val="single" w:color="1A3A5C" w:sz="4" w:space="1"/>
        </w:pBdr>
        <w:spacing w:after="160" w:before="160"/>
      </w:pPr>
      <w:r>
        <w:t xml:space="preserve"/>
      </w:r>
    </w:p>
    <w:p>
      <w:pPr>
        <w:pStyle w:val="Heading1"/>
        <w:spacing w:after="160" w:before="360"/>
      </w:pPr>
      <w:r>
        <w:rPr>
          <w:rFonts w:ascii="Arial" w:cs="Arial" w:eastAsia="Arial" w:hAnsi="Arial"/>
          <w:b/>
          <w:bCs/>
          <w:color w:val="1A3A5C"/>
          <w:sz w:val="32"/>
          <w:szCs w:val="32"/>
        </w:rPr>
        <w:t xml:space="preserve">7. Pillar 2 Sprint 2 — Changes Required Before Commencement</w:t>
      </w:r>
    </w:p>
    <w:p>
      <w:pPr>
        <w:spacing w:after="120" w:before="120"/>
      </w:pPr>
      <w:r>
        <w:rPr>
          <w:rFonts w:ascii="Arial" w:cs="Arial" w:eastAsia="Arial" w:hAnsi="Arial"/>
          <w:b/>
          <w:bCs/>
          <w:color w:val="C0392B"/>
          <w:sz w:val="24"/>
          <w:szCs w:val="24"/>
        </w:rPr>
        <w:t xml:space="preserve">CRITICAL — READ BEFORE SPRINT 2 BEGINS</w:t>
      </w:r>
    </w:p>
    <w:p>
      <w:pPr>
        <w:spacing w:after="80" w:before="80"/>
      </w:pPr>
      <w:r>
        <w:rPr>
          <w:rFonts w:ascii="Arial" w:cs="Arial" w:eastAsia="Arial" w:hAnsi="Arial"/>
          <w:sz w:val="22"/>
          <w:szCs w:val="22"/>
        </w:rPr>
        <w:t xml:space="preserve">Sprint 2 was planned to commence today. This document changes the data contract that Sprint 2 must produce. The changes are targeted and do not require a full Sprint 2 redesign, but they must be incorporated before any code is written that produces output in the wrong format.</w:t>
      </w:r>
    </w:p>
    <w:p>
      <w:pPr>
        <w:spacing w:after="80" w:before="80"/>
      </w:pPr>
      <w:r>
        <w:t xml:space="preserve"/>
      </w:r>
    </w:p>
    <w:p>
      <w:pPr>
        <w:pStyle w:val="Heading2"/>
        <w:spacing w:after="120" w:before="280"/>
      </w:pPr>
      <w:r>
        <w:rPr>
          <w:rFonts w:ascii="Arial" w:cs="Arial" w:eastAsia="Arial" w:hAnsi="Arial"/>
          <w:b/>
          <w:bCs/>
          <w:color w:val="1A3A5C"/>
          <w:sz w:val="26"/>
          <w:szCs w:val="26"/>
        </w:rPr>
        <w:t xml:space="preserve">7.1 What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312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Original plan</w:t>
            </w:r>
          </w:p>
        </w:tc>
        <w:tc>
          <w:tcPr>
            <w:tcW w:type="dxa" w:w="312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New requirement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Rendering asset format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specified — format was open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glTF 2.0 with Draco compression. No tile-based formats (PNG tile pyramid, MBTiles, XYZ). These are permanently excluded.</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Asset storage key</w:t>
            </w:r>
          </w:p>
        </w:tc>
        <w:tc>
          <w:tcPr>
            <w:tcW w:type="dxa" w:w="31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Not specified</w:t>
            </w:r>
          </w:p>
        </w:tc>
        <w:tc>
          <w:tcPr>
            <w:tcW w:type="dxa" w:w="31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All rendering assets stored per cell, keyed by cell_key + fidelity_class. Never keyed by bounding box or zoom level.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Fidelity class model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Two-slot model defined (structural / photorealistic)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Confirmed. Add a third status: splat_pending — indicates photorealistic slot is reserved for future splat capture. Structural slot is always populated at ingestion.</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Asset bundle schema</w:t>
            </w:r>
          </w:p>
        </w:tc>
        <w:tc>
          <w:tcPr>
            <w:tcW w:type="dxa" w:w="31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asset_bundle_count and references.asset_bundles reserved in schema</w:t>
            </w:r>
          </w:p>
        </w:tc>
        <w:tc>
          <w:tcPr>
            <w:tcW w:type="dxa" w:w="31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Activate references.asset_bundles at Sprint 2. Each bundle record: { cell_key, fidelity_class, format, compression, lod_level, captured_at, source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Procedural geometry flag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specified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Add a boolean field: geometry_inferred. True where geometry is procedurally generated from open-source data rather than captured. False where real photogrammetric data is used. Critical for consumer-side confidence scoring.</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known_names population</w:t>
            </w:r>
          </w:p>
        </w:tc>
        <w:tc>
          <w:tcPr>
            <w:tcW w:type="dxa" w:w="31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Recommended at ingestion</w:t>
            </w:r>
          </w:p>
        </w:tc>
        <w:tc>
          <w:tcPr>
            <w:tcW w:type="dxa" w:w="31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Mandatory at Sprint 2. Every ingested entity with a human-readable name (street name, building name, place name) must populate known_names. This directly enables the LLM spatial transition latency model.</w:t>
            </w:r>
          </w:p>
        </w:tc>
      </w:tr>
    </w:tbl>
    <w:p>
      <w:pPr>
        <w:spacing w:after="80" w:before="80"/>
      </w:pPr>
      <w:r>
        <w:t xml:space="preserve"/>
      </w:r>
    </w:p>
    <w:p>
      <w:pPr>
        <w:pStyle w:val="Heading2"/>
        <w:spacing w:after="120" w:before="280"/>
      </w:pPr>
      <w:r>
        <w:rPr>
          <w:rFonts w:ascii="Arial" w:cs="Arial" w:eastAsia="Arial" w:hAnsi="Arial"/>
          <w:b/>
          <w:bCs/>
          <w:color w:val="1A3A5C"/>
          <w:sz w:val="26"/>
          <w:szCs w:val="26"/>
        </w:rPr>
        <w:t xml:space="preserve">7.2 What Does NOT Change</w:t>
      </w:r>
    </w:p>
    <w:p>
      <w:pPr>
        <w:spacing w:after="80" w:before="80"/>
      </w:pPr>
      <w:r>
        <w:rPr>
          <w:rFonts w:ascii="Arial" w:cs="Arial" w:eastAsia="Arial" w:hAnsi="Arial"/>
          <w:sz w:val="22"/>
          <w:szCs w:val="22"/>
        </w:rPr>
        <w:t xml:space="preserve">The following Sprint 2 decisions are confirmed and do not require revisiting:</w:t>
      </w:r>
    </w:p>
    <w:p>
      <w:pPr>
        <w:pStyle w:val="ListParagraph"/>
        <w:numPr>
          <w:ilvl w:val="0"/>
          <w:numId w:val="2"/>
        </w:numPr>
        <w:spacing w:after="60" w:before="60"/>
      </w:pPr>
      <w:r>
        <w:rPr>
          <w:rFonts w:ascii="Arial" w:cs="Arial" w:eastAsia="Arial" w:hAnsi="Arial"/>
          <w:b w:val="false"/>
          <w:bCs w:val="false"/>
          <w:sz w:val="22"/>
          <w:szCs w:val="22"/>
        </w:rPr>
        <w:t xml:space="preserve">CRS normalisation pipeline — WGS84 target, GDA2020 handling</w:t>
      </w:r>
    </w:p>
    <w:p>
      <w:pPr>
        <w:pStyle w:val="ListParagraph"/>
        <w:numPr>
          <w:ilvl w:val="0"/>
          <w:numId w:val="2"/>
        </w:numPr>
        <w:spacing w:after="60" w:before="60"/>
      </w:pPr>
      <w:r>
        <w:rPr>
          <w:rFonts w:ascii="Arial" w:cs="Arial" w:eastAsia="Arial" w:hAnsi="Arial"/>
          <w:b w:val="false"/>
          <w:bCs w:val="false"/>
          <w:sz w:val="22"/>
          <w:szCs w:val="22"/>
        </w:rPr>
        <w:t xml:space="preserve">Geometry validation suite — topology checks, quarantine model</w:t>
      </w:r>
    </w:p>
    <w:p>
      <w:pPr>
        <w:pStyle w:val="ListParagraph"/>
        <w:numPr>
          <w:ilvl w:val="0"/>
          <w:numId w:val="2"/>
        </w:numPr>
        <w:spacing w:after="60" w:before="60"/>
      </w:pPr>
      <w:r>
        <w:rPr>
          <w:rFonts w:ascii="Arial" w:cs="Arial" w:eastAsia="Arial" w:hAnsi="Arial"/>
          <w:b w:val="false"/>
          <w:bCs w:val="false"/>
          <w:sz w:val="22"/>
          <w:szCs w:val="22"/>
        </w:rPr>
        <w:t xml:space="preserve">Entity deduplication strategy — lot/DP natural keys for cadastral, spatial fallback for buildings</w:t>
      </w:r>
    </w:p>
    <w:p>
      <w:pPr>
        <w:pStyle w:val="ListParagraph"/>
        <w:numPr>
          <w:ilvl w:val="0"/>
          <w:numId w:val="2"/>
        </w:numPr>
        <w:spacing w:after="60" w:before="60"/>
      </w:pPr>
      <w:r>
        <w:rPr>
          <w:rFonts w:ascii="Arial" w:cs="Arial" w:eastAsia="Arial" w:hAnsi="Arial"/>
          <w:b w:val="false"/>
          <w:bCs w:val="false"/>
          <w:sz w:val="22"/>
          <w:szCs w:val="22"/>
        </w:rPr>
        <w:t xml:space="preserve">Dataset manifest format — YAML with JSON Schema validation</w:t>
      </w:r>
    </w:p>
    <w:p>
      <w:pPr>
        <w:pStyle w:val="ListParagraph"/>
        <w:numPr>
          <w:ilvl w:val="0"/>
          <w:numId w:val="2"/>
        </w:numPr>
        <w:spacing w:after="60" w:before="60"/>
      </w:pPr>
      <w:r>
        <w:rPr>
          <w:rFonts w:ascii="Arial" w:cs="Arial" w:eastAsia="Arial" w:hAnsi="Arial"/>
          <w:b w:val="false"/>
          <w:bCs w:val="false"/>
          <w:sz w:val="22"/>
          <w:szCs w:val="22"/>
        </w:rPr>
        <w:t xml:space="preserve">Resolution level assignment — geometry-adaptive with manifest default as floor</w:t>
      </w:r>
    </w:p>
    <w:p>
      <w:pPr>
        <w:pStyle w:val="ListParagraph"/>
        <w:numPr>
          <w:ilvl w:val="0"/>
          <w:numId w:val="2"/>
        </w:numPr>
        <w:spacing w:after="60" w:before="60"/>
      </w:pPr>
      <w:r>
        <w:rPr>
          <w:rFonts w:ascii="Arial" w:cs="Arial" w:eastAsia="Arial" w:hAnsi="Arial"/>
          <w:b w:val="false"/>
          <w:bCs w:val="false"/>
          <w:sz w:val="22"/>
          <w:szCs w:val="22"/>
        </w:rPr>
        <w:t xml:space="preserve">Error handling — quarantine model, pipeline continues</w:t>
      </w:r>
    </w:p>
    <w:p>
      <w:pPr>
        <w:pStyle w:val="ListParagraph"/>
        <w:numPr>
          <w:ilvl w:val="0"/>
          <w:numId w:val="2"/>
        </w:numPr>
        <w:spacing w:after="60" w:before="60"/>
      </w:pPr>
      <w:r>
        <w:rPr>
          <w:rFonts w:ascii="Arial" w:cs="Arial" w:eastAsia="Arial" w:hAnsi="Arial"/>
          <w:b w:val="false"/>
          <w:bCs w:val="false"/>
          <w:sz w:val="22"/>
          <w:szCs w:val="22"/>
        </w:rPr>
        <w:t xml:space="preserve">Pipeline orchestration — Python CLI for MVP</w:t>
      </w:r>
    </w:p>
    <w:p>
      <w:pPr>
        <w:spacing w:after="80" w:before="80"/>
      </w:pPr>
      <w:r>
        <w:t xml:space="preserve"/>
      </w:r>
    </w:p>
    <w:p>
      <w:pPr>
        <w:pStyle w:val="Heading2"/>
        <w:spacing w:after="120" w:before="280"/>
      </w:pPr>
      <w:r>
        <w:rPr>
          <w:rFonts w:ascii="Arial" w:cs="Arial" w:eastAsia="Arial" w:hAnsi="Arial"/>
          <w:b/>
          <w:bCs/>
          <w:color w:val="1A3A5C"/>
          <w:sz w:val="26"/>
          <w:szCs w:val="26"/>
        </w:rPr>
        <w:t xml:space="preserve">7.3 New Sprint 2 Acceptance Criteria</w:t>
      </w:r>
    </w:p>
    <w:p>
      <w:pPr>
        <w:spacing w:after="80" w:before="80"/>
      </w:pPr>
      <w:r>
        <w:rPr>
          <w:rFonts w:ascii="Arial" w:cs="Arial" w:eastAsia="Arial" w:hAnsi="Arial"/>
          <w:sz w:val="22"/>
          <w:szCs w:val="22"/>
        </w:rPr>
        <w:t xml:space="preserve">The following acceptance criteria are added to Sprint 2:</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5616"/>
        <w:gridCol w:w="2808"/>
      </w:tblGrid>
      <w:tr>
        <w:tc>
          <w:tcPr>
            <w:tcW w:type="dxa" w:w="936"/>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616"/>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Criterion</w:t>
            </w:r>
          </w:p>
        </w:tc>
        <w:tc>
          <w:tcPr>
            <w:tcW w:type="dxa" w:w="2808"/>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Validates</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AC-R1</w:t>
            </w:r>
          </w:p>
        </w:tc>
        <w:tc>
          <w:tcPr>
            <w:tcW w:type="dxa" w:w="561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registered cell with geometry produces a retrievable asset bundle record keyed by cell_key and fidelity_class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Asset store data contract</w:t>
            </w:r>
          </w:p>
        </w:tc>
      </w:tr>
      <w:tr>
        <w:tc>
          <w:tcPr>
            <w:tcW w:type="dxa" w:w="936"/>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AC-R2</w:t>
            </w:r>
          </w:p>
        </w:tc>
        <w:tc>
          <w:tcPr>
            <w:tcW w:type="dxa" w:w="5616"/>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Asset bundle record contains: format=glTF, compression=Draco, lod_level, captured_at, source</w:t>
            </w:r>
          </w:p>
        </w:tc>
        <w:tc>
          <w:tcPr>
            <w:tcW w:type="dxa" w:w="2808"/>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Bundle schema completeness</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AC-R3</w:t>
            </w:r>
          </w:p>
        </w:tc>
        <w:tc>
          <w:tcPr>
            <w:tcW w:type="dxa" w:w="561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geometry_inferred flag is correctly set to true for procedurally generated geometry and false for captured geometry</w:t>
            </w:r>
          </w:p>
        </w:tc>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Procedural inference tracking</w:t>
            </w:r>
          </w:p>
        </w:tc>
      </w:tr>
      <w:tr>
        <w:tc>
          <w:tcPr>
            <w:tcW w:type="dxa" w:w="936"/>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AC-R4</w:t>
            </w:r>
          </w:p>
        </w:tc>
        <w:tc>
          <w:tcPr>
            <w:tcW w:type="dxa" w:w="5616"/>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No asset bundle is stored with a bounding-box or zoom-level key. All bundles are keyed by cell_key.</w:t>
            </w:r>
          </w:p>
        </w:tc>
        <w:tc>
          <w:tcPr>
            <w:tcW w:type="dxa" w:w="2808"/>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Tile-free architecture</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AC-R5</w:t>
            </w:r>
          </w:p>
        </w:tc>
        <w:tc>
          <w:tcPr>
            <w:tcW w:type="dxa" w:w="561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Every ingested entity with a human-readable name has a populated known_names field confirmed via API</w:t>
            </w:r>
          </w:p>
        </w:tc>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LLM transition latency dependency</w:t>
            </w:r>
          </w:p>
        </w:tc>
      </w:tr>
      <w:tr>
        <w:tc>
          <w:tcPr>
            <w:tcW w:type="dxa" w:w="936"/>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AC-R6</w:t>
            </w:r>
          </w:p>
        </w:tc>
        <w:tc>
          <w:tcPr>
            <w:tcW w:type="dxa" w:w="5616"/>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fidelity_coverage.photorealistic.status is set to splat_pending for all procedurally generated cells</w:t>
            </w:r>
          </w:p>
        </w:tc>
        <w:tc>
          <w:tcPr>
            <w:tcW w:type="dxa" w:w="2808"/>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Track 2 migration readiness</w:t>
            </w:r>
          </w:p>
        </w:tc>
      </w:tr>
    </w:tbl>
    <w:p>
      <w:pPr>
        <w:pBdr>
          <w:bottom w:val="single" w:color="1A3A5C" w:sz="4" w:space="1"/>
        </w:pBdr>
        <w:spacing w:after="160" w:before="160"/>
      </w:pPr>
      <w:r>
        <w:t xml:space="preserve"/>
      </w:r>
    </w:p>
    <w:p>
      <w:pPr>
        <w:pStyle w:val="Heading1"/>
        <w:spacing w:after="160" w:before="360"/>
      </w:pPr>
      <w:r>
        <w:rPr>
          <w:rFonts w:ascii="Arial" w:cs="Arial" w:eastAsia="Arial" w:hAnsi="Arial"/>
          <w:b/>
          <w:bCs/>
          <w:color w:val="1A3A5C"/>
          <w:sz w:val="32"/>
          <w:szCs w:val="32"/>
        </w:rPr>
        <w:t xml:space="preserve">8. Gap Register — Proposed Updates</w:t>
      </w:r>
    </w:p>
    <w:p>
      <w:pPr>
        <w:spacing w:after="80" w:before="80"/>
      </w:pPr>
      <w:r>
        <w:rPr>
          <w:rFonts w:ascii="Arial" w:cs="Arial" w:eastAsia="Arial" w:hAnsi="Arial"/>
          <w:sz w:val="22"/>
          <w:szCs w:val="22"/>
        </w:rPr>
        <w:t xml:space="preserve">The following gap register changes are proposed for Dr. Voss's validation. These require formal ADR generation before they are considered closed.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340"/>
        <w:gridCol w:w="4680"/>
        <w:gridCol w:w="1404"/>
      </w:tblGrid>
      <w:tr>
        <w:tc>
          <w:tcPr>
            <w:tcW w:type="dxa" w:w="936"/>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Gap</w:t>
            </w:r>
          </w:p>
        </w:tc>
        <w:tc>
          <w:tcPr>
            <w:tcW w:type="dxa" w:w="234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Title</w:t>
            </w:r>
          </w:p>
        </w:tc>
        <w:tc>
          <w:tcPr>
            <w:tcW w:type="dxa" w:w="468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Proposed status change</w:t>
            </w:r>
          </w:p>
        </w:tc>
        <w:tc>
          <w:tcPr>
            <w:tcW w:type="dxa" w:w="1404"/>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ADR</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Gap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Rendering Philosophy Commitment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CLOSE — Two-track architecture adopted. Track 1: streaming progressive mesh (glTF/Draco, cell-keyed, continuous LOD via adjacency API). Track 2: Gaussian splatting (research programme active). No tile-based rendering confirmed at both tracks.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ADR-016</w:t>
            </w:r>
          </w:p>
        </w:tc>
      </w:tr>
      <w:tr>
        <w:tc>
          <w:tcPr>
            <w:tcW w:type="dxa" w:w="936"/>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Gap 2</w:t>
            </w:r>
          </w:p>
        </w:tc>
        <w:tc>
          <w:tcPr>
            <w:tcW w:type="dxa" w:w="23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Machine Query Latency</w:t>
            </w:r>
          </w:p>
        </w:tc>
        <w:tc>
          <w:tcPr>
            <w:tcW w:type="dxa" w:w="46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PARTIALLY CLOSE — Human-facing spatial transition target proposed at 100ms renderer response after cell resolution. Class II Navigation Agent target (autonomous systems) remains open — requires separate specification session.</w:t>
            </w:r>
          </w:p>
        </w:tc>
        <w:tc>
          <w:tcPr>
            <w:tcW w:type="dxa" w:w="1404"/>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ADR-016 (partial)</w:t>
            </w:r>
          </w:p>
        </w:tc>
      </w:tr>
    </w:tbl>
    <w:p>
      <w:pPr>
        <w:pBdr>
          <w:bottom w:val="single" w:color="1A3A5C" w:sz="4" w:space="1"/>
        </w:pBdr>
        <w:spacing w:after="160" w:before="160"/>
      </w:pPr>
      <w:r>
        <w:t xml:space="preserve"/>
      </w:r>
    </w:p>
    <w:p>
      <w:pPr>
        <w:pStyle w:val="Heading1"/>
        <w:spacing w:after="160" w:before="360"/>
      </w:pPr>
      <w:r>
        <w:rPr>
          <w:rFonts w:ascii="Arial" w:cs="Arial" w:eastAsia="Arial" w:hAnsi="Arial"/>
          <w:b/>
          <w:bCs/>
          <w:color w:val="1A3A5C"/>
          <w:sz w:val="32"/>
          <w:szCs w:val="32"/>
        </w:rPr>
        <w:t xml:space="preserve">9. 90-Day Milestone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1404"/>
        <w:gridCol w:w="4680"/>
        <w:gridCol w:w="1872"/>
      </w:tblGrid>
      <w:tr>
        <w:tc>
          <w:tcPr>
            <w:tcW w:type="dxa" w:w="1404"/>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Milestone</w:t>
            </w:r>
          </w:p>
        </w:tc>
        <w:tc>
          <w:tcPr>
            <w:tcW w:type="dxa" w:w="1404"/>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Weeks</w:t>
            </w:r>
          </w:p>
        </w:tc>
        <w:tc>
          <w:tcPr>
            <w:tcW w:type="dxa" w:w="468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c>
          <w:tcPr>
            <w:tcW w:type="dxa" w:w="1872"/>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Owner</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M1</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Sprint 2 ingests on glTF + Draco contract with all new acceptance criteria passing. known_names mandatory. geometry_inferred flag live. Central Coast procedural baseline complete.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Marcus Webb / Harmony Dev Team</w:t>
            </w:r>
          </w:p>
        </w:tc>
      </w:tr>
      <w:tr>
        <w:tc>
          <w:tcPr>
            <w:tcW w:type="dxa" w:w="1404"/>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M2</w:t>
            </w:r>
          </w:p>
        </w:tc>
        <w:tc>
          <w:tcPr>
            <w:tcW w:type="dxa" w:w="1404"/>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1-2</w:t>
            </w:r>
          </w:p>
        </w:tc>
        <w:tc>
          <w:tcPr>
            <w:tcW w:type="dxa" w:w="46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Cesium partnership approach completed. Go / No-Go decision on formal collaboration.</w:t>
            </w:r>
          </w:p>
        </w:tc>
        <w:tc>
          <w:tcPr>
            <w:tcW w:type="dxa" w:w="1872"/>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Boateng</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M3</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Pillar 3 Track 1 renderer delivers perceptual continuity on Central Coast procedural baseline. Camera traversal is seamless. Adjacency pre-fetch operational. LLM spatial transition end-to-end prototype working.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Harmony Dev Team</w:t>
            </w:r>
          </w:p>
        </w:tc>
      </w:tr>
      <w:tr>
        <w:tc>
          <w:tcPr>
            <w:tcW w:type="dxa" w:w="1404"/>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M4</w:t>
            </w:r>
          </w:p>
        </w:tc>
        <w:tc>
          <w:tcPr>
            <w:tcW w:type="dxa" w:w="1404"/>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4-8</w:t>
            </w:r>
          </w:p>
        </w:tc>
        <w:tc>
          <w:tcPr>
            <w:tcW w:type="dxa" w:w="46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Splat compression research complete. Yes/No answer on 60-75% compression viability.</w:t>
            </w:r>
          </w:p>
        </w:tc>
        <w:tc>
          <w:tcPr>
            <w:tcW w:type="dxa" w:w="1872"/>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External specialist</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Procedural inference prototype complete. Fidelity benchmark against a real Central Coast commercial asset. IP assessment complete.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Computer vision specialist</w:t>
            </w:r>
          </w:p>
        </w:tc>
      </w:tr>
      <w:tr>
        <w:tc>
          <w:tcPr>
            <w:tcW w:type="dxa" w:w="1404"/>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M6</w:t>
            </w:r>
          </w:p>
        </w:tc>
        <w:tc>
          <w:tcPr>
            <w:tcW w:type="dxa" w:w="1404"/>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8-12</w:t>
            </w:r>
          </w:p>
        </w:tc>
        <w:tc>
          <w:tcPr>
            <w:tcW w:type="dxa" w:w="46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Track 2 splat renderer integration prototype. Stream a real splat capture via cell API at target latency. Pass/Fail against AC-R1 through AC-R6.</w:t>
            </w:r>
          </w:p>
        </w:tc>
        <w:tc>
          <w:tcPr>
            <w:tcW w:type="dxa" w:w="1872"/>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Harmony Dev Team</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M7</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12 (gate)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Decision gate: Is Track 2 the primary Pillar 3 development path for Year 2? Mikey decision authority. Inputs: M4 compression result, M5 inference fidelity, M6 streaming viability, M2 Cesium partnership status.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Mikey</w:t>
            </w:r>
          </w:p>
        </w:tc>
      </w:tr>
    </w:tbl>
    <w:p>
      <w:pPr>
        <w:pBdr>
          <w:bottom w:val="single" w:color="1A3A5C" w:sz="4" w:space="1"/>
        </w:pBdr>
        <w:spacing w:after="160" w:before="160"/>
      </w:pPr>
      <w:r>
        <w:t xml:space="preserve"/>
      </w:r>
    </w:p>
    <w:p>
      <w:pPr>
        <w:pStyle w:val="Heading1"/>
        <w:spacing w:after="160" w:before="360"/>
      </w:pPr>
      <w:r>
        <w:rPr>
          <w:rFonts w:ascii="Arial" w:cs="Arial" w:eastAsia="Arial" w:hAnsi="Arial"/>
          <w:b/>
          <w:bCs/>
          <w:color w:val="1A3A5C"/>
          <w:sz w:val="32"/>
          <w:szCs w:val="32"/>
        </w:rPr>
        <w:t xml:space="preserve">10. Intellectual Property Strategy</w:t>
      </w:r>
    </w:p>
    <w:p>
      <w:pPr>
        <w:spacing w:after="80" w:before="80"/>
      </w:pPr>
      <w:r>
        <w:rPr>
          <w:rFonts w:ascii="Arial" w:cs="Arial" w:eastAsia="Arial" w:hAnsi="Arial"/>
          <w:sz w:val="22"/>
          <w:szCs w:val="22"/>
        </w:rPr>
        <w:t xml:space="preserve">Three assets warrant active IP protection. One warrants deliberate publication. The distinction matters.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4680"/>
        <w:gridCol w:w="1872"/>
      </w:tblGrid>
      <w:tr>
        <w:tc>
          <w:tcPr>
            <w:tcW w:type="dxa" w:w="2808"/>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Asset</w:t>
            </w:r>
          </w:p>
        </w:tc>
        <w:tc>
          <w:tcPr>
            <w:tcW w:type="dxa" w:w="468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IP position</w:t>
            </w:r>
          </w:p>
        </w:tc>
        <w:tc>
          <w:tcPr>
            <w:tcW w:type="dxa" w:w="1872"/>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Harmony Cell System substrate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Novel, non-obvious, central to competitive moat. Custom spatial indexing architecture not replicated by any existing library.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Patent filing — priority</w:t>
            </w:r>
          </w:p>
        </w:tc>
      </w:tr>
      <w:tr>
        <w:tc>
          <w:tcPr>
            <w:tcW w:type="dxa" w:w="2808"/>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Dual-fidelity ingestion model</w:t>
            </w:r>
          </w:p>
        </w:tc>
        <w:tc>
          <w:tcPr>
            <w:tcW w:type="dxa" w:w="46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Novel combination of structural + photorealistic fidelity classes within a single cell-resident asset bundle.</w:t>
            </w:r>
          </w:p>
        </w:tc>
        <w:tc>
          <w:tcPr>
            <w:tcW w:type="dxa" w:w="1872"/>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Patent filing — second priority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Procedural inference methodology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Novel combination of open-source imagery sources to generate high-fidelity plausible 3D models. Specific pipeline is proprietary.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Patent filing — file after M5 prototype confirms viability</w:t>
            </w:r>
          </w:p>
        </w:tc>
      </w:tr>
      <w:tr>
        <w:tc>
          <w:tcPr>
            <w:tcW w:type="dxa" w:w="2808"/>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Splat streaming protocol</w:t>
            </w:r>
          </w:p>
        </w:tc>
        <w:tc>
          <w:tcPr>
            <w:tcW w:type="dxa" w:w="46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Will be commoditised in 18-24 months. Harmony benefits more from shaping the standard than from owning it.</w:t>
            </w:r>
          </w:p>
        </w:tc>
        <w:tc>
          <w:tcPr>
            <w:tcW w:type="dxa" w:w="1872"/>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Publish early. Contribute to Cesium / OGC working group. Establish category authority.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Smart contract + spatial asset integration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Novel application layer. The combination of temporal cell state + smart contract execution is not in production anywhere.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Protect as trade secret until commercial contracts are signed. Then evaluate patent.</w:t>
            </w:r>
          </w:p>
        </w:tc>
      </w:tr>
    </w:tbl>
    <w:p>
      <w:pPr>
        <w:pBdr>
          <w:bottom w:val="single" w:color="1A3A5C" w:sz="4" w:space="1"/>
        </w:pBdr>
        <w:spacing w:after="160" w:before="160"/>
      </w:pPr>
      <w:r>
        <w:t xml:space="preserve"/>
      </w:r>
    </w:p>
    <w:p>
      <w:pPr>
        <w:pStyle w:val="Heading1"/>
        <w:spacing w:after="160" w:before="360"/>
      </w:pPr>
      <w:r>
        <w:rPr>
          <w:rFonts w:ascii="Arial" w:cs="Arial" w:eastAsia="Arial" w:hAnsi="Arial"/>
          <w:b/>
          <w:bCs/>
          <w:color w:val="1A3A5C"/>
          <w:sz w:val="32"/>
          <w:szCs w:val="32"/>
        </w:rPr>
        <w:t xml:space="preserve">11. Validation Request — Dr. Mara Voss</w:t>
      </w:r>
    </w:p>
    <w:p>
      <w:pPr>
        <w:spacing w:after="80" w:before="80"/>
      </w:pPr>
      <w:r>
        <w:rPr>
          <w:rFonts w:ascii="Arial" w:cs="Arial" w:eastAsia="Arial" w:hAnsi="Arial"/>
          <w:sz w:val="22"/>
          <w:szCs w:val="22"/>
        </w:rPr>
        <w:t xml:space="preserve">This document requires Dr. Voss's validation before Pillar 2 Sprint 2 commences. The following questions are specifically directed to the Principal Architect: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6552"/>
        <w:gridCol w:w="1872"/>
      </w:tblGrid>
      <w:tr>
        <w:tc>
          <w:tcPr>
            <w:tcW w:type="dxa" w:w="936"/>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6552"/>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1872"/>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Blocking?</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V1</w:t>
            </w:r>
          </w:p>
        </w:tc>
        <w:tc>
          <w:tcPr>
            <w:tcW w:type="dxa" w:w="655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Is the glTF 2.0 + Draco format confirmed as architecturally compatible with the Harmony Cell asset bundle model? Any constraints on the compression parameters?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 blocks Sprint 2 start</w:t>
            </w:r>
          </w:p>
        </w:tc>
      </w:tr>
      <w:tr>
        <w:tc>
          <w:tcPr>
            <w:tcW w:type="dxa" w:w="936"/>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V2</w:t>
            </w:r>
          </w:p>
        </w:tc>
        <w:tc>
          <w:tcPr>
            <w:tcW w:type="dxa" w:w="6552"/>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Is the asset bundle schema proposed in Section 7.1 (cell_key + fidelity_class + format + compression + lod_level + captured_at + source) complete, or are additional fields required at this stage?</w:t>
            </w:r>
          </w:p>
        </w:tc>
        <w:tc>
          <w:tcPr>
            <w:tcW w:type="dxa" w:w="1872"/>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YES — blocks Sprint 2 start</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V3</w:t>
            </w:r>
          </w:p>
        </w:tc>
        <w:tc>
          <w:tcPr>
            <w:tcW w:type="dxa" w:w="655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Is the geometry_inferred boolean field sufficient to track procedural vs. captured geometry, or does it need to carry additional provenance metadata at the schema layer?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 blocks Sprint 2</w:t>
            </w:r>
          </w:p>
        </w:tc>
      </w:tr>
      <w:tr>
        <w:tc>
          <w:tcPr>
            <w:tcW w:type="dxa" w:w="936"/>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V4</w:t>
            </w:r>
          </w:p>
        </w:tc>
        <w:tc>
          <w:tcPr>
            <w:tcW w:type="dxa" w:w="6552"/>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Does the proposed human-facing latency target of 100ms renderer response (Section 6) create any constraints on the Pillar 4 query model that need to be documented now?</w:t>
            </w:r>
          </w:p>
        </w:tc>
        <w:tc>
          <w:tcPr>
            <w:tcW w:type="dxa" w:w="1872"/>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Partial — informs Gap 2 closure</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V5</w:t>
            </w:r>
          </w:p>
        </w:tc>
        <w:tc>
          <w:tcPr>
            <w:tcW w:type="dxa" w:w="655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Is the splat_pending status for fidelity_coverage.photorealistic.status architecturally sound, or does the state machine need additional states for the Track 2 migration path?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 can be resolved in ADR-016</w:t>
            </w:r>
          </w:p>
        </w:tc>
      </w:tr>
      <w:tr>
        <w:tc>
          <w:tcPr>
            <w:tcW w:type="dxa" w:w="936"/>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V6</w:t>
            </w:r>
          </w:p>
        </w:tc>
        <w:tc>
          <w:tcPr>
            <w:tcW w:type="dxa" w:w="6552"/>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Any other architectural concerns with the two-track rendering strategy that should be documented in ADR-016 before Sprint 2 begins?</w:t>
            </w:r>
          </w:p>
        </w:tc>
        <w:tc>
          <w:tcPr>
            <w:tcW w:type="dxa" w:w="1872"/>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Voss discretion</w:t>
            </w:r>
          </w:p>
        </w:tc>
      </w:tr>
    </w:tbl>
    <w:p>
      <w:pPr>
        <w:spacing w:after="80" w:before="80"/>
      </w:pPr>
      <w:r>
        <w:t xml:space="preserve"/>
      </w:r>
    </w:p>
    <w:p>
      <w:pPr>
        <w:spacing w:after="80" w:before="80"/>
      </w:pPr>
      <w:r>
        <w:rPr>
          <w:rFonts w:ascii="Arial" w:cs="Arial" w:eastAsia="Arial" w:hAnsi="Arial"/>
          <w:sz w:val="22"/>
          <w:szCs w:val="22"/>
        </w:rPr>
        <w:t xml:space="preserve">Once Dr. Voss confirms V1, V2, and V3, Sprint 2 may commence. ADR-016 should be drafted in parallel with Sprint 2 execution and completed no later than the end of Sprint 2 Week 1.</w:t>
      </w:r>
    </w:p>
    <w:p>
      <w:pPr>
        <w:pBdr>
          <w:bottom w:val="single" w:color="1A3A5C" w:sz="4" w:space="1"/>
        </w:pBdr>
        <w:spacing w:after="160" w:before="160"/>
      </w:pPr>
      <w:r>
        <w:t xml:space="preserve"/>
      </w:r>
    </w:p>
    <w:p>
      <w:pPr>
        <w:spacing w:after="80" w:before="80"/>
      </w:pPr>
      <w:r>
        <w:t xml:space="preserve"/>
      </w:r>
    </w:p>
    <w:p>
      <w:pPr>
        <w:spacing w:after="80" w:before="80"/>
      </w:pPr>
      <w:r>
        <w:t xml:space="preserve"/>
      </w:r>
    </w:p>
    <w:p>
      <w:pPr>
        <w:spacing w:after="80" w:before="80"/>
      </w:pPr>
      <w:r>
        <w:rPr>
          <w:rFonts w:ascii="Arial" w:cs="Arial" w:eastAsia="Arial" w:hAnsi="Arial"/>
          <w:color w:val="8A9BAD"/>
          <w:sz w:val="18"/>
          <w:szCs w:val="18"/>
        </w:rPr>
        <w:t xml:space="preserve">HARMONY SPATIAL OPERATING SYSTEM — CONFIDENTIAL — April 2026</w:t>
      </w:r>
    </w:p>
    <w:p>
      <w:pPr>
        <w:spacing w:after="80" w:before="40"/>
      </w:pPr>
      <w:r>
        <w:rPr>
          <w:rFonts w:ascii="Arial" w:cs="Arial" w:eastAsia="Arial" w:hAnsi="Arial"/>
          <w:i/>
          <w:iCs/>
          <w:color w:val="8A9BAD"/>
          <w:sz w:val="18"/>
          <w:szCs w:val="18"/>
        </w:rPr>
        <w:t xml:space="preserve">Rendering Architecture Plan — Prepared by Dr. Kofi Boateng, Chief Geospatial Officer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2026-04-24T05:16:59.178Z</dcterms:created>
  <dcterms:modified xsi:type="dcterms:W3CDTF">2026-04-24T05:16:59.179Z</dcterms:modified>
</cp:coreProperties>
</file>

<file path=docProps/custom.xml><?xml version="1.0" encoding="utf-8"?>
<Properties xmlns="http://schemas.openxmlformats.org/officeDocument/2006/custom-properties" xmlns:vt="http://schemas.openxmlformats.org/officeDocument/2006/docPropsVTypes"/>
</file>