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HARMONY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E8E"/>
          <w:sz w:val="30"/>
          <w:szCs w:val="30"/>
        </w:rPr>
        <w:t xml:space="preserve">Pillar 2 Security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 Ingestion Pipeline — Security Requirements and Controls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— April 2026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Colonel (Ret.) Elena Márquez-Reid, CISO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Marcus Webb (Tech Lead); the Harmony Development Team; Dr. Mara Voss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Binding — to be folded into HARMONY_P2_DATA_INGESTION_PIPELINE_BRIEF_V1.0 before Session 01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Cross-reference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 Foundation V1.0; CISO Persona V1.0; Agent Security Seeding Prompt V1.0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0. Why This Brief Exists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Pillar 2 is the moment Harmony stops being a schema and starts being a system that accepts real-world data. Everything from here on has consequences that persist in the registry. This brief translates the Security Foundation into concrete, specific, do-this requirements for the Pillar 2 build. It does not replace the Pillar 2 Brief — it folds into it.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The guiding principle: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ingestion is an attack surface by default.</w:t>
      </w:r>
      <w:r>
        <w:rPr>
          <w:rFonts w:ascii="Arial" w:cs="Arial" w:eastAsia="Arial" w:hAnsi="Arial"/>
          <w:sz w:val="22"/>
          <w:szCs w:val="22"/>
        </w:rPr>
        <w:t xml:space="preserve"> Every external dataset, every permit feed, every third-party API response is untrusted until proven otherwise. The pipeline architecture must reflect this without adding friction that kills velocity.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Pillar 2 Security Requirements — Binding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These requirements are binding for Pillar 2 completion. Any milestone that passes functional acceptance but fails these is not complete.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1.1 At the Source Adapter Layer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R1.1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source file is SHA-256 hashed before reading. The hash is recorded in the ingestion run record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R1.2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Source files with unexpected content types (HTML when GeoJSON expected, executables embedded) are rejected and logged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C1, C5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R1.3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Adapters parse content as data only — no eval, exec, or equivalent on source content. No format that executes on parse (e.g. pickle) is accepted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R1.4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Adapter process runs with no network access beyond the allowlisted source endpoint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SP-III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[90-DAY]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1.2 At the CRS Normalisation Layer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R2.1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Coordinate bounds validation is strict. Any coordinate outside valid CRS range (or post-WGS84 outside [-180,180]/[-90,90]) is quarantined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R2.2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Declared CRS in a manifest is verified against structural cues in the source data. Mismatch flags for human review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R2.3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CRS transformation failures do not fall back silently to original coordinates. Fail closed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SP-V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1.3 At the Geometry Validation Layer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R3.1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Quarantine outputs include a signed record of why each feature was quarantined. Cannot be silently replayed without re-review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SP-II.1, SP-II.3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R3.2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dataset with more than 10% quarantined features halts ingestion and requires human sign-off to resume (5% warning retained)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R3.3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Quarantine files are retained for the audit retention period (minimum 90 days)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SP-V.1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[90-DAY]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1.4 At the Manifest Layer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R4.1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manifest carries a data_classification field (public/restricted/licensed/export_controlled/forbidden). Pipeline refuses without this field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SP-II.6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R4.2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manifest declares a source_authority. A source not on the approved list requires Mikey approval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R4.3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Manifests are checked into version control. Changes require PR review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SP-III.5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R4.4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manifest attempting to ingest data classified forbidden is refused and logged as a security event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C5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R4.5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Manifest JSON Schema validation extends to the classification and authority fields before any adapter is invoked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SP-II.6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1.5 At the Entity Extraction and Deduplication Layer (M4–M5)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R5.1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Attribute strings are never executed, parsed as instructions, or used to construct code paths. They are stored as data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R5.2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Attribute strings feeding LLM-based semantic labelling pass through an injection-resistance filter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SP-IV.7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[RESERVED]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R5.3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Known-names population from source data sanitises inputs: strip control characters, enforce maximum length, reject non-UTF-8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R5.4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Dedup confidence scores are recorded in the entity record's provenance metadata, not overwritten on re-ingestion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1.6 At the Pillar 1 API Boundary (M5, M6)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R6.1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pipeline authenticates to the Pillar 1 API using a scoped service credential retrieved from the vault at runtime. Never hardcoded. Never in a manifest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SP-III.1, SP-III.2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R6.2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credential is scoped to write entities and register cells only. It cannot read arbitrary records or modify namespaces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SP-I.2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R6.3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API write is tagged with the ingestion run ID, allowing post-hoc attribution and rollback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R6.4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pipeline does not bypass the API with direct database writes, regardless of performance temptation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SP-V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1.7 At the Dataset Registry (M5, M6)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R7.1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ingestion run record includes: manifest path, manifest hash, source file hashes, adapter versions, pipeline git commit SHA, agent identity, timestamps, row counts, quarantine counts, resulting entity count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SP-II.2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R7.2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Dataset registry is append-only. Updates to a run record are logged as new entries, not overwrites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SP-II.3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R7.3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Re-ingestion with identical manifest and identical source hashes produces identical results. Non-idempotent outcomes trigger a security event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1.8 At the Temporal Trigger Layer (M7)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R8.1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NSW Planning Portal API responses are treated as untrusted content. Field values do not feed code paths or agent instructions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C1, C4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R8.2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Permit records are validated against an expected schema. Unexpected fields are discarded, not stored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R8.3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Cell state transitions are idempotent and logged. Cannot be invoked to force a transition outside the validated event map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SP-II.3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R8.4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Temporal field activation migration executed only after: ADR-015 accepted, CISO sign-off on migration diff, Mikey's Telegram approval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SP-IV.1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R8.5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migration has a tested down function. Rollback is provably clean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SP-V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E8E"/>
          <w:sz w:val="26"/>
          <w:szCs w:val="26"/>
        </w:rPr>
        <w:t xml:space="preserve">1.9 Across the Pipeline (Cross-Cutting)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Maps to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R9.1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pipeline stages log to the centralised logging store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SP-V.1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[90-DAY]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R9.2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Pipeline container runs with minimum OS privileges, no root, no write access outside /workspace and /outputs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SP-III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R9.3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dependencies (including pinned GDAL) verified against known-good hashes on container build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SP-III.3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R9.4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pipeline does not open outbound network connections beyond an allowlist declared per environment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SP-III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[90-DAY]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R9.5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session that modifies the pipeline repo produces a session report including the Security Footer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Governance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[MVP]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New Artefacts Pillar 2 Must Produce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In addition to the existing Pillar 2 deliverables, the following are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Artefact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Completion Gate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Manifest JSON Schema v1.1 with classification + authority fields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harmony/pipelines/manifests/schema.v1.1.json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Builder Agent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Approved source authority allowlist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security/source_authorities_allowlist.yaml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Elena + Marcus Webb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Before M1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Forbidden data list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security/forbidden_data_classes.md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Elena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Before M1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Ingestion run record schema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harmony/pipelines/registry/run_schema.json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Builder Agent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Pipeline threat model (Pillar 2 scope)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security/P2_threat_model.md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Elena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Before M7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ADR-015 security review appendix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Included in ADR-015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Elena + Dr. Voss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During ADR-015 drafting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Security Gates Folded into the Milestone Map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Existing Pillar 2 milestones gain a security gate. The gate does not add a new milestone — it adds acceptance criteria.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Existing AC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Added Security AC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M1 — Source Adapters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 reads Central Coast dataset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adapter inputs hashed; unexpected content types rejected; no execution-on-parse formats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M2 — CRS Normalisation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GDA2020 correctly reprojected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Bounds validation strict; CRS declaration verified against data cues; no silent fallback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M3 — Geometry Validation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Quarantine report produced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Quarantine records signed; 10% halt threshold; 90-day retention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M4 — Manifests and Entity Extraction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Manifests valid, dedup works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Classification and authority fields mandatory; forbidden classification refused; attribute strings sanitised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M5 — End-to-End Ingestion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First dataset ingested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credential from vault; writes tagged with run ID; registry append-only; idempotent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M6 — Multi-Dataset Ingestion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Three datasets coexist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M5 security AC carried forward; cross-dataset dedup does not leak attribute content across provenance boundaries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M7 — Temporal Trigger 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8 functional AC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Permit responses treated as untrusted; state transitions idempotent; migration executed only after CISO sign-off + Mikey approval; down function tested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Additional Human Decision Gates for Pillar 2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The existing Pillar 2 PM Brief lists five decision points totalling 3–4 hours. Security adds three more. Total additional time: approximately 2–3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100"/>
        <w:gridCol w:w="1400"/>
        <w:gridCol w:w="19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New Decision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 the source authority allowlist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Before M1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Mikey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Review the forbidden data list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Before M1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Mikey + Elena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Sign off on the temporal migration security review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Before M7 migration execution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30–60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Mikey + Elena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These gates do not extend the schedule. They run in parallel with the existing decision gates.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Specific Threats to the Pillar 2 Build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Elena's Pillar 2 threat model identifies the following scenarios as immediate concerns. Each has a named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400"/>
        <w:gridCol w:w="1800"/>
        <w:gridCol w:w="20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Threat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Controlled By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Malicious payload in a property name or address field within NSW cadastral data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Low–Medium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 — could poison downstream semantic labelling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R5.1, R5.3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Overture Maps contributor account compromise leading to tampered building footprint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 — silent substrate error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R1.1, R7.3, SP-II.2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NSW Planning Portal API behaviour change (field rename, schema drift, unexpected field)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 — ingestion halt or silent error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R8.2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Vault-scoped credential accidentally logged in a session transcript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 (human)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High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R6.1, Seeding Prompt §1, SP-III.7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Developer writing a 'direct DB' path during M7 to work around an API limitation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High — bypasses every audit control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R6.4, Seeding Prompt §2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Manifest committed with data_classification: public when underlying data is licensed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 — contractual exposure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R4.2, review gate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MCP connector returning crafted content that reshapes the manifest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Low–Medium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Medium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SP-IV.4, Seeding Prompt §3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T4 and T5 are the most likely. Both are human-factor threats. The Seeding Prompt and destructive action gate are the primary defences; the technical controls are the backstop.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6. CISO Sign-Off Protocol for Pillar 2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Elena personally reviews and signs off on the following points during the Pillar 2 build: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The source authority allowlist (before M1).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The forbidden data list (before M1).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The manifest JSON Schema v1.1 diff (before M4).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ADR-015 (parallel to Dr. Voss's technical review, before M7).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The temporal field migration diff (before migration execution).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The Pillar 2 Executive Overview (security sign-off section, before Pillar 2 is declared complete).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For any sign-off, Elena's response takes one of three forms: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APPROVED WITH CONDITIONS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</w:t>
      </w:r>
      <w:r>
        <w:rPr>
          <w:rFonts w:ascii="Arial" w:cs="Arial" w:eastAsia="Arial" w:hAnsi="Arial"/>
          <w:sz w:val="22"/>
          <w:szCs w:val="22"/>
        </w:rPr>
        <w:t xml:space="preserve">. Blocked items escalate to Mikey with Elena's written reasoning.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7. What Pillar 2 Does Not Have to Do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To calibrate against over-engineering, the following are explicitly not Pillar 2 security requirements: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External endpoint publication or hardening (no external API yet).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Full cryptographic signing of cell records (reserved — activates pre-Pillar 4).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Penetration testing (scheduled post-Pillar 3).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Formal SOC 2 Type I audit preparation artefacts (that is the 90-day horizon, run in parallel with Pillar 3, not inside Pillar 2).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End-to-end encryption of data at rest beyond standard disk encryption (scoped in the 90-day horizon).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Independent legal review of every NSW dataset license (one batch review covers all NSW Spatial Services datasets; Overture has known terms).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Keeping these out of Pillar 2 is deliberate. Including them would push Pillar 2 from 5–6 weeks to 9–10 weeks without materially changing the security posture of the MVP.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8. Fold-In Instructions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For the Pillar 2 build to pick this up today: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Add this document to the Pillar 2 Brief 'Input files to read before beginning' list.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Add the Seeding Prompt v1.0 to the top of the session objective in the CoWork Build Instructions section of the Pillar 2 Brief.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Add the three new human decision gates (S1–S3) to Section 9 of the Pillar 2 PM Brief.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Update the Pillar 2 Milestone Map to reflect the added security ACs (Section 3 above).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Add the new artefacts (Section 2) to the Deliverables lists of the appropriate milestones.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Create the security/ directory in the repo with the initial files.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These changes are non-breaking. They do not invalidate existing Pillar 2 work or require replanning. They are additive acceptance criteria.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HARMONY — Pillar 2 Security Brief V1.0 —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Author: Colonel (Ret.) Elena Márquez-Reid, Chief Information Security Officer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HARMONY — Pillar 2 Security Brief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E8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 Pillar 2 Security Brief V1.0</dc:title>
  <dc:creator>Harmony Architecture</dc:creator>
  <cp:lastModifiedBy>Un-named</cp:lastModifiedBy>
  <cp:revision>1</cp:revision>
  <dcterms:created xsi:type="dcterms:W3CDTF">2026-04-23T01:04:03.519Z</dcterms:created>
  <dcterms:modified xsi:type="dcterms:W3CDTF">2026-04-23T01:04:03.519Z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