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FFFFFF" w:sz="0"/>
              <w:left w:val="single" w:color="FFFFFF" w:sz="0"/>
              <w:bottom w:val="single" w:color="FFFFFF" w:sz="0"/>
              <w:right w:val="single" w:color="FFFFFF" w:sz="0"/>
            </w:tcBorders>
            <w:shd w:fill="1B2A4A" w:val="clear"/>
            <w:tcMar>
              <w:top w:type="dxa" w:w="400"/>
              <w:left w:type="dxa" w:w="400"/>
              <w:bottom w:type="dxa" w:w="400"/>
              <w:right w:type="dxa" w:w="400"/>
            </w:tcMar>
          </w:tcPr>
          <w:p>
            <w:pPr>
              <w:spacing w:after="100" w:before="0"/>
              <w:jc w:val="left"/>
            </w:pPr>
            <w:r>
              <w:rPr>
                <w:rFonts w:ascii="Arial" w:cs="Arial" w:eastAsia="Arial" w:hAnsi="Arial"/>
                <w:b/>
                <w:bCs/>
                <w:color w:val="FFFFFF"/>
                <w:sz w:val="56"/>
                <w:szCs w:val="56"/>
              </w:rPr>
              <w:t xml:space="preserve">HARMONY</w:t>
            </w:r>
          </w:p>
          <w:p>
            <w:pPr>
              <w:spacing w:after="280" w:before="0"/>
              <w:jc w:val="left"/>
            </w:pPr>
            <w:r>
              <w:rPr>
                <w:rFonts w:ascii="Arial" w:cs="Arial" w:eastAsia="Arial" w:hAnsi="Arial"/>
                <w:color w:val="A0B8D8"/>
                <w:sz w:val="20"/>
                <w:szCs w:val="20"/>
              </w:rPr>
              <w:t xml:space="preserve">SPATIAL OPERATING SYSTEM</w:t>
            </w:r>
          </w:p>
          <w:p>
            <w:pPr>
              <w:pBdr>
                <w:bottom w:val="single" w:color="3B82C4" w:sz="4" w:space="1"/>
              </w:pBdr>
              <w:spacing w:after="280" w:before="0"/>
            </w:pPr>
            <w:r>
              <w:t xml:space="preserve"/>
            </w:r>
          </w:p>
          <w:p>
            <w:pPr>
              <w:spacing w:after="100" w:before="0"/>
            </w:pPr>
            <w:r>
              <w:rPr>
                <w:rFonts w:ascii="Arial" w:cs="Arial" w:eastAsia="Arial" w:hAnsi="Arial"/>
                <w:b/>
                <w:bCs/>
                <w:color w:val="FFFFFF"/>
                <w:sz w:val="30"/>
                <w:szCs w:val="30"/>
              </w:rPr>
              <w:t xml:space="preserve">Project Structure &amp; Naming Convention</w:t>
            </w:r>
          </w:p>
          <w:p>
            <w:pPr>
              <w:spacing w:after="280" w:before="0"/>
            </w:pPr>
            <w:r>
              <w:rPr>
                <w:rFonts w:ascii="Arial" w:cs="Arial" w:eastAsia="Arial" w:hAnsi="Arial"/>
                <w:color w:val="A0B8D8"/>
                <w:sz w:val="20"/>
                <w:szCs w:val="20"/>
              </w:rPr>
              <w:t xml:space="preserve">The canonical reference for file organisation, naming standards, and tool selection</w:t>
            </w:r>
          </w:p>
          <w:p>
            <w:pPr>
              <w:spacing w:after="0" w:before="0"/>
            </w:pPr>
            <w:r>
              <w:rPr>
                <w:rFonts w:ascii="Arial" w:cs="Arial" w:eastAsia="Arial" w:hAnsi="Arial"/>
                <w:color w:val="6A90B0"/>
                <w:sz w:val="17"/>
                <w:szCs w:val="17"/>
              </w:rPr>
              <w:t xml:space="preserve">Issued by Dr. Mara Voss, Principal Architect  |  April 2026  |  Confidential</w:t>
            </w:r>
          </w:p>
        </w:tc>
      </w:tr>
    </w:tbl>
    <w:p>
      <w:pPr>
        <w:spacing w:after="0" w:before="2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3B82C4"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3B82C4"/>
                <w:sz w:val="18"/>
                <w:szCs w:val="18"/>
              </w:rPr>
              <w:t xml:space="preserve">Why This Document Exists</w:t>
            </w:r>
          </w:p>
          <w:p>
            <w:pPr>
              <w:spacing w:after="0" w:before="0"/>
            </w:pPr>
            <w:r>
              <w:rPr>
                <w:rFonts w:ascii="Arial" w:cs="Arial" w:eastAsia="Arial" w:hAnsi="Arial"/>
                <w:color w:val="1A1A2E"/>
                <w:sz w:val="18"/>
                <w:szCs w:val="18"/>
              </w:rPr>
              <w:t xml:space="preserve">As Harmony grows across five pillars, three agent classes, and six dimensions, inconsistent naming and file placement creates compounding friction. A file named wrongly once is found correctly zero times after. This document is the single authority on how Harmony's project artefacts are named, organised, and routed to the right tool. Every agent, every session, every dispatch follows it without exception.</w:t>
            </w:r>
          </w:p>
        </w:tc>
      </w:tr>
    </w:tbl>
    <w:p>
      <w:pPr>
        <w:spacing w:after="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D0D8E8" w:sz="1"/>
              <w:left w:val="single" w:color="D0D8E8" w:sz="1"/>
              <w:bottom w:val="single" w:color="D0D8E8" w:sz="1"/>
              <w:right w:val="single" w:color="D0D8E8" w:sz="1"/>
            </w:tcBorders>
            <w:shd w:fill="1B2A4A" w:val="clear"/>
            <w:tcMar>
              <w:top w:type="dxa" w:w="120"/>
              <w:left w:type="dxa" w:w="160"/>
              <w:bottom w:type="dxa" w:w="120"/>
              <w:right w:type="dxa" w:w="160"/>
            </w:tcMar>
          </w:tcPr>
          <w:p>
            <w:pPr>
              <w:spacing w:after="40" w:before="0"/>
            </w:pPr>
            <w:r>
              <w:rPr>
                <w:rFonts w:ascii="Arial" w:cs="Arial" w:eastAsia="Arial" w:hAnsi="Arial"/>
                <w:b/>
                <w:bCs/>
                <w:color w:val="FFFFFF"/>
                <w:sz w:val="40"/>
                <w:szCs w:val="40"/>
              </w:rPr>
              <w:t xml:space="preserve">3</w:t>
            </w:r>
          </w:p>
          <w:p>
            <w:pPr>
              <w:spacing w:after="0" w:before="0"/>
            </w:pPr>
            <w:r>
              <w:rPr>
                <w:rFonts w:ascii="Arial" w:cs="Arial" w:eastAsia="Arial" w:hAnsi="Arial"/>
                <w:color w:val="A0B8D8"/>
                <w:sz w:val="17"/>
                <w:szCs w:val="17"/>
              </w:rPr>
              <w:t xml:space="preserve">Claude Tools</w:t>
            </w:r>
          </w:p>
        </w:tc>
        <w:tc>
          <w:tcPr>
            <w:tcW w:type="dxa" w:w="2460"/>
            <w:tcBorders>
              <w:top w:val="single" w:color="D0D8E8" w:sz="1"/>
              <w:left w:val="single" w:color="D0D8E8" w:sz="1"/>
              <w:bottom w:val="single" w:color="D0D8E8" w:sz="1"/>
              <w:right w:val="single" w:color="D0D8E8" w:sz="1"/>
            </w:tcBorders>
            <w:shd w:fill="2C4A7C" w:val="clear"/>
            <w:tcMar>
              <w:top w:type="dxa" w:w="120"/>
              <w:left w:type="dxa" w:w="160"/>
              <w:bottom w:type="dxa" w:w="120"/>
              <w:right w:type="dxa" w:w="160"/>
            </w:tcMar>
          </w:tcPr>
          <w:p>
            <w:pPr>
              <w:spacing w:after="40" w:before="0"/>
            </w:pPr>
            <w:r>
              <w:rPr>
                <w:rFonts w:ascii="Arial" w:cs="Arial" w:eastAsia="Arial" w:hAnsi="Arial"/>
                <w:b/>
                <w:bCs/>
                <w:color w:val="FFFFFF"/>
                <w:sz w:val="40"/>
                <w:szCs w:val="40"/>
              </w:rPr>
              <w:t xml:space="preserve">5</w:t>
            </w:r>
          </w:p>
          <w:p>
            <w:pPr>
              <w:spacing w:after="0" w:before="0"/>
            </w:pPr>
            <w:r>
              <w:rPr>
                <w:rFonts w:ascii="Arial" w:cs="Arial" w:eastAsia="Arial" w:hAnsi="Arial"/>
                <w:color w:val="A0B8D8"/>
                <w:sz w:val="17"/>
                <w:szCs w:val="17"/>
              </w:rPr>
              <w:t xml:space="preserve">Pillars</w:t>
            </w:r>
          </w:p>
        </w:tc>
        <w:tc>
          <w:tcPr>
            <w:tcW w:type="dxa" w:w="2460"/>
            <w:tcBorders>
              <w:top w:val="single" w:color="D0D8E8" w:sz="1"/>
              <w:left w:val="single" w:color="D0D8E8" w:sz="1"/>
              <w:bottom w:val="single" w:color="D0D8E8" w:sz="1"/>
              <w:right w:val="single" w:color="D0D8E8" w:sz="1"/>
            </w:tcBorders>
            <w:shd w:fill="1B2A4A" w:val="clear"/>
            <w:tcMar>
              <w:top w:type="dxa" w:w="120"/>
              <w:left w:type="dxa" w:w="160"/>
              <w:bottom w:type="dxa" w:w="120"/>
              <w:right w:type="dxa" w:w="160"/>
            </w:tcMar>
          </w:tcPr>
          <w:p>
            <w:pPr>
              <w:spacing w:after="40" w:before="0"/>
            </w:pPr>
            <w:r>
              <w:rPr>
                <w:rFonts w:ascii="Arial" w:cs="Arial" w:eastAsia="Arial" w:hAnsi="Arial"/>
                <w:b/>
                <w:bCs/>
                <w:color w:val="FFFFFF"/>
                <w:sz w:val="40"/>
                <w:szCs w:val="40"/>
              </w:rPr>
              <w:t xml:space="preserve">6</w:t>
            </w:r>
          </w:p>
          <w:p>
            <w:pPr>
              <w:spacing w:after="0" w:before="0"/>
            </w:pPr>
            <w:r>
              <w:rPr>
                <w:rFonts w:ascii="Arial" w:cs="Arial" w:eastAsia="Arial" w:hAnsi="Arial"/>
                <w:color w:val="A0B8D8"/>
                <w:sz w:val="17"/>
                <w:szCs w:val="17"/>
              </w:rPr>
              <w:t xml:space="preserve">Dimensions</w:t>
            </w:r>
          </w:p>
        </w:tc>
        <w:tc>
          <w:tcPr>
            <w:tcW w:type="dxa" w:w="2460"/>
            <w:tcBorders>
              <w:top w:val="single" w:color="D0D8E8" w:sz="1"/>
              <w:left w:val="single" w:color="D0D8E8" w:sz="1"/>
              <w:bottom w:val="single" w:color="D0D8E8" w:sz="1"/>
              <w:right w:val="single" w:color="D0D8E8" w:sz="1"/>
            </w:tcBorders>
            <w:shd w:fill="2C4A7C" w:val="clear"/>
            <w:tcMar>
              <w:top w:type="dxa" w:w="120"/>
              <w:left w:type="dxa" w:w="160"/>
              <w:bottom w:type="dxa" w:w="120"/>
              <w:right w:type="dxa" w:w="160"/>
            </w:tcMar>
          </w:tcPr>
          <w:p>
            <w:pPr>
              <w:spacing w:after="40" w:before="0"/>
            </w:pPr>
            <w:r>
              <w:rPr>
                <w:rFonts w:ascii="Arial" w:cs="Arial" w:eastAsia="Arial" w:hAnsi="Arial"/>
                <w:b/>
                <w:bCs/>
                <w:color w:val="FFFFFF"/>
                <w:sz w:val="40"/>
                <w:szCs w:val="40"/>
              </w:rPr>
              <w:t xml:space="preserve">1</w:t>
            </w:r>
          </w:p>
          <w:p>
            <w:pPr>
              <w:spacing w:after="0" w:before="0"/>
            </w:pPr>
            <w:r>
              <w:rPr>
                <w:rFonts w:ascii="Arial" w:cs="Arial" w:eastAsia="Arial" w:hAnsi="Arial"/>
                <w:color w:val="A0B8D8"/>
                <w:sz w:val="17"/>
                <w:szCs w:val="17"/>
              </w:rPr>
              <w:t xml:space="preserve">Source of Truth</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1. The Three Claude Tools</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Every piece of Harmony work routes through one of three Claude tools. Using the wrong tool for a task creates context loss, file management problems, and breaks the separation of concerns that keeps the architecture coherent. The rule is simple: match the work to the tool designed for it.</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3240"/>
      </w:tblGrid>
      <w:tr>
        <w:trPr>
          <w:tblHeader/>
        </w:trPr>
        <w:tc>
          <w:tcPr>
            <w:tcW w:type="dxa" w:w="1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Tool</w:t>
            </w:r>
          </w:p>
        </w:tc>
        <w:tc>
          <w:tcPr>
            <w:tcW w:type="dxa" w:w="2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Is</w:t>
            </w:r>
          </w:p>
        </w:tc>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Role in Harmony</w:t>
            </w:r>
          </w:p>
        </w:tc>
        <w:tc>
          <w:tcPr>
            <w:tcW w:type="dxa" w:w="32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 to Use It</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b/>
                <w:bCs/>
                <w:color w:val="2C4A7C"/>
                <w:sz w:val="20"/>
                <w:szCs w:val="20"/>
              </w:rPr>
              <w:t xml:space="preserve">Claude Chat</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Web or mobile conversation interface. Long context, deep reasoning, persistent project knowledge.</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Architecture, strategy, dimensional decisions, Dr. Mara Voss sessions, ADR authoring, dispatch writing.</w:t>
            </w:r>
          </w:p>
        </w:tc>
        <w:tc>
          <w:tcPr>
            <w:tcW w:type="dxa" w:w="3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time you are deciding what to build, how it fits the architecture, or producing artefacts for agents to consume.</w:t>
            </w:r>
          </w:p>
        </w:tc>
      </w:tr>
      <w:tr>
        <w:tc>
          <w:tcPr>
            <w:tcW w:type="dxa" w:w="1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b/>
                <w:bCs/>
                <w:color w:val="1A6B3A"/>
                <w:sz w:val="20"/>
                <w:szCs w:val="20"/>
              </w:rPr>
              <w:t xml:space="preserve">Claude CoWork</w:t>
            </w:r>
          </w:p>
        </w:tc>
        <w:tc>
          <w:tcPr>
            <w:tcW w:type="dxa" w:w="2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Desktop agent. Can see your screen, run tasks, manage files, coordinate multi-step workflows on your machine.</w:t>
            </w:r>
          </w:p>
        </w:tc>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Build session orchestration. Dispatching agents. Managing files across the Harmony repo. Running the OpenClaw task queue.</w:t>
            </w:r>
          </w:p>
        </w:tc>
        <w:tc>
          <w:tcPr>
            <w:tcW w:type="dxa" w:w="3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time you are executing a build session, coordinating agents, or need Claude operating on your local file system.</w:t>
            </w:r>
          </w:p>
        </w:tc>
      </w:tr>
      <w:tr>
        <w:tc>
          <w:tcPr>
            <w:tcW w:type="dxa" w:w="1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b/>
                <w:bCs/>
                <w:color w:val="4A2A7A"/>
                <w:sz w:val="20"/>
                <w:szCs w:val="20"/>
              </w:rPr>
              <w:t xml:space="preserve">Claude Code</w:t>
            </w:r>
          </w:p>
        </w:tc>
        <w:tc>
          <w:tcPr>
            <w:tcW w:type="dxa" w:w="2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Terminal-native agentic coding tool. Reads the repo, writes code, runs tests, commits to branches.</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Technical implementation. Writing Python, SQL, migrations. Running test suites. The actual engineering work.</w:t>
            </w:r>
          </w:p>
        </w:tc>
        <w:tc>
          <w:tcPr>
            <w:tcW w:type="dxa" w:w="3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Any time an agent is writing or modifying code, schemas, migrations, or tests inside the Harmony repository.</w:t>
            </w:r>
          </w:p>
        </w:tc>
      </w:tr>
    </w:tbl>
    <w:p>
      <w:pPr>
        <w:spacing w:after="0" w:before="200"/>
      </w:pPr>
      <w:r>
        <w:t xml:space="preserve"/>
      </w:r>
    </w:p>
    <w:p>
      <w:pPr>
        <w:pStyle w:val="Heading2"/>
      </w:pPr>
      <w:r>
        <w:rPr>
          <w:rFonts w:ascii="Arial" w:cs="Arial" w:eastAsia="Arial" w:hAnsi="Arial"/>
          <w:b/>
          <w:bCs/>
          <w:color w:val="2C4A7C"/>
          <w:sz w:val="22"/>
          <w:szCs w:val="22"/>
        </w:rPr>
        <w:t xml:space="preserve">1.1  The Separation Rule</w:t>
      </w:r>
    </w:p>
    <w:p>
      <w:pPr>
        <w:spacing w:after="80" w:before="80"/>
      </w:pPr>
      <w:r>
        <w:rPr>
          <w:rFonts w:ascii="Arial" w:cs="Arial" w:eastAsia="Arial" w:hAnsi="Arial"/>
          <w:i w:val="false"/>
          <w:iCs w:val="false"/>
          <w:color w:val="1A1A2E"/>
          <w:sz w:val="20"/>
          <w:szCs w:val="20"/>
        </w:rPr>
        <w:t xml:space="preserve">Chat decides. CoWork coordinates. Code builds. These are not interchangeable. A decision made in Code is invisible to the architecture unless it is brought back to Chat. A build session run in Chat produces no files. The three tools have different capabilities and different memory models — using them in the right sequence is what keeps the project coherent.</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840"/>
      </w:tblGrid>
      <w:tr>
        <w:trPr>
          <w:tblHeader/>
        </w:trPr>
        <w:tc>
          <w:tcPr>
            <w:tcW w:type="dxa" w:w="2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Task Type</w:t>
            </w:r>
          </w:p>
        </w:tc>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Correct Tool</w:t>
            </w:r>
          </w:p>
        </w:tc>
        <w:tc>
          <w:tcPr>
            <w:tcW w:type="dxa" w:w="48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Common Mistake</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Architectural decision (what to build, why)</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Making this call inside a Code session — decision is lost</w:t>
            </w:r>
          </w:p>
        </w:tc>
      </w:tr>
      <w:tr>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 authoring</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4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Writing ADRs directly in a code editor — they skip review</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 package creation</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Sending verbal instructions to a Code agent without a written brief</w:t>
            </w:r>
          </w:p>
        </w:tc>
      </w:tr>
      <w:tr>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Build session orchestration</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4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Running multi-step builds manually in Chat</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Schema migration authoring</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Writing migrations in Chat — they never reach the repo</w:t>
            </w:r>
          </w:p>
        </w:tc>
      </w:tr>
      <w:tr>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 execution</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4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Running tests in CoWork — output isn't captured in the session report</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Cross-pillar dependency review</w:t>
            </w:r>
          </w:p>
        </w:tc>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48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Letting a Code agent resolve cross-pillar questions unilaterally</w:t>
            </w:r>
          </w:p>
        </w:tc>
      </w:tr>
      <w:tr>
        <w:tc>
          <w:tcPr>
            <w:tcW w:type="dxa" w:w="2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File organisation and renaming</w:t>
            </w:r>
          </w:p>
        </w:tc>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48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Doing this manually — inconsistency guaranteed over time</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2. Repository Structure</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This is the canonical Harmony repository layout. Every file has one correct location. Agents are instructed to place files in the correct location — not the convenient one.</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2C4A7C"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2C4A7C"/>
                <w:sz w:val="18"/>
                <w:szCs w:val="18"/>
              </w:rPr>
              <w:t xml:space="preserve">The Rule</w:t>
            </w:r>
          </w:p>
          <w:p>
            <w:pPr>
              <w:spacing w:after="0" w:before="0"/>
            </w:pPr>
            <w:r>
              <w:rPr>
                <w:rFonts w:ascii="Arial" w:cs="Arial" w:eastAsia="Arial" w:hAnsi="Arial"/>
                <w:color w:val="1A1A2E"/>
                <w:sz w:val="18"/>
                <w:szCs w:val="18"/>
              </w:rPr>
              <w:t xml:space="preserve">If a file's location is ambiguous, the ambiguity is resolved here — not by the agent, not by convention, not by whatever seemed right at the time. When in doubt, consult this document.</w:t>
            </w:r>
          </w:p>
        </w:tc>
      </w:tr>
    </w:tbl>
    <w:p>
      <w:pPr>
        <w:spacing w:after="0" w:before="160"/>
      </w:pPr>
      <w:r>
        <w:t xml:space="preserve"/>
      </w:r>
    </w:p>
    <w:p>
      <w:pPr>
        <w:pStyle w:val="Heading2"/>
      </w:pPr>
      <w:r>
        <w:rPr>
          <w:rFonts w:ascii="Arial" w:cs="Arial" w:eastAsia="Arial" w:hAnsi="Arial"/>
          <w:b/>
          <w:bCs/>
          <w:color w:val="2C4A7C"/>
          <w:sz w:val="22"/>
          <w:szCs w:val="22"/>
        </w:rPr>
        <w:t xml:space="preserve">2.1  Top-Level Structure</w:t>
      </w:r>
    </w:p>
    <w:p>
      <w:pPr>
        <w:spacing w:after="40" w:before="40"/>
        <w:ind w:left="440"/>
      </w:pPr>
      <w:r>
        <w:rPr>
          <w:rFonts w:ascii="Courier New" w:cs="Courier New" w:eastAsia="Courier New" w:hAnsi="Courier New"/>
          <w:color w:val="1B2A4A"/>
          <w:sz w:val="18"/>
          <w:szCs w:val="18"/>
        </w:rPr>
        <w:t xml:space="preserve">harmony/</w:t>
      </w:r>
    </w:p>
    <w:p>
      <w:pPr>
        <w:spacing w:after="40" w:before="40"/>
        <w:ind w:left="440"/>
      </w:pPr>
      <w:r>
        <w:rPr>
          <w:rFonts w:ascii="Courier New" w:cs="Courier New" w:eastAsia="Courier New" w:hAnsi="Courier New"/>
          <w:color w:val="1B2A4A"/>
          <w:sz w:val="18"/>
          <w:szCs w:val="18"/>
        </w:rPr>
        <w:t xml:space="preserve">├── CLAUDE.md                    ← Repo-level context. Every agent reads this first.</w:t>
      </w:r>
    </w:p>
    <w:p>
      <w:pPr>
        <w:spacing w:after="40" w:before="40"/>
        <w:ind w:left="440"/>
      </w:pPr>
      <w:r>
        <w:rPr>
          <w:rFonts w:ascii="Courier New" w:cs="Courier New" w:eastAsia="Courier New" w:hAnsi="Courier New"/>
          <w:color w:val="1B2A4A"/>
          <w:sz w:val="18"/>
          <w:szCs w:val="18"/>
        </w:rPr>
        <w:t xml:space="preserve">├── .env.example                 ← Approved environment variable names. Never .env</w:t>
      </w:r>
    </w:p>
    <w:p>
      <w:pPr>
        <w:spacing w:after="40" w:before="40"/>
        <w:ind w:left="440"/>
      </w:pPr>
      <w:r>
        <w:rPr>
          <w:rFonts w:ascii="Courier New" w:cs="Courier New" w:eastAsia="Courier New" w:hAnsi="Courier New"/>
          <w:color w:val="1B2A4A"/>
          <w:sz w:val="18"/>
          <w:szCs w:val="18"/>
        </w:rPr>
        <w:t xml:space="preserve">├── docker-compose.yml</w:t>
      </w:r>
    </w:p>
    <w:p>
      <w:pPr>
        <w:spacing w:after="40" w:before="40"/>
        <w:ind w:left="440"/>
      </w:pPr>
      <w:r>
        <w:rPr>
          <w:rFonts w:ascii="Courier New" w:cs="Courier New" w:eastAsia="Courier New" w:hAnsi="Courier New"/>
          <w:color w:val="1B2A4A"/>
          <w:sz w:val="18"/>
          <w:szCs w:val="18"/>
        </w:rPr>
        <w:t xml:space="preserve">├── docs/</w:t>
      </w:r>
    </w:p>
    <w:p>
      <w:pPr>
        <w:spacing w:after="40" w:before="40"/>
        <w:ind w:left="440"/>
      </w:pPr>
      <w:r>
        <w:rPr>
          <w:rFonts w:ascii="Courier New" w:cs="Courier New" w:eastAsia="Courier New" w:hAnsi="Courier New"/>
          <w:color w:val="1B2A4A"/>
          <w:sz w:val="18"/>
          <w:szCs w:val="18"/>
        </w:rPr>
        <w:t xml:space="preserve">│   ├── adr/                     ← All ADRs. Canonical sequence. Never split.</w:t>
      </w:r>
    </w:p>
    <w:p>
      <w:pPr>
        <w:spacing w:after="40" w:before="40"/>
        <w:ind w:left="440"/>
      </w:pPr>
      <w:r>
        <w:rPr>
          <w:rFonts w:ascii="Courier New" w:cs="Courier New" w:eastAsia="Courier New" w:hAnsi="Courier New"/>
          <w:color w:val="1B2A4A"/>
          <w:sz w:val="18"/>
          <w:szCs w:val="18"/>
        </w:rPr>
        <w:t xml:space="preserve">│   ├── specs/                   ← Master spec versions and pillar specs</w:t>
      </w:r>
    </w:p>
    <w:p>
      <w:pPr>
        <w:spacing w:after="40" w:before="40"/>
        <w:ind w:left="440"/>
      </w:pPr>
      <w:r>
        <w:rPr>
          <w:rFonts w:ascii="Courier New" w:cs="Courier New" w:eastAsia="Courier New" w:hAnsi="Courier New"/>
          <w:color w:val="1B2A4A"/>
          <w:sz w:val="18"/>
          <w:szCs w:val="18"/>
        </w:rPr>
        <w:t xml:space="preserve">│   ├── dispatch/                ← Agent dispatch packages (read-only archive)</w:t>
      </w:r>
    </w:p>
    <w:p>
      <w:pPr>
        <w:spacing w:after="40" w:before="40"/>
        <w:ind w:left="440"/>
      </w:pPr>
      <w:r>
        <w:rPr>
          <w:rFonts w:ascii="Courier New" w:cs="Courier New" w:eastAsia="Courier New" w:hAnsi="Courier New"/>
          <w:color w:val="1B2A4A"/>
          <w:sz w:val="18"/>
          <w:szCs w:val="18"/>
        </w:rPr>
        <w:t xml:space="preserve">│   └── reports/                 ← Session output reports from build agents</w:t>
      </w:r>
    </w:p>
    <w:p>
      <w:pPr>
        <w:spacing w:after="40" w:before="40"/>
        <w:ind w:left="440"/>
      </w:pPr>
      <w:r>
        <w:rPr>
          <w:rFonts w:ascii="Courier New" w:cs="Courier New" w:eastAsia="Courier New" w:hAnsi="Courier New"/>
          <w:color w:val="1B2A4A"/>
          <w:sz w:val="18"/>
          <w:szCs w:val="18"/>
        </w:rPr>
        <w:t xml:space="preserve">├── src/</w:t>
      </w:r>
    </w:p>
    <w:p>
      <w:pPr>
        <w:spacing w:after="40" w:before="40"/>
        <w:ind w:left="440"/>
      </w:pPr>
      <w:r>
        <w:rPr>
          <w:rFonts w:ascii="Courier New" w:cs="Courier New" w:eastAsia="Courier New" w:hAnsi="Courier New"/>
          <w:color w:val="1B2A4A"/>
          <w:sz w:val="18"/>
          <w:szCs w:val="18"/>
        </w:rPr>
        <w:t xml:space="preserve">│   ├── core/                    ← Spatial Engineer domain. Cell math, HSAM logic.</w:t>
      </w:r>
    </w:p>
    <w:p>
      <w:pPr>
        <w:spacing w:after="40" w:before="40"/>
        <w:ind w:left="440"/>
      </w:pPr>
      <w:r>
        <w:rPr>
          <w:rFonts w:ascii="Courier New" w:cs="Courier New" w:eastAsia="Courier New" w:hAnsi="Courier New"/>
          <w:color w:val="1B2A4A"/>
          <w:sz w:val="18"/>
          <w:szCs w:val="18"/>
        </w:rPr>
        <w:t xml:space="preserve">│   ├── api/                     ← Backend Engineer domain. FastAPI, endpoints.</w:t>
      </w:r>
    </w:p>
    <w:p>
      <w:pPr>
        <w:spacing w:after="40" w:before="40"/>
        <w:ind w:left="440"/>
      </w:pPr>
      <w:r>
        <w:rPr>
          <w:rFonts w:ascii="Courier New" w:cs="Courier New" w:eastAsia="Courier New" w:hAnsi="Courier New"/>
          <w:color w:val="1B2A4A"/>
          <w:sz w:val="18"/>
          <w:szCs w:val="18"/>
        </w:rPr>
        <w:t xml:space="preserve">│   ├── db/</w:t>
      </w:r>
    </w:p>
    <w:p>
      <w:pPr>
        <w:spacing w:after="40" w:before="40"/>
        <w:ind w:left="440"/>
      </w:pPr>
      <w:r>
        <w:rPr>
          <w:rFonts w:ascii="Courier New" w:cs="Courier New" w:eastAsia="Courier New" w:hAnsi="Courier New"/>
          <w:color w:val="1B2A4A"/>
          <w:sz w:val="18"/>
          <w:szCs w:val="18"/>
        </w:rPr>
        <w:t xml:space="preserve">│   │   ├── migrations/          ← Migration files. Produced by agents, not executed.</w:t>
      </w:r>
    </w:p>
    <w:p>
      <w:pPr>
        <w:spacing w:after="40" w:before="40"/>
        <w:ind w:left="440"/>
      </w:pPr>
      <w:r>
        <w:rPr>
          <w:rFonts w:ascii="Courier New" w:cs="Courier New" w:eastAsia="Courier New" w:hAnsi="Courier New"/>
          <w:color w:val="1B2A4A"/>
          <w:sz w:val="18"/>
          <w:szCs w:val="18"/>
        </w:rPr>
        <w:t xml:space="preserve">│   │   └── schemas/             ← Schema definition files.</w:t>
      </w:r>
    </w:p>
    <w:p>
      <w:pPr>
        <w:spacing w:after="40" w:before="40"/>
        <w:ind w:left="440"/>
      </w:pPr>
      <w:r>
        <w:rPr>
          <w:rFonts w:ascii="Courier New" w:cs="Courier New" w:eastAsia="Courier New" w:hAnsi="Courier New"/>
          <w:color w:val="1B2A4A"/>
          <w:sz w:val="18"/>
          <w:szCs w:val="18"/>
        </w:rPr>
        <w:t xml:space="preserve">│   └── ingestion/               ← Pillar 2. Ingestion pipeline modules.</w:t>
      </w:r>
    </w:p>
    <w:p>
      <w:pPr>
        <w:spacing w:after="40" w:before="40"/>
        <w:ind w:left="440"/>
      </w:pPr>
      <w:r>
        <w:rPr>
          <w:rFonts w:ascii="Courier New" w:cs="Courier New" w:eastAsia="Courier New" w:hAnsi="Courier New"/>
          <w:color w:val="1B2A4A"/>
          <w:sz w:val="18"/>
          <w:szCs w:val="18"/>
        </w:rPr>
        <w:t xml:space="preserve">├── tests/</w:t>
      </w:r>
    </w:p>
    <w:p>
      <w:pPr>
        <w:spacing w:after="40" w:before="40"/>
        <w:ind w:left="440"/>
      </w:pPr>
      <w:r>
        <w:rPr>
          <w:rFonts w:ascii="Courier New" w:cs="Courier New" w:eastAsia="Courier New" w:hAnsi="Courier New"/>
          <w:color w:val="1B2A4A"/>
          <w:sz w:val="18"/>
          <w:szCs w:val="18"/>
        </w:rPr>
        <w:t xml:space="preserve">│   ├── core/                    ← Tests for src/core/</w:t>
      </w:r>
    </w:p>
    <w:p>
      <w:pPr>
        <w:spacing w:after="40" w:before="40"/>
        <w:ind w:left="440"/>
      </w:pPr>
      <w:r>
        <w:rPr>
          <w:rFonts w:ascii="Courier New" w:cs="Courier New" w:eastAsia="Courier New" w:hAnsi="Courier New"/>
          <w:color w:val="1B2A4A"/>
          <w:sz w:val="18"/>
          <w:szCs w:val="18"/>
        </w:rPr>
        <w:t xml:space="preserve">│   ├── api/                     ← Tests for src/api/</w:t>
      </w:r>
    </w:p>
    <w:p>
      <w:pPr>
        <w:spacing w:after="40" w:before="40"/>
        <w:ind w:left="440"/>
      </w:pPr>
      <w:r>
        <w:rPr>
          <w:rFonts w:ascii="Courier New" w:cs="Courier New" w:eastAsia="Courier New" w:hAnsi="Courier New"/>
          <w:color w:val="1B2A4A"/>
          <w:sz w:val="18"/>
          <w:szCs w:val="18"/>
        </w:rPr>
        <w:t xml:space="preserve">│   ├── db/                      ← Tests for migrations and schema</w:t>
      </w:r>
    </w:p>
    <w:p>
      <w:pPr>
        <w:spacing w:after="40" w:before="40"/>
        <w:ind w:left="440"/>
      </w:pPr>
      <w:r>
        <w:rPr>
          <w:rFonts w:ascii="Courier New" w:cs="Courier New" w:eastAsia="Courier New" w:hAnsi="Courier New"/>
          <w:color w:val="1B2A4A"/>
          <w:sz w:val="18"/>
          <w:szCs w:val="18"/>
        </w:rPr>
        <w:t xml:space="preserve">│   └── ingestion/               ← Tests for ingestion pipeline</w:t>
      </w:r>
    </w:p>
    <w:p>
      <w:pPr>
        <w:spacing w:after="40" w:before="40"/>
        <w:ind w:left="440"/>
      </w:pPr>
      <w:r>
        <w:rPr>
          <w:rFonts w:ascii="Courier New" w:cs="Courier New" w:eastAsia="Courier New" w:hAnsi="Courier New"/>
          <w:color w:val="1B2A4A"/>
          <w:sz w:val="18"/>
          <w:szCs w:val="18"/>
        </w:rPr>
        <w:t xml:space="preserve">├── openclaw/</w:t>
      </w:r>
    </w:p>
    <w:p>
      <w:pPr>
        <w:spacing w:after="40" w:before="40"/>
        <w:ind w:left="440"/>
      </w:pPr>
      <w:r>
        <w:rPr>
          <w:rFonts w:ascii="Courier New" w:cs="Courier New" w:eastAsia="Courier New" w:hAnsi="Courier New"/>
          <w:color w:val="1B2A4A"/>
          <w:sz w:val="18"/>
          <w:szCs w:val="18"/>
        </w:rPr>
        <w:t xml:space="preserve">│   ├── OPENCLAW.md              ← Shared agent brain. Updated after every session.</w:t>
      </w:r>
    </w:p>
    <w:p>
      <w:pPr>
        <w:spacing w:after="40" w:before="40"/>
        <w:ind w:left="440"/>
      </w:pPr>
      <w:r>
        <w:rPr>
          <w:rFonts w:ascii="Courier New" w:cs="Courier New" w:eastAsia="Courier New" w:hAnsi="Courier New"/>
          <w:color w:val="1B2A4A"/>
          <w:sz w:val="18"/>
          <w:szCs w:val="18"/>
        </w:rPr>
        <w:t xml:space="preserve">│   ├── agents/                  ← Agent system prompts</w:t>
      </w:r>
    </w:p>
    <w:p>
      <w:pPr>
        <w:spacing w:after="40" w:before="40"/>
        <w:ind w:left="440"/>
      </w:pPr>
      <w:r>
        <w:rPr>
          <w:rFonts w:ascii="Courier New" w:cs="Courier New" w:eastAsia="Courier New" w:hAnsi="Courier New"/>
          <w:color w:val="1B2A4A"/>
          <w:sz w:val="18"/>
          <w:szCs w:val="18"/>
        </w:rPr>
        <w:t xml:space="preserve">│   ├── security/                ← Security policy</w:t>
      </w:r>
    </w:p>
    <w:p>
      <w:pPr>
        <w:spacing w:after="40" w:before="40"/>
        <w:ind w:left="440"/>
      </w:pPr>
      <w:r>
        <w:rPr>
          <w:rFonts w:ascii="Courier New" w:cs="Courier New" w:eastAsia="Courier New" w:hAnsi="Courier New"/>
          <w:color w:val="1B2A4A"/>
          <w:sz w:val="18"/>
          <w:szCs w:val="18"/>
        </w:rPr>
        <w:t xml:space="preserve">│   └── orchestrator/            ← SQLite schema, task queue</w:t>
      </w:r>
    </w:p>
    <w:p>
      <w:pPr>
        <w:spacing w:after="40" w:before="40"/>
        <w:ind w:left="440"/>
      </w:pPr>
      <w:r>
        <w:rPr>
          <w:rFonts w:ascii="Courier New" w:cs="Courier New" w:eastAsia="Courier New" w:hAnsi="Courier New"/>
          <w:color w:val="1B2A4A"/>
          <w:sz w:val="18"/>
          <w:szCs w:val="18"/>
        </w:rPr>
        <w:t xml:space="preserve">└── data/</w:t>
      </w:r>
    </w:p>
    <w:p>
      <w:pPr>
        <w:spacing w:after="40" w:before="40"/>
        <w:ind w:left="440"/>
      </w:pPr>
      <w:r>
        <w:rPr>
          <w:rFonts w:ascii="Courier New" w:cs="Courier New" w:eastAsia="Courier New" w:hAnsi="Courier New"/>
          <w:color w:val="1B2A4A"/>
          <w:sz w:val="18"/>
          <w:szCs w:val="18"/>
        </w:rPr>
        <w:t xml:space="preserve">    ├── pilot/                   ← Central Coast NSW source datasets</w:t>
      </w:r>
    </w:p>
    <w:p>
      <w:pPr>
        <w:spacing w:after="40" w:before="40"/>
        <w:ind w:left="440"/>
      </w:pPr>
      <w:r>
        <w:rPr>
          <w:rFonts w:ascii="Courier New" w:cs="Courier New" w:eastAsia="Courier New" w:hAnsi="Courier New"/>
          <w:color w:val="1B2A4A"/>
          <w:sz w:val="18"/>
          <w:szCs w:val="18"/>
        </w:rPr>
        <w:t xml:space="preserve">    └── fixtures/                ← Test fixtures (not real data)</w:t>
      </w:r>
    </w:p>
    <w:p>
      <w:pPr>
        <w:spacing w:after="0" w:before="160"/>
      </w:pPr>
      <w:r>
        <w:t xml:space="preserve"/>
      </w:r>
    </w:p>
    <w:p>
      <w:pPr>
        <w:pStyle w:val="Heading2"/>
      </w:pPr>
      <w:r>
        <w:rPr>
          <w:rFonts w:ascii="Arial" w:cs="Arial" w:eastAsia="Arial" w:hAnsi="Arial"/>
          <w:b/>
          <w:bCs/>
          <w:color w:val="2C4A7C"/>
          <w:sz w:val="22"/>
          <w:szCs w:val="22"/>
        </w:rPr>
        <w:t xml:space="preserve">2.2  The docs/ Directory — Critical Rules</w:t>
      </w:r>
    </w:p>
    <w:p>
      <w:pPr>
        <w:pStyle w:val="ListParagraph"/>
        <w:numPr>
          <w:ilvl w:val="0"/>
          <w:numId w:val="2"/>
        </w:numPr>
        <w:spacing w:after="50" w:before="50"/>
      </w:pPr>
      <w:r>
        <w:rPr>
          <w:rFonts w:ascii="Arial" w:cs="Arial" w:eastAsia="Arial" w:hAnsi="Arial"/>
          <w:b/>
          <w:bCs/>
          <w:color w:val="2C4A7C"/>
          <w:sz w:val="20"/>
          <w:szCs w:val="20"/>
        </w:rPr>
        <w:t xml:space="preserve">docs/adr/</w:t>
      </w:r>
      <w:r>
        <w:rPr>
          <w:rFonts w:ascii="Arial" w:cs="Arial" w:eastAsia="Arial" w:hAnsi="Arial"/>
          <w:color w:val="1A1A2E"/>
          <w:sz w:val="20"/>
          <w:szCs w:val="20"/>
        </w:rPr>
        <w:t xml:space="preserve"> — ADRs live here and only here. Files named ADR-001.md through ADR-NNN.md. The ADR_INDEX.md file in this folder is the authoritative sequence. Never create an ADR anywhere else.</w:t>
      </w:r>
    </w:p>
    <w:p>
      <w:pPr>
        <w:pStyle w:val="ListParagraph"/>
        <w:numPr>
          <w:ilvl w:val="0"/>
          <w:numId w:val="2"/>
        </w:numPr>
        <w:spacing w:after="50" w:before="50"/>
      </w:pPr>
      <w:r>
        <w:rPr>
          <w:rFonts w:ascii="Arial" w:cs="Arial" w:eastAsia="Arial" w:hAnsi="Arial"/>
          <w:b/>
          <w:bCs/>
          <w:color w:val="2C4A7C"/>
          <w:sz w:val="20"/>
          <w:szCs w:val="20"/>
        </w:rPr>
        <w:t xml:space="preserve">docs/specs/</w:t>
      </w:r>
      <w:r>
        <w:rPr>
          <w:rFonts w:ascii="Arial" w:cs="Arial" w:eastAsia="Arial" w:hAnsi="Arial"/>
          <w:color w:val="1A1A2E"/>
          <w:sz w:val="20"/>
          <w:szCs w:val="20"/>
        </w:rPr>
        <w:t xml:space="preserve"> — Master spec versions and pillar specification documents. Read-only for agents — they consume specs, they do not modify them.</w:t>
      </w:r>
    </w:p>
    <w:p>
      <w:pPr>
        <w:pStyle w:val="ListParagraph"/>
        <w:numPr>
          <w:ilvl w:val="0"/>
          <w:numId w:val="2"/>
        </w:numPr>
        <w:spacing w:after="50" w:before="50"/>
      </w:pPr>
      <w:r>
        <w:rPr>
          <w:rFonts w:ascii="Arial" w:cs="Arial" w:eastAsia="Arial" w:hAnsi="Arial"/>
          <w:b/>
          <w:bCs/>
          <w:color w:val="2C4A7C"/>
          <w:sz w:val="20"/>
          <w:szCs w:val="20"/>
        </w:rPr>
        <w:t xml:space="preserve">docs/dispatch/</w:t>
      </w:r>
      <w:r>
        <w:rPr>
          <w:rFonts w:ascii="Arial" w:cs="Arial" w:eastAsia="Arial" w:hAnsi="Arial"/>
          <w:color w:val="1A1A2E"/>
          <w:sz w:val="20"/>
          <w:szCs w:val="20"/>
        </w:rPr>
        <w:t xml:space="preserve"> — Completed dispatch packages archived here after a session is complete. The active dispatch lives outside the repo (sent to the agent), then archived here for the record.</w:t>
      </w:r>
    </w:p>
    <w:p>
      <w:pPr>
        <w:pStyle w:val="ListParagraph"/>
        <w:numPr>
          <w:ilvl w:val="0"/>
          <w:numId w:val="2"/>
        </w:numPr>
        <w:spacing w:after="50" w:before="50"/>
      </w:pPr>
      <w:r>
        <w:rPr>
          <w:rFonts w:ascii="Arial" w:cs="Arial" w:eastAsia="Arial" w:hAnsi="Arial"/>
          <w:b/>
          <w:bCs/>
          <w:color w:val="2C4A7C"/>
          <w:sz w:val="20"/>
          <w:szCs w:val="20"/>
        </w:rPr>
        <w:t xml:space="preserve">docs/reports/</w:t>
      </w:r>
      <w:r>
        <w:rPr>
          <w:rFonts w:ascii="Arial" w:cs="Arial" w:eastAsia="Arial" w:hAnsi="Arial"/>
          <w:color w:val="1A1A2E"/>
          <w:sz w:val="20"/>
          <w:szCs w:val="20"/>
        </w:rPr>
        <w:t xml:space="preserve"> — Session output reports filed by build agents. One file per session. Filename matches Task ID.</w:t>
      </w:r>
    </w:p>
    <w:p>
      <w:r>
        <w:br w:type="page"/>
      </w:r>
    </w:p>
    <w:p>
      <w:pPr>
        <w:spacing w:after="0" w:before="160"/>
      </w:pPr>
      <w:r>
        <w:t xml:space="preserve"/>
      </w:r>
    </w:p>
    <w:p>
      <w:pPr>
        <w:pStyle w:val="Heading1"/>
      </w:pPr>
      <w:r>
        <w:rPr>
          <w:rFonts w:ascii="Arial" w:cs="Arial" w:eastAsia="Arial" w:hAnsi="Arial"/>
          <w:b/>
          <w:bCs/>
          <w:color w:val="1B2A4A"/>
          <w:sz w:val="28"/>
          <w:szCs w:val="28"/>
        </w:rPr>
        <w:t xml:space="preserve">3. Naming Conventions</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Naming is not a stylistic preference. Consistent names are what allow agents to find files without being told where they are, and what allow the architecture chat to maintain coherence across sessions. Every category of file has one naming pattern. Use it every time.</w:t>
      </w:r>
    </w:p>
    <w:p>
      <w:pPr>
        <w:spacing w:after="0" w:before="160"/>
      </w:pPr>
      <w:r>
        <w:t xml:space="preserve"/>
      </w:r>
    </w:p>
    <w:p>
      <w:pPr>
        <w:pStyle w:val="Heading2"/>
      </w:pPr>
      <w:r>
        <w:rPr>
          <w:rFonts w:ascii="Arial" w:cs="Arial" w:eastAsia="Arial" w:hAnsi="Arial"/>
          <w:b/>
          <w:bCs/>
          <w:color w:val="2C4A7C"/>
          <w:sz w:val="22"/>
          <w:szCs w:val="22"/>
        </w:rPr>
        <w:t xml:space="preserve">3.1  The Master Naming Rules</w:t>
      </w:r>
    </w:p>
    <w:p>
      <w:pPr>
        <w:pStyle w:val="ListParagraph"/>
        <w:numPr>
          <w:ilvl w:val="0"/>
          <w:numId w:val="2"/>
        </w:numPr>
        <w:spacing w:after="50" w:before="50"/>
      </w:pPr>
      <w:r>
        <w:rPr>
          <w:rFonts w:ascii="Arial" w:cs="Arial" w:eastAsia="Arial" w:hAnsi="Arial"/>
          <w:b/>
          <w:bCs/>
          <w:color w:val="2C4A7C"/>
          <w:sz w:val="20"/>
          <w:szCs w:val="20"/>
        </w:rPr>
        <w:t xml:space="preserve">Lowercase with hyphens</w:t>
      </w:r>
      <w:r>
        <w:rPr>
          <w:rFonts w:ascii="Arial" w:cs="Arial" w:eastAsia="Arial" w:hAnsi="Arial"/>
          <w:color w:val="1A1A2E"/>
          <w:sz w:val="20"/>
          <w:szCs w:val="20"/>
        </w:rPr>
        <w:t xml:space="preserve"> for all file and directory names. Never camelCase, never underscores, never spaces. Exception: Python files use underscores (language convention).</w:t>
      </w:r>
    </w:p>
    <w:p>
      <w:pPr>
        <w:pStyle w:val="ListParagraph"/>
        <w:numPr>
          <w:ilvl w:val="0"/>
          <w:numId w:val="2"/>
        </w:numPr>
        <w:spacing w:after="50" w:before="50"/>
      </w:pPr>
      <w:r>
        <w:rPr>
          <w:rFonts w:ascii="Arial" w:cs="Arial" w:eastAsia="Arial" w:hAnsi="Arial"/>
          <w:b/>
          <w:bCs/>
          <w:color w:val="2C4A7C"/>
          <w:sz w:val="20"/>
          <w:szCs w:val="20"/>
        </w:rPr>
        <w:t xml:space="preserve">Pillar prefix</w:t>
      </w:r>
      <w:r>
        <w:rPr>
          <w:rFonts w:ascii="Arial" w:cs="Arial" w:eastAsia="Arial" w:hAnsi="Arial"/>
          <w:color w:val="1A1A2E"/>
          <w:sz w:val="20"/>
          <w:szCs w:val="20"/>
        </w:rPr>
        <w:t xml:space="preserve"> on all pillar-specific documents: p1-, p2-, p3-, p4-, p5-</w:t>
      </w:r>
    </w:p>
    <w:p>
      <w:pPr>
        <w:pStyle w:val="ListParagraph"/>
        <w:numPr>
          <w:ilvl w:val="0"/>
          <w:numId w:val="2"/>
        </w:numPr>
        <w:spacing w:after="50" w:before="50"/>
      </w:pPr>
      <w:r>
        <w:rPr>
          <w:rFonts w:ascii="Arial" w:cs="Arial" w:eastAsia="Arial" w:hAnsi="Arial"/>
          <w:b/>
          <w:bCs/>
          <w:color w:val="2C4A7C"/>
          <w:sz w:val="20"/>
          <w:szCs w:val="20"/>
        </w:rPr>
        <w:t xml:space="preserve">Date suffix</w:t>
      </w:r>
      <w:r>
        <w:rPr>
          <w:rFonts w:ascii="Arial" w:cs="Arial" w:eastAsia="Arial" w:hAnsi="Arial"/>
          <w:color w:val="1A1A2E"/>
          <w:sz w:val="20"/>
          <w:szCs w:val="20"/>
        </w:rPr>
        <w:t xml:space="preserve"> on all session-bound documents: YYYYMMDD</w:t>
      </w:r>
    </w:p>
    <w:p>
      <w:pPr>
        <w:pStyle w:val="ListParagraph"/>
        <w:numPr>
          <w:ilvl w:val="0"/>
          <w:numId w:val="2"/>
        </w:numPr>
        <w:spacing w:after="50" w:before="50"/>
      </w:pPr>
      <w:r>
        <w:rPr>
          <w:rFonts w:ascii="Arial" w:cs="Arial" w:eastAsia="Arial" w:hAnsi="Arial"/>
          <w:b/>
          <w:bCs/>
          <w:color w:val="2C4A7C"/>
          <w:sz w:val="20"/>
          <w:szCs w:val="20"/>
        </w:rPr>
        <w:t xml:space="preserve">Version suffix</w:t>
      </w:r>
      <w:r>
        <w:rPr>
          <w:rFonts w:ascii="Arial" w:cs="Arial" w:eastAsia="Arial" w:hAnsi="Arial"/>
          <w:color w:val="1A1A2E"/>
          <w:sz w:val="20"/>
          <w:szCs w:val="20"/>
        </w:rPr>
        <w:t xml:space="preserve"> on all versioned specifications: -v1-0-0 (hyphens, not dots, in filenames)</w:t>
      </w:r>
    </w:p>
    <w:p>
      <w:pPr>
        <w:pStyle w:val="ListParagraph"/>
        <w:numPr>
          <w:ilvl w:val="0"/>
          <w:numId w:val="2"/>
        </w:numPr>
        <w:spacing w:after="50" w:before="50"/>
      </w:pPr>
      <w:r>
        <w:rPr>
          <w:rFonts w:ascii="Arial" w:cs="Arial" w:eastAsia="Arial" w:hAnsi="Arial"/>
          <w:b/>
          <w:bCs/>
          <w:color w:val="2C4A7C"/>
          <w:sz w:val="20"/>
          <w:szCs w:val="20"/>
        </w:rPr>
        <w:t xml:space="preserve">ADR prefix</w:t>
      </w:r>
      <w:r>
        <w:rPr>
          <w:rFonts w:ascii="Arial" w:cs="Arial" w:eastAsia="Arial" w:hAnsi="Arial"/>
          <w:color w:val="1A1A2E"/>
          <w:sz w:val="20"/>
          <w:szCs w:val="20"/>
        </w:rPr>
        <w:t xml:space="preserve"> on all architectural decision records: ADR-NNN (three digits, zero-padded)</w:t>
      </w:r>
    </w:p>
    <w:p>
      <w:pPr>
        <w:spacing w:after="0" w:before="160"/>
      </w:pPr>
      <w:r>
        <w:t xml:space="preserve"/>
      </w:r>
    </w:p>
    <w:p>
      <w:pPr>
        <w:pStyle w:val="Heading2"/>
      </w:pPr>
      <w:r>
        <w:rPr>
          <w:rFonts w:ascii="Arial" w:cs="Arial" w:eastAsia="Arial" w:hAnsi="Arial"/>
          <w:b/>
          <w:bCs/>
          <w:color w:val="2C4A7C"/>
          <w:sz w:val="22"/>
          <w:szCs w:val="22"/>
        </w:rPr>
        <w:t xml:space="preserve">3.2  File Naming by Category</w:t>
      </w:r>
    </w:p>
    <w:p>
      <w:pPr>
        <w:spacing w:after="0" w:before="80"/>
      </w:pPr>
      <w:r>
        <w:t xml:space="preserve"/>
      </w:r>
    </w:p>
    <w:p>
      <w:pPr>
        <w:pStyle w:val="Heading3"/>
      </w:pPr>
      <w:r>
        <w:rPr>
          <w:rFonts w:ascii="Arial" w:cs="Arial" w:eastAsia="Arial" w:hAnsi="Arial"/>
          <w:b/>
          <w:bCs/>
          <w:color w:val="2C4A7C"/>
          <w:sz w:val="20"/>
          <w:szCs w:val="20"/>
        </w:rPr>
        <w:t xml:space="preserve">ADRs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ADR-{NNN}-{slug}.md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ADR-015-adaptive-volumetric-cell-extension.md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Three-digit zero-padded number. Slug is lowercase hyphenated title.</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ADR_INDEX.md</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ADR_INDEX.md</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One file. Lives at docs/adr/. Never renamed.</w:t>
            </w:r>
          </w:p>
        </w:tc>
      </w:tr>
    </w:tbl>
    <w:p>
      <w:pPr>
        <w:spacing w:after="0" w:before="120"/>
      </w:pPr>
      <w:r>
        <w:t xml:space="preserve"/>
      </w:r>
    </w:p>
    <w:p>
      <w:pPr>
        <w:pStyle w:val="Heading3"/>
      </w:pPr>
      <w:r>
        <w:rPr>
          <w:rFonts w:ascii="Arial" w:cs="Arial" w:eastAsia="Arial" w:hAnsi="Arial"/>
          <w:b/>
          <w:bCs/>
          <w:color w:val="2C4A7C"/>
          <w:sz w:val="20"/>
          <w:szCs w:val="20"/>
        </w:rPr>
        <w:t xml:space="preserve">Master Specification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harmony-master-spec-v{N}-{N}-{N}.md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harmony-master-spec-v1-1-0.md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Hyphens for version numbers in filenames.</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harmony-master-spec-v{N}-{N}-{N}.pdf</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harmony-master-spec-v1-1-0.pdf</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PDF version of same. Same base name.</w:t>
            </w:r>
          </w:p>
        </w:tc>
      </w:tr>
    </w:tbl>
    <w:p>
      <w:pPr>
        <w:spacing w:after="0" w:before="120"/>
      </w:pPr>
      <w:r>
        <w:t xml:space="preserve"/>
      </w:r>
    </w:p>
    <w:p>
      <w:pPr>
        <w:pStyle w:val="Heading3"/>
      </w:pPr>
      <w:r>
        <w:rPr>
          <w:rFonts w:ascii="Arial" w:cs="Arial" w:eastAsia="Arial" w:hAnsi="Arial"/>
          <w:b/>
          <w:bCs/>
          <w:color w:val="2C4A7C"/>
          <w:sz w:val="20"/>
          <w:szCs w:val="20"/>
        </w:rPr>
        <w:t xml:space="preserve">Pillar Specifications and Briefs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p{N}-{slug}-brief-v{N}.md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p2-data-ingestion-brief-v1.md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prefix. Brief = planning doc given to architect.</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p{N}-m{N}-{slug}-spec.md</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p2-m7-temporal-trigger-spec.md</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 milestone. Spec = authoritative build instruction.</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p{N}-{slug}-handoff.md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p2-data-ingestion-handoff.md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Handoff = cross-pillar handoff document.</w:t>
            </w:r>
          </w:p>
        </w:tc>
      </w:tr>
    </w:tbl>
    <w:p>
      <w:pPr>
        <w:spacing w:after="0" w:before="120"/>
      </w:pPr>
      <w:r>
        <w:t xml:space="preserve"/>
      </w:r>
    </w:p>
    <w:p>
      <w:pPr>
        <w:pStyle w:val="Heading3"/>
      </w:pPr>
      <w:r>
        <w:rPr>
          <w:rFonts w:ascii="Arial" w:cs="Arial" w:eastAsia="Arial" w:hAnsi="Arial"/>
          <w:b/>
          <w:bCs/>
          <w:color w:val="2C4A7C"/>
          <w:sz w:val="20"/>
          <w:szCs w:val="20"/>
        </w:rPr>
        <w:t xml:space="preserve">Dispatch Packages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dispatch-p{N}-{slug}-{YYYYMMDD}/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dispatch-p1-stage2-20260420/</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Folder. Contains numbered files 00–07.</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00-read-first.md through 07-output-protocol.md</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05-session-brief.md</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Numbered prefix defines reading order. Always two digits.</w:t>
            </w:r>
          </w:p>
        </w:tc>
      </w:tr>
    </w:tbl>
    <w:p>
      <w:pPr>
        <w:spacing w:after="0" w:before="120"/>
      </w:pPr>
      <w:r>
        <w:t xml:space="preserve"/>
      </w:r>
    </w:p>
    <w:p>
      <w:pPr>
        <w:pStyle w:val="Heading3"/>
      </w:pPr>
      <w:r>
        <w:rPr>
          <w:rFonts w:ascii="Arial" w:cs="Arial" w:eastAsia="Arial" w:hAnsi="Arial"/>
          <w:b/>
          <w:bCs/>
          <w:color w:val="2C4A7C"/>
          <w:sz w:val="20"/>
          <w:szCs w:val="20"/>
        </w:rPr>
        <w:t xml:space="preserve">Session Reports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p{N}-m{N}-report-{YYYYMMDD}.md</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p1-stage2-report-20260420.md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Filed by build agent to docs/reports/ on session completion.</w:t>
            </w:r>
          </w:p>
        </w:tc>
      </w:tr>
    </w:tbl>
    <w:p>
      <w:pPr>
        <w:spacing w:after="0" w:before="120"/>
      </w:pPr>
      <w:r>
        <w:t xml:space="preserve"/>
      </w:r>
    </w:p>
    <w:p>
      <w:pPr>
        <w:pStyle w:val="Heading3"/>
      </w:pPr>
      <w:r>
        <w:rPr>
          <w:rFonts w:ascii="Arial" w:cs="Arial" w:eastAsia="Arial" w:hAnsi="Arial"/>
          <w:b/>
          <w:bCs/>
          <w:color w:val="2C4A7C"/>
          <w:sz w:val="20"/>
          <w:szCs w:val="20"/>
        </w:rPr>
        <w:t xml:space="preserve">Source Code Files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Python: lowercase_underscores.py</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cell_registry.py</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PEP 8. No exceptions.</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Migrations: {YYYYMMDD}_{HHMMSS}_{slug}.sql</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20260420_143000_add_altitude_fields.sql</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Timestamp prefix ensures chronological sort. Lives in src/db/migrations/.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Tests: test_{module_name}.py</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test_volumetric_cells.py</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Must mirror the module it tests.</w:t>
            </w:r>
          </w:p>
        </w:tc>
      </w:tr>
      <w:tr>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Schemas: {slug}-schema-v{N}-{N}-{N}.json</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cell-schema-v0-1-3.json</w:t>
            </w:r>
          </w:p>
        </w:tc>
        <w:tc>
          <w:tcPr>
            <w:tcW w:type="dxa" w:w="40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Versioned. Lives in src/db/schemas/.</w:t>
            </w:r>
          </w:p>
        </w:tc>
      </w:tr>
    </w:tbl>
    <w:p>
      <w:pPr>
        <w:spacing w:after="0" w:before="120"/>
      </w:pPr>
      <w:r>
        <w:t xml:space="preserve"/>
      </w:r>
    </w:p>
    <w:p>
      <w:pPr>
        <w:pStyle w:val="Heading3"/>
      </w:pPr>
      <w:r>
        <w:rPr>
          <w:rFonts w:ascii="Arial" w:cs="Arial" w:eastAsia="Arial" w:hAnsi="Arial"/>
          <w:b/>
          <w:bCs/>
          <w:color w:val="2C4A7C"/>
          <w:sz w:val="20"/>
          <w:szCs w:val="20"/>
        </w:rPr>
        <w:t xml:space="preserve">Agent Prompts (OpenClaw)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40"/>
      </w:tblGrid>
      <w:tr>
        <w:trPr>
          <w:tblHeader/>
        </w:trPr>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c>
          <w:tcPr>
            <w:tcW w:type="dxa" w:w="40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{ROLE_NAME}.md (uppercase)</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TECH_LEAD.md, DR_MARA_VOSS.md</w:t>
            </w:r>
          </w:p>
        </w:tc>
        <w:tc>
          <w:tcPr>
            <w:tcW w:type="dxa" w:w="40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All caps. Underscore separator. Lives in openclaw/agents/.</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4. Pillar-Specific Naming Patterns</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Each pillar has domain-specific file types that require consistent naming. This section defines the patterns for the two active pillars and establishes the pattern for downstream pillars when they activate.</w:t>
      </w:r>
    </w:p>
    <w:p>
      <w:pPr>
        <w:spacing w:after="0" w:before="160"/>
      </w:pPr>
      <w:r>
        <w:t xml:space="preserve"/>
      </w:r>
    </w:p>
    <w:p>
      <w:pPr>
        <w:pStyle w:val="Heading2"/>
      </w:pPr>
      <w:r>
        <w:rPr>
          <w:rFonts w:ascii="Arial" w:cs="Arial" w:eastAsia="Arial" w:hAnsi="Arial"/>
          <w:b/>
          <w:bCs/>
          <w:color w:val="2C4A7C"/>
          <w:sz w:val="22"/>
          <w:szCs w:val="22"/>
        </w:rPr>
        <w:t xml:space="preserve">4.1  Pillar 1 — Spatial Substrate</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40"/>
      </w:tblGrid>
      <w:tr>
        <w:trPr>
          <w:tblHeader/>
        </w:trPr>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 Type</w:t>
            </w:r>
          </w:p>
        </w:tc>
        <w:tc>
          <w:tcPr>
            <w:tcW w:type="dxa" w:w="3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42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Stage completion report</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p1-stage{N}-completion-report.md</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p1-stage1-completion-report.md</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Schema version</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cell-schema-v{major}-{minor}-{patch}.json</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cell-schema-v0-1-3.json</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 key module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cell_key.py</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cell_key.py — no version in filename; version tracked by git</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Adjacency module</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cell_adjacency.py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One module. Not split by resolution.</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Volumetric extension module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cell_volumetric.py</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Stage 2 addition. Separate module from surface cell logic.</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 endpoint file</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api_cells.py, api_entities.py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One file per resource type.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 files</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YYYYMMDD_HHMMSS_{slug}.sql</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20260420_143000_add_altitude_fields.sql</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Acceptance test suite</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test_p1_stage{N}_acceptance.py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test_p1_stage2_acceptance.py</w:t>
            </w:r>
          </w:p>
        </w:tc>
      </w:tr>
    </w:tbl>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2C4A7C"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2C4A7C"/>
                <w:sz w:val="18"/>
                <w:szCs w:val="18"/>
              </w:rPr>
              <w:t xml:space="preserve">Pillar 1 Variable Naming</w:t>
            </w:r>
          </w:p>
          <w:p>
            <w:pPr>
              <w:spacing w:after="0" w:before="0"/>
            </w:pPr>
            <w:r>
              <w:rPr>
                <w:rFonts w:ascii="Arial" w:cs="Arial" w:eastAsia="Arial" w:hAnsi="Arial"/>
                <w:color w:val="1A1A2E"/>
                <w:sz w:val="18"/>
                <w:szCs w:val="18"/>
              </w:rPr>
              <w:t xml:space="preserve">Cell identifiers in code: cell_id (canonical), cell_key (deterministic key). Never id alone — too ambiguous. Never hash alone — too vague. The dual-identifier principle (ADR-004) must be visible in the variable names.</w:t>
            </w:r>
          </w:p>
        </w:tc>
      </w:tr>
    </w:tbl>
    <w:p>
      <w:pPr>
        <w:spacing w:after="0" w:before="160"/>
      </w:pPr>
      <w:r>
        <w:t xml:space="preserve"/>
      </w:r>
    </w:p>
    <w:p>
      <w:pPr>
        <w:pStyle w:val="Heading2"/>
      </w:pPr>
      <w:r>
        <w:rPr>
          <w:rFonts w:ascii="Arial" w:cs="Arial" w:eastAsia="Arial" w:hAnsi="Arial"/>
          <w:b/>
          <w:bCs/>
          <w:color w:val="2C4A7C"/>
          <w:sz w:val="22"/>
          <w:szCs w:val="22"/>
        </w:rPr>
        <w:t xml:space="preserve">4.2  Pillar 2 — Data Ingestion Pipeline</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40"/>
      </w:tblGrid>
      <w:tr>
        <w:trPr>
          <w:tblHeader/>
        </w:trPr>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 Type</w:t>
            </w:r>
          </w:p>
        </w:tc>
        <w:tc>
          <w:tcPr>
            <w:tcW w:type="dxa" w:w="3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Pattern</w:t>
            </w:r>
          </w:p>
        </w:tc>
        <w:tc>
          <w:tcPr>
            <w:tcW w:type="dxa" w:w="42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Example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Ingestion pipeline module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ingest_{source_slug}.py</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ingest_nsw_cadastral.py, ingest_permit_feed.py</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CRS normalisation module</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crs_normalise.py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Single module. Not split by CRS type.</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Geometry validation module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geometry_validate.py</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Single module.</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Permit feed adapter</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adapter_nsw_planning_portal.py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adapter_ prefix for all external API adapters.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 mapping engine</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cell_mapper.py</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Maps ingested geometry to Harmony cells.</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Entity extractor</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entity_extractor.py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Extracts entities from ingested datasets.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Source dataset registry</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dataset_{slug}_{YYYYMMDD}.json</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dataset_nsw_cadastral_20260420.json</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Fidelity coverage file</w:t>
            </w:r>
          </w:p>
        </w:tc>
        <w:tc>
          <w:tcPr>
            <w:tcW w:type="dxa" w:w="3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fidelity_{cell_key_short}.json</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Internal only. Not committed.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Pilot data (Central Coast)</w:t>
            </w:r>
          </w:p>
        </w:tc>
        <w:tc>
          <w:tcPr>
            <w:tcW w:type="dxa" w:w="3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data/pilot/cc_{source}_{YYYYMMDD}.{ext}</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cc_cadastral_20260420.shp</w:t>
            </w:r>
          </w:p>
        </w:tc>
      </w:tr>
    </w:tbl>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2C4A7C"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2C4A7C"/>
                <w:sz w:val="18"/>
                <w:szCs w:val="18"/>
              </w:rPr>
              <w:t xml:space="preserve">Pillar 2 Variable Naming — Critical Rule</w:t>
            </w:r>
          </w:p>
          <w:p>
            <w:pPr>
              <w:spacing w:after="0" w:before="0"/>
            </w:pPr>
            <w:r>
              <w:rPr>
                <w:rFonts w:ascii="Arial" w:cs="Arial" w:eastAsia="Arial" w:hAnsi="Arial"/>
                <w:color w:val="1A1A2E"/>
                <w:sz w:val="18"/>
                <w:szCs w:val="18"/>
              </w:rPr>
              <w:t xml:space="preserve">Source data coordinates are NEVER stored raw. The moment coordinates are ingested, they are normalised to EPSG:4326 (WGS84) and mapped to Harmony cell keys. Variable names reflect this: source_geom (raw input), normalised_geom (post-CRS), cell_key (post-mapping). Never store source_lat / source_lon past the normalisation step.</w:t>
            </w:r>
          </w:p>
        </w:tc>
      </w:tr>
    </w:tbl>
    <w:p>
      <w:pPr>
        <w:spacing w:after="0" w:before="160"/>
      </w:pPr>
      <w:r>
        <w:t xml:space="preserve"/>
      </w:r>
    </w:p>
    <w:p>
      <w:pPr>
        <w:pStyle w:val="Heading2"/>
      </w:pPr>
      <w:r>
        <w:rPr>
          <w:rFonts w:ascii="Arial" w:cs="Arial" w:eastAsia="Arial" w:hAnsi="Arial"/>
          <w:b/>
          <w:bCs/>
          <w:color w:val="2C4A7C"/>
          <w:sz w:val="22"/>
          <w:szCs w:val="22"/>
        </w:rPr>
        <w:t xml:space="preserve">4.3  Reserved Patterns for Future Pillars</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240"/>
      </w:tblGrid>
      <w:tr>
        <w:trPr>
          <w:tblHeader/>
        </w:trPr>
        <w:tc>
          <w:tcPr>
            <w:tcW w:type="dxa" w:w="1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Pillar</w:t>
            </w:r>
          </w:p>
        </w:tc>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Module Prefix</w:t>
            </w:r>
          </w:p>
        </w:tc>
        <w:tc>
          <w:tcPr>
            <w:tcW w:type="dxa" w:w="2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Test Prefix</w:t>
            </w:r>
          </w:p>
        </w:tc>
        <w:tc>
          <w:tcPr>
            <w:tcW w:type="dxa" w:w="32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3 — Rendering</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render_{slug}.py</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test_p3_{slug}.py</w:t>
            </w:r>
          </w:p>
        </w:tc>
        <w:tc>
          <w:tcPr>
            <w:tcW w:type="dxa" w:w="3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LOD streaming, GS pipeline, cinematic transitions.</w:t>
            </w:r>
          </w:p>
        </w:tc>
      </w:tr>
      <w:tr>
        <w:tc>
          <w:tcPr>
            <w:tcW w:type="dxa" w:w="1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4 — Knowledge</w:t>
            </w:r>
          </w:p>
        </w:tc>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knowledge_{slug}.py</w:t>
            </w:r>
          </w:p>
        </w:tc>
        <w:tc>
          <w:tcPr>
            <w:tcW w:type="dxa" w:w="2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test_p4_{slug}.py</w:t>
            </w:r>
          </w:p>
        </w:tc>
        <w:tc>
          <w:tcPr>
            <w:tcW w:type="dxa" w:w="3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Temporal cells, uncertainty model. No implementation until P3 complete.</w:t>
            </w:r>
          </w:p>
        </w:tc>
      </w:tr>
      <w:tr>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Pillar 5 — Interaction</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interaction_{slug}.py</w:t>
            </w:r>
          </w:p>
        </w:tc>
        <w:tc>
          <w:tcPr>
            <w:tcW w:type="dxa" w:w="2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test_p5_{slug}.py</w:t>
            </w:r>
          </w:p>
        </w:tc>
        <w:tc>
          <w:tcPr>
            <w:tcW w:type="dxa" w:w="3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Spatial type rules, conversational agent. No implementation until P4 complete.</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5. Tool Routing — What Goes Where</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This is the decision matrix for every type of work in the Harmony project. When in doubt, this table gives the answer.</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640"/>
      </w:tblGrid>
      <w:tr>
        <w:trPr>
          <w:tblHeader/>
        </w:trPr>
        <w:tc>
          <w:tcPr>
            <w:tcW w:type="dxa" w:w="2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Work Type</w:t>
            </w:r>
          </w:p>
        </w:tc>
        <w:tc>
          <w:tcPr>
            <w:tcW w:type="dxa" w:w="18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Correct Tool</w:t>
            </w:r>
          </w:p>
        </w:tc>
        <w:tc>
          <w:tcPr>
            <w:tcW w:type="dxa" w:w="32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c>
          <w:tcPr>
            <w:tcW w:type="dxa" w:w="26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 Goes To</w:t>
            </w:r>
          </w:p>
        </w:tc>
      </w:tr>
      <w:tr>
        <w:tc>
          <w:tcPr>
            <w:tcW w:type="dxa" w:w="9840"/>
            <w:gridSpan w:val="4"/>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A0B8D8"/>
                <w:sz w:val="17"/>
                <w:szCs w:val="17"/>
              </w:rPr>
              <w:t xml:space="preserve">ARCHITECTURE &amp; STRATEGY</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Architectural decisions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Needs long context, Dr. Mara Voss persona, cross-pillar reasoning</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 in docs/adr/</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 authoring</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ADRs are architectural artefacts, not code artefacts</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docs/adr/ADR-NNN-{slug}.md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Master spec review</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Spec interpretation requires full architectural context</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Annotation in Chat</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 package creation</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Briefs are architectural instructions, not code</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docs/dispatch/ after session</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Dr. Mara Voss sessions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Her persona and full Harmony context live here</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ADRs, specs, briefs</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Gap Register updates</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Gap resolution is an architectural decision</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Updated PILLAR_STATE.md</w:t>
            </w:r>
          </w:p>
        </w:tc>
      </w:tr>
      <w:tr>
        <w:tc>
          <w:tcPr>
            <w:tcW w:type="dxa" w:w="9840"/>
            <w:gridSpan w:val="4"/>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A0B8D8"/>
                <w:sz w:val="17"/>
                <w:szCs w:val="17"/>
              </w:rPr>
              <w:t xml:space="preserve">BUILD EXECUTION &amp; ORCHESTRATION</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Running a build session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CoWork can see the repo, run commands, coordinate multi-step work</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Session report in docs/reports/</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Agent task dispatching</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Task queue management requires file system access</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Updated openclaw.db</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File organisation and renaming</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Needs access to actual file system</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Reorganised repo</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Cross-session continuity check</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Can read session reports and compare against OPENCLAW.md</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Updated OPENCLAW.md</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Telegram approval routing</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Approval gate management requires orchestrator access</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Approval queue updated</w:t>
            </w:r>
          </w:p>
        </w:tc>
      </w:tr>
      <w:tr>
        <w:tc>
          <w:tcPr>
            <w:tcW w:type="dxa" w:w="9840"/>
            <w:gridSpan w:val="4"/>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A0B8D8"/>
                <w:sz w:val="17"/>
                <w:szCs w:val="17"/>
              </w:rPr>
              <w:t xml:space="preserve">TECHNICAL IMPLEMENTATION</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Writing Python modules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Code lives in the repo — Code has direct repo access</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src/{domain}/</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Writing SQL migrations</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Migrations require schema context only Code can read reliably</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src/db/migrations/</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Writing and running tests</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Tests run against the live codebase — requires repo access</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tests/{domain}/</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Git branch management</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Branching requires terminal access</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agent/{name}/{task-id} branch</w:t>
            </w:r>
          </w:p>
        </w:tc>
      </w:tr>
      <w:tr>
        <w:tc>
          <w:tcPr>
            <w:tcW w:type="dxa" w:w="2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Schema validation</w:t>
            </w:r>
          </w:p>
        </w:tc>
        <w:tc>
          <w:tcPr>
            <w:tcW w:type="dxa" w:w="1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Validation scripts run against live schema</w:t>
            </w:r>
          </w:p>
        </w:tc>
        <w:tc>
          <w:tcPr>
            <w:tcW w:type="dxa" w:w="26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Pass/fail in session report</w:t>
            </w:r>
          </w:p>
        </w:tc>
      </w:tr>
      <w:tr>
        <w:tc>
          <w:tcPr>
            <w:tcW w:type="dxa" w:w="2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API endpoint implementation</w:t>
            </w:r>
          </w:p>
        </w:tc>
        <w:tc>
          <w:tcPr>
            <w:tcW w:type="dxa" w:w="18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2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FastAPI code requires the full project context Code has</w:t>
            </w:r>
          </w:p>
        </w:tc>
        <w:tc>
          <w:tcPr>
            <w:tcW w:type="dxa" w:w="26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src/api/</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6. The Session Lifecycle</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Every piece of Harmony work follows the same lifecycle. Understanding this lifecycle prevents the most common failure mode — work that completes in isolation and never integrates back into the architectural record.</w:t>
      </w:r>
    </w:p>
    <w:p>
      <w:pPr>
        <w:spacing w:after="0" w:before="12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4240"/>
      </w:tblGrid>
      <w:tr>
        <w:trPr>
          <w:tblHeader/>
        </w:trPr>
        <w:tc>
          <w:tcPr>
            <w:tcW w:type="dxa" w:w="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w:t>
            </w:r>
          </w:p>
        </w:tc>
        <w:tc>
          <w:tcPr>
            <w:tcW w:type="dxa" w:w="14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Where</w:t>
            </w:r>
          </w:p>
        </w:tc>
        <w:tc>
          <w:tcPr>
            <w:tcW w:type="dxa" w:w="360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Happens</w:t>
            </w:r>
          </w:p>
        </w:tc>
        <w:tc>
          <w:tcPr>
            <w:tcW w:type="dxa" w:w="4240"/>
            <w:tcBorders>
              <w:top w:val="single" w:color="D0D8E8" w:sz="1"/>
              <w:left w:val="single" w:color="D0D8E8" w:sz="1"/>
              <w:bottom w:val="single" w:color="D0D8E8" w:sz="1"/>
              <w:right w:val="single" w:color="D0D8E8"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Output</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1</w:t>
            </w:r>
          </w:p>
        </w:tc>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Architectural context established. Dr. Mara Voss reviews the task against the spec, open ADRs, and gap register.</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Decision or dispatch brief</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2</w:t>
            </w:r>
          </w:p>
        </w:tc>
        <w:tc>
          <w:tcPr>
            <w:tcW w:type="dxa" w:w="1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 package produced. Seven numbered files. Session brief fully specifies deliverables and acceptance criteria.</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docs/dispatch/{package}/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3</w:t>
            </w:r>
          </w:p>
        </w:tc>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Dispatch package sent to build agent. CoWork manages the handoff, monitors progress, handles approval gates via Telegram.</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Active session in openclaw.db</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4</w:t>
            </w:r>
          </w:p>
        </w:tc>
        <w:tc>
          <w:tcPr>
            <w:tcW w:type="dxa" w:w="1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Technical implementation. Code written, tests run, migration produced. Agent works on feature branch only.</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Feature branch, test results</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5</w:t>
            </w:r>
          </w:p>
        </w:tc>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Code</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Session report filed by build agent. Structured output: deliverables, files, tests, ADR impact, HARMONY UPDATE line.</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docs/reports/p{N}-m{N}-report-{date}.md</w:t>
            </w:r>
          </w:p>
        </w:tc>
      </w:tr>
      <w:tr>
        <w:tc>
          <w:tcPr>
            <w:tcW w:type="dxa" w:w="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6</w:t>
            </w:r>
          </w:p>
        </w:tc>
        <w:tc>
          <w:tcPr>
            <w:tcW w:type="dxa" w:w="14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CoWork</w:t>
            </w:r>
          </w:p>
        </w:tc>
        <w:tc>
          <w:tcPr>
            <w:tcW w:type="dxa" w:w="360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Session report reviewed. Approval requests routed to Telegram. OPENCLAW.md updated.</w:t>
            </w:r>
          </w:p>
        </w:tc>
        <w:tc>
          <w:tcPr>
            <w:tcW w:type="dxa" w:w="4240"/>
            <w:tcBorders>
              <w:top w:val="single" w:color="D0D8E8" w:sz="1"/>
              <w:left w:val="single" w:color="D0D8E8" w:sz="1"/>
              <w:bottom w:val="single" w:color="D0D8E8" w:sz="1"/>
              <w:right w:val="single" w:color="D0D8E8" w:sz="1"/>
            </w:tcBorders>
            <w:shd w:fill="F4F7FB"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Telegram approval or auto-merge</w:t>
            </w:r>
          </w:p>
        </w:tc>
      </w:tr>
      <w:tr>
        <w:tc>
          <w:tcPr>
            <w:tcW w:type="dxa" w:w="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7</w:t>
            </w:r>
          </w:p>
        </w:tc>
        <w:tc>
          <w:tcPr>
            <w:tcW w:type="dxa" w:w="14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Claude Chat</w:t>
            </w:r>
          </w:p>
        </w:tc>
        <w:tc>
          <w:tcPr>
            <w:tcW w:type="dxa" w:w="36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HARMONY UPDATE line pasted into architecture chat. Dashboard updated. Dr. Mara Voss reviews for cross-pillar impact.</w:t>
            </w:r>
          </w:p>
        </w:tc>
        <w:tc>
          <w:tcPr>
            <w:tcW w:type="dxa" w:w="424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Updated PILLAR_STATE.md, next dispatch</w:t>
            </w:r>
          </w:p>
        </w:tc>
      </w:tr>
    </w:tbl>
    <w:p>
      <w:pPr>
        <w:spacing w:after="0" w:before="20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3B82C4"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3B82C4"/>
                <w:sz w:val="18"/>
                <w:szCs w:val="18"/>
              </w:rPr>
              <w:t xml:space="preserve">The Critical Step Most Projects Skip</w:t>
            </w:r>
          </w:p>
          <w:p>
            <w:pPr>
              <w:spacing w:after="0" w:before="0"/>
            </w:pPr>
            <w:r>
              <w:rPr>
                <w:rFonts w:ascii="Arial" w:cs="Arial" w:eastAsia="Arial" w:hAnsi="Arial"/>
                <w:color w:val="1A1A2E"/>
                <w:sz w:val="18"/>
                <w:szCs w:val="18"/>
              </w:rPr>
              <w:t xml:space="preserve">Step 7 — feeding session results back to the architecture chat — is where most AI-assisted projects lose coherence. The build agent finishes. Files are written. But the architectural record is never updated. The next session starts without knowing what changed. In Harmony, Step 7 is mandatory. The HARMONY UPDATE line is not optional documentation. It is the mechanism that keeps Chat, CoWork, and Code in sync.</w:t>
            </w:r>
          </w:p>
        </w:tc>
      </w:tr>
    </w:tbl>
    <w:p>
      <w:r>
        <w:br w:type="page"/>
      </w:r>
    </w:p>
    <w:p>
      <w:pPr>
        <w:spacing w:after="0" w:before="160"/>
      </w:pPr>
      <w:r>
        <w:t xml:space="preserve"/>
      </w:r>
    </w:p>
    <w:p>
      <w:pPr>
        <w:pStyle w:val="Heading1"/>
      </w:pPr>
      <w:r>
        <w:rPr>
          <w:rFonts w:ascii="Arial" w:cs="Arial" w:eastAsia="Arial" w:hAnsi="Arial"/>
          <w:b/>
          <w:bCs/>
          <w:color w:val="1B2A4A"/>
          <w:sz w:val="28"/>
          <w:szCs w:val="28"/>
        </w:rPr>
        <w:t xml:space="preserve">7. Quick Reference Card</w:t>
      </w:r>
    </w:p>
    <w:p>
      <w:pPr>
        <w:pBdr>
          <w:bottom w:val="single" w:color="3B82C4" w:sz="8" w:space="1"/>
        </w:pBdr>
        <w:spacing w:after="160" w:before="0"/>
      </w:pPr>
      <w:r>
        <w:t xml:space="preserve"/>
      </w:r>
    </w:p>
    <w:p>
      <w:pPr>
        <w:spacing w:after="80" w:before="80"/>
      </w:pPr>
      <w:r>
        <w:rPr>
          <w:rFonts w:ascii="Arial" w:cs="Arial" w:eastAsia="Arial" w:hAnsi="Arial"/>
          <w:i w:val="false"/>
          <w:iCs w:val="false"/>
          <w:color w:val="1A1A2E"/>
          <w:sz w:val="20"/>
          <w:szCs w:val="20"/>
        </w:rPr>
        <w:t xml:space="preserve">Cut this out. Print it. Pin it up. When the question is 'where does this go?' or 'what do I call this?', this is the answer.</w:t>
      </w:r>
    </w:p>
    <w:p>
      <w:pPr>
        <w:spacing w:after="0" w:before="120"/>
      </w:pPr>
      <w:r>
        <w:t xml:space="preserve"/>
      </w:r>
    </w:p>
    <w:p>
      <w:pPr>
        <w:pStyle w:val="Heading2"/>
      </w:pPr>
      <w:r>
        <w:rPr>
          <w:rFonts w:ascii="Arial" w:cs="Arial" w:eastAsia="Arial" w:hAnsi="Arial"/>
          <w:b/>
          <w:bCs/>
          <w:color w:val="2C4A7C"/>
          <w:sz w:val="22"/>
          <w:szCs w:val="22"/>
        </w:rPr>
        <w:t xml:space="preserve">7.1  Filename Cheatsheet</w:t>
      </w:r>
    </w:p>
    <w:p>
      <w:pPr>
        <w:spacing w:after="0" w:before="80"/>
      </w:pPr>
      <w:r>
        <w:t xml:space="preserve"/>
      </w:r>
    </w:p>
    <w:p>
      <w:pPr>
        <w:spacing w:after="40" w:before="40"/>
        <w:ind w:left="200"/>
      </w:pPr>
      <w:r>
        <w:rPr>
          <w:rFonts w:ascii="Courier New" w:cs="Courier New" w:eastAsia="Courier New" w:hAnsi="Courier New"/>
          <w:b/>
          <w:bCs/>
          <w:color w:val="2C4A7C"/>
          <w:sz w:val="18"/>
          <w:szCs w:val="18"/>
        </w:rPr>
        <w:t xml:space="preserve">ADR                 </w:t>
      </w:r>
      <w:r>
        <w:rPr>
          <w:rFonts w:ascii="Courier New" w:cs="Courier New" w:eastAsia="Courier New" w:hAnsi="Courier New"/>
          <w:color w:val="1A1A2E"/>
          <w:sz w:val="18"/>
          <w:szCs w:val="18"/>
        </w:rPr>
        <w:t xml:space="preserve">  ADR-015-adaptive-volumetric-cell-extension.md</w:t>
      </w:r>
    </w:p>
    <w:p>
      <w:pPr>
        <w:spacing w:after="40" w:before="40"/>
        <w:ind w:left="200"/>
      </w:pPr>
      <w:r>
        <w:rPr>
          <w:rFonts w:ascii="Courier New" w:cs="Courier New" w:eastAsia="Courier New" w:hAnsi="Courier New"/>
          <w:b/>
          <w:bCs/>
          <w:color w:val="2C4A7C"/>
          <w:sz w:val="18"/>
          <w:szCs w:val="18"/>
        </w:rPr>
        <w:t xml:space="preserve">Master spec         </w:t>
      </w:r>
      <w:r>
        <w:rPr>
          <w:rFonts w:ascii="Courier New" w:cs="Courier New" w:eastAsia="Courier New" w:hAnsi="Courier New"/>
          <w:color w:val="1A1A2E"/>
          <w:sz w:val="18"/>
          <w:szCs w:val="18"/>
        </w:rPr>
        <w:t xml:space="preserve">  harmony-master-spec-v1-1-0.md</w:t>
      </w:r>
    </w:p>
    <w:p>
      <w:pPr>
        <w:spacing w:after="40" w:before="40"/>
        <w:ind w:left="200"/>
      </w:pPr>
      <w:r>
        <w:rPr>
          <w:rFonts w:ascii="Courier New" w:cs="Courier New" w:eastAsia="Courier New" w:hAnsi="Courier New"/>
          <w:b/>
          <w:bCs/>
          <w:color w:val="2C4A7C"/>
          <w:sz w:val="18"/>
          <w:szCs w:val="18"/>
        </w:rPr>
        <w:t xml:space="preserve">Pillar spec         </w:t>
      </w:r>
      <w:r>
        <w:rPr>
          <w:rFonts w:ascii="Courier New" w:cs="Courier New" w:eastAsia="Courier New" w:hAnsi="Courier New"/>
          <w:color w:val="1A1A2E"/>
          <w:sz w:val="18"/>
          <w:szCs w:val="18"/>
        </w:rPr>
        <w:t xml:space="preserve">  p2-data-ingestion-brief-v1.md</w:t>
      </w:r>
    </w:p>
    <w:p>
      <w:pPr>
        <w:spacing w:after="40" w:before="40"/>
        <w:ind w:left="200"/>
      </w:pPr>
      <w:r>
        <w:rPr>
          <w:rFonts w:ascii="Courier New" w:cs="Courier New" w:eastAsia="Courier New" w:hAnsi="Courier New"/>
          <w:b/>
          <w:bCs/>
          <w:color w:val="2C4A7C"/>
          <w:sz w:val="18"/>
          <w:szCs w:val="18"/>
        </w:rPr>
        <w:t xml:space="preserve">Milestone spec      </w:t>
      </w:r>
      <w:r>
        <w:rPr>
          <w:rFonts w:ascii="Courier New" w:cs="Courier New" w:eastAsia="Courier New" w:hAnsi="Courier New"/>
          <w:color w:val="1A1A2E"/>
          <w:sz w:val="18"/>
          <w:szCs w:val="18"/>
        </w:rPr>
        <w:t xml:space="preserve">  p2-m7-temporal-trigger-spec.md</w:t>
      </w:r>
    </w:p>
    <w:p>
      <w:pPr>
        <w:spacing w:after="40" w:before="40"/>
        <w:ind w:left="200"/>
      </w:pPr>
      <w:r>
        <w:rPr>
          <w:rFonts w:ascii="Courier New" w:cs="Courier New" w:eastAsia="Courier New" w:hAnsi="Courier New"/>
          <w:b/>
          <w:bCs/>
          <w:color w:val="2C4A7C"/>
          <w:sz w:val="18"/>
          <w:szCs w:val="18"/>
        </w:rPr>
        <w:t xml:space="preserve">Dispatch folder     </w:t>
      </w:r>
      <w:r>
        <w:rPr>
          <w:rFonts w:ascii="Courier New" w:cs="Courier New" w:eastAsia="Courier New" w:hAnsi="Courier New"/>
          <w:color w:val="1A1A2E"/>
          <w:sz w:val="18"/>
          <w:szCs w:val="18"/>
        </w:rPr>
        <w:t xml:space="preserve">  dispatch-p1-stage2-20260420/</w:t>
      </w:r>
    </w:p>
    <w:p>
      <w:pPr>
        <w:spacing w:after="40" w:before="40"/>
        <w:ind w:left="200"/>
      </w:pPr>
      <w:r>
        <w:rPr>
          <w:rFonts w:ascii="Courier New" w:cs="Courier New" w:eastAsia="Courier New" w:hAnsi="Courier New"/>
          <w:b/>
          <w:bCs/>
          <w:color w:val="2C4A7C"/>
          <w:sz w:val="18"/>
          <w:szCs w:val="18"/>
        </w:rPr>
        <w:t xml:space="preserve">Session report      </w:t>
      </w:r>
      <w:r>
        <w:rPr>
          <w:rFonts w:ascii="Courier New" w:cs="Courier New" w:eastAsia="Courier New" w:hAnsi="Courier New"/>
          <w:color w:val="1A1A2E"/>
          <w:sz w:val="18"/>
          <w:szCs w:val="18"/>
        </w:rPr>
        <w:t xml:space="preserve">  p1-stage2-report-20260420.md</w:t>
      </w:r>
    </w:p>
    <w:p>
      <w:pPr>
        <w:spacing w:after="40" w:before="40"/>
        <w:ind w:left="200"/>
      </w:pPr>
      <w:r>
        <w:rPr>
          <w:rFonts w:ascii="Courier New" w:cs="Courier New" w:eastAsia="Courier New" w:hAnsi="Courier New"/>
          <w:b/>
          <w:bCs/>
          <w:color w:val="2C4A7C"/>
          <w:sz w:val="18"/>
          <w:szCs w:val="18"/>
        </w:rPr>
        <w:t xml:space="preserve">Python module       </w:t>
      </w:r>
      <w:r>
        <w:rPr>
          <w:rFonts w:ascii="Courier New" w:cs="Courier New" w:eastAsia="Courier New" w:hAnsi="Courier New"/>
          <w:color w:val="1A1A2E"/>
          <w:sz w:val="18"/>
          <w:szCs w:val="18"/>
        </w:rPr>
        <w:t xml:space="preserve">  cell_volumetric.py</w:t>
      </w:r>
    </w:p>
    <w:p>
      <w:pPr>
        <w:spacing w:after="40" w:before="40"/>
        <w:ind w:left="200"/>
      </w:pPr>
      <w:r>
        <w:rPr>
          <w:rFonts w:ascii="Courier New" w:cs="Courier New" w:eastAsia="Courier New" w:hAnsi="Courier New"/>
          <w:b/>
          <w:bCs/>
          <w:color w:val="2C4A7C"/>
          <w:sz w:val="18"/>
          <w:szCs w:val="18"/>
        </w:rPr>
        <w:t xml:space="preserve">SQL migration       </w:t>
      </w:r>
      <w:r>
        <w:rPr>
          <w:rFonts w:ascii="Courier New" w:cs="Courier New" w:eastAsia="Courier New" w:hAnsi="Courier New"/>
          <w:color w:val="1A1A2E"/>
          <w:sz w:val="18"/>
          <w:szCs w:val="18"/>
        </w:rPr>
        <w:t xml:space="preserve">  20260420_143000_add_altitude_fields.sql</w:t>
      </w:r>
    </w:p>
    <w:p>
      <w:pPr>
        <w:spacing w:after="40" w:before="40"/>
        <w:ind w:left="200"/>
      </w:pPr>
      <w:r>
        <w:rPr>
          <w:rFonts w:ascii="Courier New" w:cs="Courier New" w:eastAsia="Courier New" w:hAnsi="Courier New"/>
          <w:b/>
          <w:bCs/>
          <w:color w:val="2C4A7C"/>
          <w:sz w:val="18"/>
          <w:szCs w:val="18"/>
        </w:rPr>
        <w:t xml:space="preserve">Test file           </w:t>
      </w:r>
      <w:r>
        <w:rPr>
          <w:rFonts w:ascii="Courier New" w:cs="Courier New" w:eastAsia="Courier New" w:hAnsi="Courier New"/>
          <w:color w:val="1A1A2E"/>
          <w:sz w:val="18"/>
          <w:szCs w:val="18"/>
        </w:rPr>
        <w:t xml:space="preserve">  test_volumetric_cells.py</w:t>
      </w:r>
    </w:p>
    <w:p>
      <w:pPr>
        <w:spacing w:after="40" w:before="40"/>
        <w:ind w:left="200"/>
      </w:pPr>
      <w:r>
        <w:rPr>
          <w:rFonts w:ascii="Courier New" w:cs="Courier New" w:eastAsia="Courier New" w:hAnsi="Courier New"/>
          <w:b/>
          <w:bCs/>
          <w:color w:val="2C4A7C"/>
          <w:sz w:val="18"/>
          <w:szCs w:val="18"/>
        </w:rPr>
        <w:t xml:space="preserve">Schema              </w:t>
      </w:r>
      <w:r>
        <w:rPr>
          <w:rFonts w:ascii="Courier New" w:cs="Courier New" w:eastAsia="Courier New" w:hAnsi="Courier New"/>
          <w:color w:val="1A1A2E"/>
          <w:sz w:val="18"/>
          <w:szCs w:val="18"/>
        </w:rPr>
        <w:t xml:space="preserve">  cell-schema-v0-2-0.json</w:t>
      </w:r>
    </w:p>
    <w:p>
      <w:pPr>
        <w:spacing w:after="40" w:before="40"/>
        <w:ind w:left="200"/>
      </w:pPr>
      <w:r>
        <w:rPr>
          <w:rFonts w:ascii="Courier New" w:cs="Courier New" w:eastAsia="Courier New" w:hAnsi="Courier New"/>
          <w:b/>
          <w:bCs/>
          <w:color w:val="2C4A7C"/>
          <w:sz w:val="18"/>
          <w:szCs w:val="18"/>
        </w:rPr>
        <w:t xml:space="preserve">Pilot data          </w:t>
      </w:r>
      <w:r>
        <w:rPr>
          <w:rFonts w:ascii="Courier New" w:cs="Courier New" w:eastAsia="Courier New" w:hAnsi="Courier New"/>
          <w:color w:val="1A1A2E"/>
          <w:sz w:val="18"/>
          <w:szCs w:val="18"/>
        </w:rPr>
        <w:t xml:space="preserve">  data/pilot/cc_cadastral_20260420.shp</w:t>
      </w:r>
    </w:p>
    <w:p>
      <w:pPr>
        <w:spacing w:after="40" w:before="40"/>
        <w:ind w:left="200"/>
      </w:pPr>
      <w:r>
        <w:rPr>
          <w:rFonts w:ascii="Courier New" w:cs="Courier New" w:eastAsia="Courier New" w:hAnsi="Courier New"/>
          <w:b/>
          <w:bCs/>
          <w:color w:val="2C4A7C"/>
          <w:sz w:val="18"/>
          <w:szCs w:val="18"/>
        </w:rPr>
        <w:t xml:space="preserve">Agent prompt        </w:t>
      </w:r>
      <w:r>
        <w:rPr>
          <w:rFonts w:ascii="Courier New" w:cs="Courier New" w:eastAsia="Courier New" w:hAnsi="Courier New"/>
          <w:color w:val="1A1A2E"/>
          <w:sz w:val="18"/>
          <w:szCs w:val="18"/>
        </w:rPr>
        <w:t xml:space="preserve">  openclaw/agents/TECH_LEAD.md</w:t>
      </w:r>
    </w:p>
    <w:p>
      <w:pPr>
        <w:spacing w:after="0" w:before="160"/>
      </w:pPr>
      <w:r>
        <w:t xml:space="preserve"/>
      </w:r>
    </w:p>
    <w:p>
      <w:pPr>
        <w:pStyle w:val="Heading2"/>
      </w:pPr>
      <w:r>
        <w:rPr>
          <w:rFonts w:ascii="Arial" w:cs="Arial" w:eastAsia="Arial" w:hAnsi="Arial"/>
          <w:b/>
          <w:bCs/>
          <w:color w:val="2C4A7C"/>
          <w:sz w:val="22"/>
          <w:szCs w:val="22"/>
        </w:rPr>
        <w:t xml:space="preserve">7.2  Tool Decision: Three Questions</w:t>
      </w:r>
    </w:p>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2C4A7C"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8F0F8" w:val="clear"/>
            <w:tcMar>
              <w:top w:type="dxa" w:w="140"/>
              <w:left w:type="dxa" w:w="200"/>
              <w:bottom w:type="dxa" w:w="140"/>
              <w:right w:type="dxa" w:w="200"/>
            </w:tcMar>
          </w:tcPr>
          <w:p>
            <w:pPr>
              <w:spacing w:after="60" w:before="0"/>
            </w:pPr>
            <w:r>
              <w:rPr>
                <w:rFonts w:ascii="Arial" w:cs="Arial" w:eastAsia="Arial" w:hAnsi="Arial"/>
                <w:b/>
                <w:bCs/>
                <w:color w:val="2C4A7C"/>
                <w:sz w:val="18"/>
                <w:szCs w:val="18"/>
              </w:rPr>
              <w:t xml:space="preserve">Q1: Am I deciding what to build or how it fits the architecture?</w:t>
            </w:r>
          </w:p>
          <w:p>
            <w:pPr>
              <w:spacing w:after="0" w:before="0"/>
            </w:pPr>
            <w:r>
              <w:rPr>
                <w:rFonts w:ascii="Arial" w:cs="Arial" w:eastAsia="Arial" w:hAnsi="Arial"/>
                <w:color w:val="1A1A2E"/>
                <w:sz w:val="18"/>
                <w:szCs w:val="18"/>
              </w:rPr>
              <w:t xml:space="preserve">→ Claude Chat</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1A6B3A"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E6F4EC" w:val="clear"/>
            <w:tcMar>
              <w:top w:type="dxa" w:w="140"/>
              <w:left w:type="dxa" w:w="200"/>
              <w:bottom w:type="dxa" w:w="140"/>
              <w:right w:type="dxa" w:w="200"/>
            </w:tcMar>
          </w:tcPr>
          <w:p>
            <w:pPr>
              <w:spacing w:after="60" w:before="0"/>
            </w:pPr>
            <w:r>
              <w:rPr>
                <w:rFonts w:ascii="Arial" w:cs="Arial" w:eastAsia="Arial" w:hAnsi="Arial"/>
                <w:b/>
                <w:bCs/>
                <w:color w:val="1A6B3A"/>
                <w:sz w:val="18"/>
                <w:szCs w:val="18"/>
              </w:rPr>
              <w:t xml:space="preserve">Q2: Am I coordinating a build session, managing files, or routing approvals?</w:t>
            </w:r>
          </w:p>
          <w:p>
            <w:pPr>
              <w:spacing w:after="0" w:before="0"/>
            </w:pPr>
            <w:r>
              <w:rPr>
                <w:rFonts w:ascii="Arial" w:cs="Arial" w:eastAsia="Arial" w:hAnsi="Arial"/>
                <w:color w:val="1A1A2E"/>
                <w:sz w:val="18"/>
                <w:szCs w:val="18"/>
              </w:rPr>
              <w:t xml:space="preserve">→ Claude CoWork</w:t>
            </w:r>
          </w:p>
        </w:tc>
      </w:tr>
    </w:tbl>
    <w:p>
      <w:pPr>
        <w:spacing w:after="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
        <w:gridCol w:w="9760"/>
      </w:tblGrid>
      <w:tr>
        <w:tc>
          <w:tcPr>
            <w:tcW w:type="dxa" w:w="80"/>
            <w:tcBorders>
              <w:top w:val="single" w:color="FFFFFF" w:sz="0"/>
              <w:left w:val="single" w:color="FFFFFF" w:sz="0"/>
              <w:bottom w:val="single" w:color="FFFFFF" w:sz="0"/>
              <w:right w:val="single" w:color="FFFFFF" w:sz="0"/>
            </w:tcBorders>
            <w:shd w:fill="4A2A7A" w:val="clear"/>
            <w:tcMar>
              <w:top w:type="dxa" w:w="0"/>
              <w:left w:type="dxa" w:w="0"/>
              <w:bottom w:type="dxa" w:w="0"/>
              <w:right w:type="dxa" w:w="0"/>
            </w:tcMar>
          </w:tcPr>
          <w:p>
            <w:r>
              <w:t xml:space="preserve"/>
            </w:r>
          </w:p>
        </w:tc>
        <w:tc>
          <w:tcPr>
            <w:tcW w:type="dxa" w:w="9760"/>
            <w:tcBorders>
              <w:top w:val="single" w:color="FFFFFF" w:sz="0"/>
              <w:left w:val="single" w:color="FFFFFF" w:sz="0"/>
              <w:bottom w:val="single" w:color="FFFFFF" w:sz="0"/>
              <w:right w:val="single" w:color="FFFFFF" w:sz="0"/>
            </w:tcBorders>
            <w:shd w:fill="F0EAF8" w:val="clear"/>
            <w:tcMar>
              <w:top w:type="dxa" w:w="140"/>
              <w:left w:type="dxa" w:w="200"/>
              <w:bottom w:type="dxa" w:w="140"/>
              <w:right w:type="dxa" w:w="200"/>
            </w:tcMar>
          </w:tcPr>
          <w:p>
            <w:pPr>
              <w:spacing w:after="60" w:before="0"/>
            </w:pPr>
            <w:r>
              <w:rPr>
                <w:rFonts w:ascii="Arial" w:cs="Arial" w:eastAsia="Arial" w:hAnsi="Arial"/>
                <w:b/>
                <w:bCs/>
                <w:color w:val="4A2A7A"/>
                <w:sz w:val="18"/>
                <w:szCs w:val="18"/>
              </w:rPr>
              <w:t xml:space="preserve">Q3: Am I writing code, migrations, or running tests?</w:t>
            </w:r>
          </w:p>
          <w:p>
            <w:pPr>
              <w:spacing w:after="0" w:before="0"/>
            </w:pPr>
            <w:r>
              <w:rPr>
                <w:rFonts w:ascii="Arial" w:cs="Arial" w:eastAsia="Arial" w:hAnsi="Arial"/>
                <w:color w:val="1A1A2E"/>
                <w:sz w:val="18"/>
                <w:szCs w:val="18"/>
              </w:rPr>
              <w:t xml:space="preserve">→ Claude Code</w:t>
            </w:r>
          </w:p>
        </w:tc>
      </w:tr>
    </w:tbl>
    <w:p>
      <w:pPr>
        <w:spacing w:after="0" w:before="160"/>
      </w:pPr>
      <w:r>
        <w:t xml:space="preserve"/>
      </w:r>
    </w:p>
    <w:p>
      <w:pPr>
        <w:pStyle w:val="Heading2"/>
      </w:pPr>
      <w:r>
        <w:rPr>
          <w:rFonts w:ascii="Arial" w:cs="Arial" w:eastAsia="Arial" w:hAnsi="Arial"/>
          <w:b/>
          <w:bCs/>
          <w:color w:val="2C4A7C"/>
          <w:sz w:val="22"/>
          <w:szCs w:val="22"/>
        </w:rPr>
        <w:t xml:space="preserve">7.3  The Non-Negotiables</w:t>
      </w:r>
    </w:p>
    <w:p>
      <w:pPr>
        <w:pStyle w:val="ListParagraph"/>
        <w:numPr>
          <w:ilvl w:val="0"/>
          <w:numId w:val="2"/>
        </w:numPr>
        <w:spacing w:after="50" w:before="50"/>
      </w:pPr>
      <w:r>
        <w:rPr>
          <w:rFonts w:ascii="Arial" w:cs="Arial" w:eastAsia="Arial" w:hAnsi="Arial"/>
          <w:color w:val="1A1A2E"/>
          <w:sz w:val="20"/>
          <w:szCs w:val="20"/>
        </w:rPr>
        <w:t xml:space="preserve">Secrets never in prompts, logs, or filenames. .env.example only.</w:t>
      </w:r>
    </w:p>
    <w:p>
      <w:pPr>
        <w:pStyle w:val="ListParagraph"/>
        <w:numPr>
          <w:ilvl w:val="0"/>
          <w:numId w:val="2"/>
        </w:numPr>
        <w:spacing w:after="50" w:before="50"/>
      </w:pPr>
      <w:r>
        <w:rPr>
          <w:rFonts w:ascii="Arial" w:cs="Arial" w:eastAsia="Arial" w:hAnsi="Arial"/>
          <w:color w:val="1A1A2E"/>
          <w:sz w:val="20"/>
          <w:szCs w:val="20"/>
        </w:rPr>
        <w:t xml:space="preserve">Agents work on feature branches. Never main.</w:t>
      </w:r>
    </w:p>
    <w:p>
      <w:pPr>
        <w:pStyle w:val="ListParagraph"/>
        <w:numPr>
          <w:ilvl w:val="0"/>
          <w:numId w:val="2"/>
        </w:numPr>
        <w:spacing w:after="50" w:before="50"/>
      </w:pPr>
      <w:r>
        <w:rPr>
          <w:rFonts w:ascii="Arial" w:cs="Arial" w:eastAsia="Arial" w:hAnsi="Arial"/>
          <w:color w:val="1A1A2E"/>
          <w:sz w:val="20"/>
          <w:szCs w:val="20"/>
        </w:rPr>
        <w:t xml:space="preserve">Migrations are produced, not executed. Execution requires Mikey's approval.</w:t>
      </w:r>
    </w:p>
    <w:p>
      <w:pPr>
        <w:pStyle w:val="ListParagraph"/>
        <w:numPr>
          <w:ilvl w:val="0"/>
          <w:numId w:val="2"/>
        </w:numPr>
        <w:spacing w:after="50" w:before="50"/>
      </w:pPr>
      <w:r>
        <w:rPr>
          <w:rFonts w:ascii="Arial" w:cs="Arial" w:eastAsia="Arial" w:hAnsi="Arial"/>
          <w:color w:val="1A1A2E"/>
          <w:sz w:val="20"/>
          <w:szCs w:val="20"/>
        </w:rPr>
        <w:t xml:space="preserve">ADR first, code second. No implementation without a covering ADR.</w:t>
      </w:r>
    </w:p>
    <w:p>
      <w:pPr>
        <w:pStyle w:val="ListParagraph"/>
        <w:numPr>
          <w:ilvl w:val="0"/>
          <w:numId w:val="2"/>
        </w:numPr>
        <w:spacing w:after="50" w:before="50"/>
      </w:pPr>
      <w:r>
        <w:rPr>
          <w:rFonts w:ascii="Arial" w:cs="Arial" w:eastAsia="Arial" w:hAnsi="Arial"/>
          <w:color w:val="1A1A2E"/>
          <w:sz w:val="20"/>
          <w:szCs w:val="20"/>
        </w:rPr>
        <w:t xml:space="preserve">HARMONY UPDATE line filed at the end of every session. No exceptions.</w:t>
      </w:r>
    </w:p>
    <w:p>
      <w:pPr>
        <w:pStyle w:val="ListParagraph"/>
        <w:numPr>
          <w:ilvl w:val="0"/>
          <w:numId w:val="2"/>
        </w:numPr>
        <w:spacing w:after="50" w:before="50"/>
      </w:pPr>
      <w:r>
        <w:rPr>
          <w:rFonts w:ascii="Arial" w:cs="Arial" w:eastAsia="Arial" w:hAnsi="Arial"/>
          <w:color w:val="1A1A2E"/>
          <w:sz w:val="20"/>
          <w:szCs w:val="20"/>
        </w:rPr>
        <w:t xml:space="preserve">OPENCLAW.md updated after every session that changes architecture or state.</w:t>
      </w:r>
    </w:p>
    <w:p>
      <w:pPr>
        <w:pStyle w:val="ListParagraph"/>
        <w:numPr>
          <w:ilvl w:val="0"/>
          <w:numId w:val="2"/>
        </w:numPr>
        <w:spacing w:after="50" w:before="50"/>
      </w:pPr>
      <w:r>
        <w:rPr>
          <w:rFonts w:ascii="Arial" w:cs="Arial" w:eastAsia="Arial" w:hAnsi="Arial"/>
          <w:color w:val="1A1A2E"/>
          <w:sz w:val="20"/>
          <w:szCs w:val="20"/>
        </w:rPr>
        <w:t xml:space="preserve">Every file has one correct location. This document defines it.</w:t>
      </w:r>
    </w:p>
    <w:p>
      <w:pPr>
        <w:spacing w:after="0" w:before="200"/>
      </w:pPr>
      <w:r>
        <w:t xml:space="preserve"/>
      </w:r>
    </w:p>
    <w:p>
      <w:pPr>
        <w:pBdr>
          <w:top w:val="single" w:color="D0D8E8" w:sz="4" w:space="8"/>
        </w:pBdr>
        <w:spacing w:after="0" w:before="160"/>
        <w:jc w:val="center"/>
      </w:pPr>
      <w:r>
        <w:rPr>
          <w:rFonts w:ascii="Arial" w:cs="Arial" w:eastAsia="Arial" w:hAnsi="Arial"/>
          <w:color w:val="4A4A6A"/>
          <w:sz w:val="16"/>
          <w:szCs w:val="16"/>
        </w:rPr>
        <w:t xml:space="preserve">Harmony Spatial Operating System  |  Project Structure &amp; Naming Convention  |  April 2026  |  Confidential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C4A7C"/>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C4A7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2026-04-21T02:32:21.625Z</dcterms:created>
  <dcterms:modified xsi:type="dcterms:W3CDTF">2026-04-21T02:32:21.625Z</dcterms:modified>
</cp:coreProperties>
</file>

<file path=docProps/custom.xml><?xml version="1.0" encoding="utf-8"?>
<Properties xmlns="http://schemas.openxmlformats.org/officeDocument/2006/custom-properties" xmlns:vt="http://schemas.openxmlformats.org/officeDocument/2006/docPropsVTypes"/>
</file>