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B2A4A" w:val="clear"/>
            <w:tcMar>
              <w:top w:type="dxa" w:w="400"/>
              <w:left w:type="dxa" w:w="400"/>
              <w:bottom w:type="dxa" w:w="400"/>
              <w:right w:type="dxa" w:w="400"/>
            </w:tcMar>
          </w:tcPr>
          <w:p>
            <w:pPr>
              <w:spacing w:after="120" w:before="0"/>
              <w:jc w:val="left"/>
            </w:pPr>
            <w:r>
              <w:rPr>
                <w:rFonts w:ascii="Arial" w:cs="Arial" w:eastAsia="Arial" w:hAnsi="Arial"/>
                <w:b/>
                <w:bCs/>
                <w:color w:val="FFFFFF"/>
                <w:sz w:val="56"/>
                <w:szCs w:val="56"/>
              </w:rPr>
              <w:t xml:space="preserve">HARMONY</w:t>
            </w:r>
          </w:p>
          <w:p>
            <w:pPr>
              <w:spacing w:after="280" w:before="0"/>
              <w:jc w:val="left"/>
            </w:pPr>
            <w:r>
              <w:rPr>
                <w:rFonts w:ascii="Arial" w:cs="Arial" w:eastAsia="Arial" w:hAnsi="Arial"/>
                <w:b w:val="false"/>
                <w:bCs w:val="false"/>
                <w:color w:val="A0B8D8"/>
                <w:sz w:val="22"/>
                <w:szCs w:val="22"/>
              </w:rPr>
              <w:t xml:space="preserve">SPATIAL OPERATING SYSTEM</w:t>
            </w:r>
          </w:p>
          <w:p>
            <w:pPr>
              <w:pBdr>
                <w:bottom w:val="single" w:color="3B82C4" w:sz="4" w:space="1"/>
              </w:pBdr>
              <w:spacing w:after="280" w:before="0"/>
            </w:pPr>
            <w:r>
              <w:t xml:space="preserve"/>
            </w:r>
          </w:p>
          <w:p>
            <w:pPr>
              <w:spacing w:after="120" w:before="0"/>
              <w:jc w:val="left"/>
            </w:pPr>
            <w:r>
              <w:rPr>
                <w:rFonts w:ascii="Arial" w:cs="Arial" w:eastAsia="Arial" w:hAnsi="Arial"/>
                <w:b/>
                <w:bCs/>
                <w:color w:val="FFFFFF"/>
                <w:sz w:val="28"/>
                <w:szCs w:val="28"/>
              </w:rPr>
              <w:t xml:space="preserve">Pillar 2 — Data Ingestion Pipeline</w:t>
            </w:r>
          </w:p>
          <w:p>
            <w:pPr>
              <w:spacing w:after="280" w:before="0"/>
              <w:jc w:val="left"/>
            </w:pPr>
            <w:r>
              <w:rPr>
                <w:rFonts w:ascii="Arial" w:cs="Arial" w:eastAsia="Arial" w:hAnsi="Arial"/>
                <w:b/>
                <w:bCs/>
                <w:color w:val="3B82C4"/>
                <w:sz w:val="24"/>
                <w:szCs w:val="24"/>
              </w:rPr>
              <w:t xml:space="preserve">Milestone 7: Temporal Trigger Layer</w:t>
            </w:r>
          </w:p>
          <w:p>
            <w:pPr>
              <w:spacing w:after="0" w:before="0"/>
              <w:jc w:val="left"/>
            </w:pPr>
            <w:r>
              <w:rPr>
                <w:rFonts w:ascii="Arial" w:cs="Arial" w:eastAsia="Arial" w:hAnsi="Arial"/>
                <w:color w:val="8AB0CC"/>
                <w:sz w:val="18"/>
                <w:szCs w:val="18"/>
              </w:rPr>
              <w:t xml:space="preserve">Authoritative Build Specification  |  April 2026  |  Confidential</w:t>
            </w:r>
          </w:p>
        </w:tc>
      </w:tr>
    </w:tbl>
    <w:p>
      <w:pPr>
        <w:spacing w:after="0" w:before="2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W w:type="dxa" w:w="80"/>
            <w:tcBorders>
              <w:top w:val="none" w:color="FFFFFF" w:sz="0"/>
              <w:left w:val="none" w:color="FFFFFF" w:sz="0"/>
              <w:bottom w:val="none" w:color="FFFFFF" w:sz="0"/>
              <w:right w:val="none" w:color="FFFFFF" w:sz="0"/>
            </w:tcBorders>
            <w:shd w:fill="3B82C4" w:val="clear"/>
            <w:tcMar>
              <w:top w:type="dxa" w:w="0"/>
              <w:left w:type="dxa" w:w="0"/>
              <w:bottom w:type="dxa" w:w="0"/>
              <w:right w:type="dxa" w:w="0"/>
            </w:tcMar>
          </w:tcPr>
          <w:p>
            <w:r>
              <w:t xml:space="preserve"/>
            </w:r>
          </w:p>
        </w:tc>
        <w:tc>
          <w:tcPr>
            <w:tcW w:type="dxa" w:w="9760"/>
            <w:tcBorders>
              <w:top w:val="none" w:color="FFFFFF" w:sz="0"/>
              <w:left w:val="none" w:color="FFFFFF" w:sz="0"/>
              <w:bottom w:val="none" w:color="FFFFFF" w:sz="0"/>
              <w:right w:val="none" w:color="FFFFFF" w:sz="0"/>
            </w:tcBorders>
            <w:shd w:fill="E8F0F8" w:val="clear"/>
            <w:tcMar>
              <w:top w:type="dxa" w:w="140"/>
              <w:left w:type="dxa" w:w="200"/>
              <w:bottom w:type="dxa" w:w="140"/>
              <w:right w:type="dxa" w:w="200"/>
            </w:tcMar>
          </w:tcPr>
          <w:p>
            <w:pPr>
              <w:spacing w:after="40" w:before="0"/>
            </w:pPr>
            <w:r>
              <w:rPr>
                <w:rFonts w:ascii="Arial" w:cs="Arial" w:eastAsia="Arial" w:hAnsi="Arial"/>
                <w:b/>
                <w:bCs/>
                <w:color w:val="2C4A7C"/>
                <w:sz w:val="18"/>
                <w:szCs w:val="18"/>
              </w:rPr>
              <w:t xml:space="preserve">Issued by:</w:t>
            </w:r>
          </w:p>
          <w:p>
            <w:pPr>
              <w:spacing w:after="60" w:before="0"/>
            </w:pPr>
            <w:r>
              <w:rPr>
                <w:rFonts w:ascii="Arial" w:cs="Arial" w:eastAsia="Arial" w:hAnsi="Arial"/>
                <w:color w:val="1A1A2E"/>
                <w:sz w:val="20"/>
                <w:szCs w:val="20"/>
              </w:rPr>
              <w:t xml:space="preserve">Dr. Mara Voss  —  Principal Architect, Harmony Spatial Operating System</w:t>
            </w:r>
          </w:p>
          <w:p>
            <w:pPr>
              <w:spacing w:after="0" w:before="0"/>
            </w:pPr>
            <w:r>
              <w:rPr>
                <w:rFonts w:ascii="Arial" w:cs="Arial" w:eastAsia="Arial" w:hAnsi="Arial"/>
                <w:i/>
                <w:iCs/>
                <w:color w:val="4A4A6A"/>
                <w:sz w:val="18"/>
                <w:szCs w:val="18"/>
              </w:rPr>
              <w:t xml:space="preserve">This specification is authoritative and binding. It should be read in full before any build work begins on Milestone 7. Where this document conflicts with earlier planning notes, this document takes precedence.</w:t>
            </w:r>
          </w:p>
        </w:tc>
      </w:tr>
    </w:tbl>
    <w:p>
      <w:pPr>
        <w:spacing w:after="0" w:before="20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D0D8E8" w:sz="1"/>
              <w:left w:val="single" w:color="D0D8E8" w:sz="1"/>
              <w:bottom w:val="single" w:color="D0D8E8" w:sz="1"/>
              <w:right w:val="single" w:color="D0D8E8" w:sz="1"/>
            </w:tcBorders>
            <w:shd w:fill="1B2A4A" w:val="clear"/>
            <w:tcMar>
              <w:top w:type="dxa" w:w="120"/>
              <w:left w:type="dxa" w:w="160"/>
              <w:bottom w:type="dxa" w:w="120"/>
              <w:right w:type="dxa" w:w="160"/>
            </w:tcMar>
          </w:tcPr>
          <w:p>
            <w:pPr>
              <w:spacing w:after="40" w:before="0"/>
            </w:pPr>
            <w:r>
              <w:rPr>
                <w:rFonts w:ascii="Arial" w:cs="Arial" w:eastAsia="Arial" w:hAnsi="Arial"/>
                <w:color w:val="A0B8D8"/>
                <w:sz w:val="16"/>
                <w:szCs w:val="16"/>
              </w:rPr>
              <w:t xml:space="preserve">Milestone</w:t>
            </w:r>
          </w:p>
          <w:p>
            <w:pPr>
              <w:spacing w:after="0" w:before="0"/>
            </w:pPr>
            <w:r>
              <w:rPr>
                <w:rFonts w:ascii="Arial" w:cs="Arial" w:eastAsia="Arial" w:hAnsi="Arial"/>
                <w:b/>
                <w:bCs/>
                <w:color w:val="FFFFFF"/>
                <w:sz w:val="20"/>
                <w:szCs w:val="20"/>
              </w:rPr>
              <w:t xml:space="preserve">7 of 7</w:t>
            </w:r>
          </w:p>
        </w:tc>
        <w:tc>
          <w:tcPr>
            <w:tcW w:type="dxa" w:w="2460"/>
            <w:tcBorders>
              <w:top w:val="single" w:color="D0D8E8" w:sz="1"/>
              <w:left w:val="single" w:color="D0D8E8" w:sz="1"/>
              <w:bottom w:val="single" w:color="D0D8E8" w:sz="1"/>
              <w:right w:val="single" w:color="D0D8E8" w:sz="1"/>
            </w:tcBorders>
            <w:shd w:fill="2C4A7C" w:val="clear"/>
            <w:tcMar>
              <w:top w:type="dxa" w:w="120"/>
              <w:left w:type="dxa" w:w="160"/>
              <w:bottom w:type="dxa" w:w="120"/>
              <w:right w:type="dxa" w:w="160"/>
            </w:tcMar>
          </w:tcPr>
          <w:p>
            <w:pPr>
              <w:spacing w:after="40" w:before="0"/>
            </w:pPr>
            <w:r>
              <w:rPr>
                <w:rFonts w:ascii="Arial" w:cs="Arial" w:eastAsia="Arial" w:hAnsi="Arial"/>
                <w:color w:val="A0B8D8"/>
                <w:sz w:val="16"/>
                <w:szCs w:val="16"/>
              </w:rPr>
              <w:t xml:space="preserve">Pillar</w:t>
            </w:r>
          </w:p>
          <w:p>
            <w:pPr>
              <w:spacing w:after="0" w:before="0"/>
            </w:pPr>
            <w:r>
              <w:rPr>
                <w:rFonts w:ascii="Arial" w:cs="Arial" w:eastAsia="Arial" w:hAnsi="Arial"/>
                <w:b/>
                <w:bCs/>
                <w:color w:val="FFFFFF"/>
                <w:sz w:val="20"/>
                <w:szCs w:val="20"/>
              </w:rPr>
              <w:t xml:space="preserve">2 — Ingestion</w:t>
            </w:r>
          </w:p>
        </w:tc>
        <w:tc>
          <w:tcPr>
            <w:tcW w:type="dxa" w:w="2460"/>
            <w:tcBorders>
              <w:top w:val="single" w:color="D0D8E8" w:sz="1"/>
              <w:left w:val="single" w:color="D0D8E8" w:sz="1"/>
              <w:bottom w:val="single" w:color="D0D8E8" w:sz="1"/>
              <w:right w:val="single" w:color="D0D8E8" w:sz="1"/>
            </w:tcBorders>
            <w:shd w:fill="1B2A4A" w:val="clear"/>
            <w:tcMar>
              <w:top w:type="dxa" w:w="120"/>
              <w:left w:type="dxa" w:w="160"/>
              <w:bottom w:type="dxa" w:w="120"/>
              <w:right w:type="dxa" w:w="160"/>
            </w:tcMar>
          </w:tcPr>
          <w:p>
            <w:pPr>
              <w:spacing w:after="40" w:before="0"/>
            </w:pPr>
            <w:r>
              <w:rPr>
                <w:rFonts w:ascii="Arial" w:cs="Arial" w:eastAsia="Arial" w:hAnsi="Arial"/>
                <w:color w:val="A0B8D8"/>
                <w:sz w:val="16"/>
                <w:szCs w:val="16"/>
              </w:rPr>
              <w:t xml:space="preserve">Status</w:t>
            </w:r>
          </w:p>
          <w:p>
            <w:pPr>
              <w:spacing w:after="0" w:before="0"/>
            </w:pPr>
            <w:r>
              <w:rPr>
                <w:rFonts w:ascii="Arial" w:cs="Arial" w:eastAsia="Arial" w:hAnsi="Arial"/>
                <w:b/>
                <w:bCs/>
                <w:color w:val="FFFFFF"/>
                <w:sz w:val="20"/>
                <w:szCs w:val="20"/>
              </w:rPr>
              <w:t xml:space="preserve">Ready to Build</w:t>
            </w:r>
          </w:p>
        </w:tc>
        <w:tc>
          <w:tcPr>
            <w:tcW w:type="dxa" w:w="2460"/>
            <w:tcBorders>
              <w:top w:val="single" w:color="D0D8E8" w:sz="1"/>
              <w:left w:val="single" w:color="D0D8E8" w:sz="1"/>
              <w:bottom w:val="single" w:color="D0D8E8" w:sz="1"/>
              <w:right w:val="single" w:color="D0D8E8" w:sz="1"/>
            </w:tcBorders>
            <w:shd w:fill="2C4A7C" w:val="clear"/>
            <w:tcMar>
              <w:top w:type="dxa" w:w="120"/>
              <w:left w:type="dxa" w:w="160"/>
              <w:bottom w:type="dxa" w:w="120"/>
              <w:right w:type="dxa" w:w="160"/>
            </w:tcMar>
          </w:tcPr>
          <w:p>
            <w:pPr>
              <w:spacing w:after="40" w:before="0"/>
            </w:pPr>
            <w:r>
              <w:rPr>
                <w:rFonts w:ascii="Arial" w:cs="Arial" w:eastAsia="Arial" w:hAnsi="Arial"/>
                <w:color w:val="A0B8D8"/>
                <w:sz w:val="16"/>
                <w:szCs w:val="16"/>
              </w:rPr>
              <w:t xml:space="preserve">ADR Required</w:t>
            </w:r>
          </w:p>
          <w:p>
            <w:pPr>
              <w:spacing w:after="0" w:before="0"/>
            </w:pPr>
            <w:r>
              <w:rPr>
                <w:rFonts w:ascii="Arial" w:cs="Arial" w:eastAsia="Arial" w:hAnsi="Arial"/>
                <w:b/>
                <w:bCs/>
                <w:color w:val="FFFFFF"/>
                <w:sz w:val="20"/>
                <w:szCs w:val="20"/>
              </w:rPr>
              <w:t xml:space="preserve">ADR-015</w:t>
            </w:r>
          </w:p>
        </w:tc>
      </w:tr>
    </w:tbl>
    <w:p>
      <w:pPr>
        <w:spacing w:after="0" w:before="280"/>
      </w:pPr>
      <w:r>
        <w:t xml:space="preserve"/>
      </w:r>
    </w:p>
    <w:p>
      <w:pPr>
        <w:pStyle w:val="Heading1"/>
      </w:pPr>
      <w:r>
        <w:rPr>
          <w:rFonts w:ascii="Arial" w:cs="Arial" w:eastAsia="Arial" w:hAnsi="Arial"/>
          <w:b/>
          <w:bCs/>
          <w:color w:val="1B2A4A"/>
          <w:sz w:val="28"/>
          <w:szCs w:val="28"/>
        </w:rPr>
        <w:t xml:space="preserve">1. Why This Milestone Exists</w:t>
      </w:r>
    </w:p>
    <w:p>
      <w:pPr>
        <w:pBdr>
          <w:bottom w:val="single" w:color="3B82C4" w:sz="8" w:space="1"/>
        </w:pBdr>
        <w:spacing w:after="160" w:before="0"/>
      </w:pPr>
      <w:r>
        <w:t xml:space="preserve"/>
      </w:r>
    </w:p>
    <w:p>
      <w:pPr>
        <w:spacing w:after="80" w:before="80"/>
        <w:jc w:val="left"/>
      </w:pPr>
      <w:r>
        <w:rPr>
          <w:rFonts w:ascii="Arial" w:cs="Arial" w:eastAsia="Arial" w:hAnsi="Arial"/>
          <w:color w:val="1A1A2E"/>
          <w:sz w:val="20"/>
          <w:szCs w:val="20"/>
        </w:rPr>
        <w:t xml:space="preserve">The six milestones already planned for Pillar 2 produce a correct and functional ingestion pipeline. They will ingest cadastral data, validate geometry, map entities to Harmony Cells, and prove the pipeline end-to-end with Central Coast NSW datasets.</w:t>
      </w:r>
    </w:p>
    <w:p>
      <w:pPr>
        <w:spacing w:after="0" w:before="80"/>
      </w:pPr>
      <w:r>
        <w:t xml:space="preserve"/>
      </w:r>
    </w:p>
    <w:p>
      <w:pPr>
        <w:spacing w:after="80" w:before="80"/>
        <w:jc w:val="left"/>
      </w:pPr>
      <w:r>
        <w:rPr>
          <w:rFonts w:ascii="Arial" w:cs="Arial" w:eastAsia="Arial" w:hAnsi="Arial"/>
          <w:color w:val="1A1A2E"/>
          <w:sz w:val="20"/>
          <w:szCs w:val="20"/>
        </w:rPr>
        <w:t xml:space="preserve">What they do not produce is a living map.</w:t>
      </w:r>
    </w:p>
    <w:p>
      <w:pPr>
        <w:spacing w:after="0" w:before="80"/>
      </w:pPr>
      <w:r>
        <w:t xml:space="preserve"/>
      </w:r>
    </w:p>
    <w:p>
      <w:pPr>
        <w:spacing w:after="80" w:before="80"/>
        <w:jc w:val="left"/>
      </w:pPr>
      <w:r>
        <w:rPr>
          <w:rFonts w:ascii="Arial" w:cs="Arial" w:eastAsia="Arial" w:hAnsi="Arial"/>
          <w:color w:val="1A1A2E"/>
          <w:sz w:val="20"/>
          <w:szCs w:val="20"/>
        </w:rPr>
        <w:t xml:space="preserve">Every dataset ingested through Milestones 1–6 represents the state of the world at the moment the source file was exported. Cadastral boundaries from a council GIS export. Zoning layers published last quarter. Building footprints captured during a drone survey last year. The pipeline ingests these correctly. But the moment ingestion completes, the data begins to age.</w:t>
      </w:r>
    </w:p>
    <w:p>
      <w:pPr>
        <w:spacing w:after="0" w:before="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E8F0F8" w:val="clear"/>
            <w:tcMar>
              <w:top w:type="dxa" w:w="140"/>
              <w:left w:type="dxa" w:w="200"/>
              <w:bottom w:type="dxa" w:w="140"/>
              <w:right w:type="dxa" w:w="200"/>
            </w:tcMar>
          </w:tcPr>
          <w:p>
            <w:pPr>
              <w:spacing w:after="0" w:before="0"/>
            </w:pPr>
            <w:r>
              <w:rPr>
                <w:rFonts w:ascii="Arial" w:cs="Arial" w:eastAsia="Arial" w:hAnsi="Arial"/>
                <w:b/>
                <w:bCs/>
                <w:color w:val="2C4A7C"/>
                <w:sz w:val="18"/>
                <w:szCs w:val="18"/>
              </w:rPr>
              <w:t xml:space="preserve">The Gosford Observation  </w:t>
            </w:r>
            <w:r>
              <w:rPr>
                <w:rFonts w:ascii="Arial" w:cs="Arial" w:eastAsia="Arial" w:hAnsi="Arial"/>
                <w:color w:val="1A1A2E"/>
                <w:sz w:val="18"/>
                <w:szCs w:val="18"/>
              </w:rPr>
              <w:t xml:space="preserve">A development site on Mann Street, Gosford — visible on Google Maps as cleared earth and active construction — is in reality a completed residential building, now occupied. Google Maps has not been updated. This is not a Google failure. It is a structural consequence of every platform built on periodic aerial capture. The world changes continuously. Their maps change on a schedule. The gap is permanent.</w:t>
            </w:r>
          </w:p>
        </w:tc>
      </w:tr>
    </w:tbl>
    <w:p>
      <w:pPr>
        <w:spacing w:after="0" w:before="120"/>
      </w:pPr>
      <w:r>
        <w:t xml:space="preserve"/>
      </w:r>
    </w:p>
    <w:p>
      <w:pPr>
        <w:spacing w:after="80" w:before="80"/>
        <w:jc w:val="left"/>
      </w:pPr>
      <w:r>
        <w:rPr>
          <w:rFonts w:ascii="Arial" w:cs="Arial" w:eastAsia="Arial" w:hAnsi="Arial"/>
          <w:color w:val="1A1A2E"/>
          <w:sz w:val="20"/>
          <w:szCs w:val="20"/>
        </w:rPr>
        <w:t xml:space="preserve">Harmony closes this gap through the Temporal Trigger Layer. Rather than waiting for the next satellite pass or manual data refresh, Harmony connects to building permit feeds — public data updated daily by planning authorities — and uses permit events to trigger cell state transitions in real time.</w:t>
      </w:r>
    </w:p>
    <w:p>
      <w:pPr>
        <w:spacing w:after="0" w:before="80"/>
      </w:pPr>
      <w:r>
        <w:t xml:space="preserve"/>
      </w:r>
    </w:p>
    <w:p>
      <w:pPr>
        <w:spacing w:after="80" w:before="80"/>
        <w:jc w:val="left"/>
      </w:pPr>
      <w:r>
        <w:rPr>
          <w:rFonts w:ascii="Arial" w:cs="Arial" w:eastAsia="Arial" w:hAnsi="Arial"/>
          <w:color w:val="1A1A2E"/>
          <w:sz w:val="20"/>
          <w:szCs w:val="20"/>
        </w:rPr>
        <w:t xml:space="preserve">This is not a feature addition. It is the mechanism that makes Harmony's bitemporal schema — which was locked in Pillar 1 and reserved specifically for this purpose — actually do its job. Without Milestone 7, valid_from timestamps in every cell record reflect ingestion time, not real-world event time. The distinction matters for every downstream consumer: investors, autonomous systems, spatial intelligence queries, and the Reagent application layer.</w:t>
      </w:r>
    </w:p>
    <w:p>
      <w:pPr>
        <w:spacing w:after="0" w:before="200"/>
      </w:pPr>
      <w:r>
        <w:t xml:space="preserve"/>
      </w:r>
    </w:p>
    <w:p>
      <w:pPr>
        <w:pStyle w:val="Heading1"/>
      </w:pPr>
      <w:r>
        <w:rPr>
          <w:rFonts w:ascii="Arial" w:cs="Arial" w:eastAsia="Arial" w:hAnsi="Arial"/>
          <w:b/>
          <w:bCs/>
          <w:color w:val="1B2A4A"/>
          <w:sz w:val="28"/>
          <w:szCs w:val="28"/>
        </w:rPr>
        <w:t xml:space="preserve">2. Milestone Objective</w:t>
      </w:r>
    </w:p>
    <w:p>
      <w:pPr>
        <w:pBdr>
          <w:bottom w:val="single" w:color="3B82C4" w:sz="8" w:space="1"/>
        </w:pBdr>
        <w:spacing w:after="160" w:before="0"/>
      </w:pPr>
      <w:r>
        <w:t xml:space="preserve"/>
      </w:r>
    </w:p>
    <w:p>
      <w:pPr>
        <w:spacing w:after="80" w:before="80"/>
        <w:jc w:val="left"/>
      </w:pPr>
      <w:r>
        <w:rPr>
          <w:rFonts w:ascii="Arial" w:cs="Arial" w:eastAsia="Arial" w:hAnsi="Arial"/>
          <w:color w:val="1A1A2E"/>
          <w:sz w:val="20"/>
          <w:szCs w:val="20"/>
        </w:rPr>
        <w:t xml:space="preserve">Milestone 7 delivers a live connection between the NSW Planning Portal's development application and construction certificate feeds and the Harmony Cell registry. When a real-world building event occurs — a development application lodged, a construction certificate issued, a completion certificate recorded — the corresponding Harmony Cell transitions state automatically, and the relevant temporal fields are populated from the permit date, not the ingestion date.</w:t>
      </w:r>
    </w:p>
    <w:p>
      <w:pPr>
        <w:spacing w:after="0" w:before="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0D8E8" w:sz="1"/>
              <w:left w:val="single" w:color="3B82C4" w:sz="12"/>
              <w:bottom w:val="single" w:color="D0D8E8" w:sz="1"/>
              <w:right w:val="single" w:color="D0D8E8" w:sz="1"/>
            </w:tcBorders>
            <w:shd w:fill="F4F7FB" w:val="clear"/>
            <w:tcMar>
              <w:top w:type="dxa" w:w="160"/>
              <w:left w:type="dxa" w:w="240"/>
              <w:bottom w:type="dxa" w:w="160"/>
              <w:right w:type="dxa" w:w="240"/>
            </w:tcMar>
          </w:tcPr>
          <w:p>
            <w:pPr>
              <w:spacing w:after="120" w:before="0"/>
            </w:pPr>
            <w:r>
              <w:rPr>
                <w:rFonts w:ascii="Arial" w:cs="Arial" w:eastAsia="Arial" w:hAnsi="Arial"/>
                <w:b/>
                <w:bCs/>
                <w:color w:val="1B2A4A"/>
                <w:sz w:val="20"/>
                <w:szCs w:val="20"/>
              </w:rPr>
              <w:t xml:space="preserve">Milestone Complete When:</w:t>
            </w:r>
          </w:p>
          <w:p>
            <w:pPr>
              <w:pStyle w:val="ListParagraph"/>
              <w:numPr>
                <w:ilvl w:val="0"/>
                <w:numId w:val="2"/>
              </w:numPr>
              <w:spacing w:after="60" w:before="60"/>
            </w:pPr>
            <w:r>
              <w:rPr>
                <w:rFonts w:ascii="Arial" w:cs="Arial" w:eastAsia="Arial" w:hAnsi="Arial"/>
                <w:color w:val="1A1A2E"/>
                <w:sz w:val="20"/>
                <w:szCs w:val="20"/>
              </w:rPr>
              <w:t xml:space="preserve">The NSW Planning Portal feed is connected and polled on a defined schedule</w:t>
            </w:r>
          </w:p>
          <w:p>
            <w:pPr>
              <w:pStyle w:val="ListParagraph"/>
              <w:numPr>
                <w:ilvl w:val="0"/>
                <w:numId w:val="2"/>
              </w:numPr>
              <w:spacing w:after="60" w:before="60"/>
            </w:pPr>
            <w:r>
              <w:rPr>
                <w:rFonts w:ascii="Arial" w:cs="Arial" w:eastAsia="Arial" w:hAnsi="Arial"/>
                <w:color w:val="1A1A2E"/>
                <w:sz w:val="20"/>
                <w:szCs w:val="20"/>
              </w:rPr>
              <w:t xml:space="preserve">A permit address can be resolved to one or more Harmony Cells</w:t>
            </w:r>
          </w:p>
          <w:p>
            <w:pPr>
              <w:pStyle w:val="ListParagraph"/>
              <w:numPr>
                <w:ilvl w:val="0"/>
                <w:numId w:val="2"/>
              </w:numPr>
              <w:spacing w:after="60" w:before="60"/>
            </w:pPr>
            <w:r>
              <w:rPr>
                <w:rFonts w:ascii="Arial" w:cs="Arial" w:eastAsia="Arial" w:hAnsi="Arial"/>
                <w:color w:val="1A1A2E"/>
                <w:sz w:val="20"/>
                <w:szCs w:val="20"/>
              </w:rPr>
              <w:t xml:space="preserve">Cell status transitions from stable → change_expected → change_confirmed on permit events</w:t>
            </w:r>
          </w:p>
          <w:p>
            <w:pPr>
              <w:pStyle w:val="ListParagraph"/>
              <w:numPr>
                <w:ilvl w:val="0"/>
                <w:numId w:val="2"/>
              </w:numPr>
              <w:spacing w:after="60" w:before="60"/>
            </w:pPr>
            <w:r>
              <w:rPr>
                <w:rFonts w:ascii="Arial" w:cs="Arial" w:eastAsia="Arial" w:hAnsi="Arial"/>
                <w:color w:val="1A1A2E"/>
                <w:sz w:val="20"/>
                <w:szCs w:val="20"/>
              </w:rPr>
              <w:t xml:space="preserve">valid_from is populated from the completion certificate date, not the ingestion timestamp</w:t>
            </w:r>
          </w:p>
          <w:p>
            <w:pPr>
              <w:pStyle w:val="ListParagraph"/>
              <w:numPr>
                <w:ilvl w:val="0"/>
                <w:numId w:val="2"/>
              </w:numPr>
              <w:spacing w:after="60" w:before="60"/>
            </w:pPr>
            <w:r>
              <w:rPr>
                <w:rFonts w:ascii="Arial" w:cs="Arial" w:eastAsia="Arial" w:hAnsi="Arial"/>
                <w:color w:val="1A1A2E"/>
                <w:sz w:val="20"/>
                <w:szCs w:val="20"/>
              </w:rPr>
              <w:t xml:space="preserve">fidelity_coverage reflects pending photorealistic status for newly confirmed cells</w:t>
            </w:r>
          </w:p>
          <w:p>
            <w:pPr>
              <w:pStyle w:val="ListParagraph"/>
              <w:numPr>
                <w:ilvl w:val="0"/>
                <w:numId w:val="2"/>
              </w:numPr>
              <w:spacing w:after="60" w:before="60"/>
            </w:pPr>
            <w:r>
              <w:rPr>
                <w:rFonts w:ascii="Arial" w:cs="Arial" w:eastAsia="Arial" w:hAnsi="Arial"/>
                <w:color w:val="1A1A2E"/>
                <w:sz w:val="20"/>
                <w:szCs w:val="20"/>
              </w:rPr>
              <w:t xml:space="preserve">ADR-015 is drafted, reviewed, and accepted before any schema changes are written</w:t>
            </w:r>
          </w:p>
        </w:tc>
      </w:tr>
    </w:tbl>
    <w:p>
      <w:pPr>
        <w:spacing w:after="0" w:before="200"/>
      </w:pPr>
      <w:r>
        <w:t xml:space="preserve"/>
      </w:r>
    </w:p>
    <w:p>
      <w:pPr>
        <w:pStyle w:val="Heading1"/>
      </w:pPr>
      <w:r>
        <w:rPr>
          <w:rFonts w:ascii="Arial" w:cs="Arial" w:eastAsia="Arial" w:hAnsi="Arial"/>
          <w:b/>
          <w:bCs/>
          <w:color w:val="1B2A4A"/>
          <w:sz w:val="28"/>
          <w:szCs w:val="28"/>
        </w:rPr>
        <w:t xml:space="preserve">3. Schema Changes Required</w:t>
      </w:r>
    </w:p>
    <w:p>
      <w:pPr>
        <w:pBdr>
          <w:bottom w:val="single" w:color="3B82C4" w:sz="8" w:space="1"/>
        </w:pBdr>
        <w:spacing w:after="160" w:before="0"/>
      </w:pPr>
      <w:r>
        <w:t xml:space="preserve"/>
      </w:r>
    </w:p>
    <w:p>
      <w:pPr>
        <w:spacing w:after="80" w:before="80"/>
        <w:jc w:val="left"/>
      </w:pPr>
      <w:r>
        <w:rPr>
          <w:rFonts w:ascii="Arial" w:cs="Arial" w:eastAsia="Arial" w:hAnsi="Arial"/>
          <w:color w:val="1A1A2E"/>
          <w:sz w:val="20"/>
          <w:szCs w:val="20"/>
        </w:rPr>
        <w:t xml:space="preserve">Milestone 7 activates fields that were reserved in the Pillar 1 schema (v0.1.2) specifically for this purpose. No new top-level fields are required. The following reserved fields are activated:</w:t>
      </w:r>
    </w:p>
    <w:p>
      <w:pPr>
        <w:spacing w:after="0" w:before="120"/>
      </w:pPr>
      <w:r>
        <w:t xml:space="preserve"/>
      </w:r>
    </w:p>
    <w:p>
      <w:pPr>
        <w:pStyle w:val="Heading2"/>
      </w:pPr>
      <w:r>
        <w:rPr>
          <w:rFonts w:ascii="Arial" w:cs="Arial" w:eastAsia="Arial" w:hAnsi="Arial"/>
          <w:b/>
          <w:bCs/>
          <w:color w:val="2C4A7C"/>
          <w:sz w:val="22"/>
          <w:szCs w:val="22"/>
        </w:rPr>
        <w:t xml:space="preserve">3.1  Cell Status Field</w:t>
      </w:r>
    </w:p>
    <w:p>
      <w:pPr>
        <w:spacing w:after="80" w:before="80"/>
        <w:jc w:val="left"/>
      </w:pPr>
      <w:r>
        <w:rPr>
          <w:rFonts w:ascii="Arial" w:cs="Arial" w:eastAsia="Arial" w:hAnsi="Arial"/>
          <w:color w:val="1A1A2E"/>
          <w:sz w:val="20"/>
          <w:szCs w:val="20"/>
        </w:rPr>
        <w:t xml:space="preserve">A new field cell_status is added to the cell record. This field drives the temporal trigger logic.</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640"/>
      </w:tblGrid>
      <w:tr>
        <w:trPr>
          <w:tblHeader/>
        </w:trPr>
        <w:tc>
          <w:tcPr>
            <w:tcW w:type="dxa" w:w="2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 Value</w:t>
            </w:r>
          </w:p>
        </w:tc>
        <w:tc>
          <w:tcPr>
            <w:tcW w:type="dxa" w:w="20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Trigger</w:t>
            </w:r>
          </w:p>
        </w:tc>
        <w:tc>
          <w:tcPr>
            <w:tcW w:type="dxa" w:w="56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Meaning</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stable</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Default at registration</w:t>
            </w:r>
          </w:p>
        </w:tc>
        <w:tc>
          <w:tcPr>
            <w:tcW w:type="dxa" w:w="5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No known change expected. Current data reflects reality.</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change_expected</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Development application lodged</w:t>
            </w:r>
          </w:p>
        </w:tc>
        <w:tc>
          <w:tcPr>
            <w:tcW w:type="dxa" w:w="5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 permit has been lodged for this cell. Current data will become stale.</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change_in_progress</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Construction certificate issued</w:t>
            </w:r>
          </w:p>
        </w:tc>
        <w:tc>
          <w:tcPr>
            <w:tcW w:type="dxa" w:w="5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Active construction confirmed. Structural data should be treated as transitional.</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change_confirmed</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Completion certificate issued</w:t>
            </w:r>
          </w:p>
        </w:tc>
        <w:tc>
          <w:tcPr>
            <w:tcW w:type="dxa" w:w="5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Development complete. Cell requires re-ingestion. valid_from updated to certificate date.</w:t>
            </w:r>
          </w:p>
        </w:tc>
      </w:tr>
    </w:tbl>
    <w:p>
      <w:pPr>
        <w:spacing w:after="0" w:before="160"/>
      </w:pPr>
      <w:r>
        <w:t xml:space="preserve"/>
      </w:r>
    </w:p>
    <w:p>
      <w:pPr>
        <w:pStyle w:val="Heading2"/>
      </w:pPr>
      <w:r>
        <w:rPr>
          <w:rFonts w:ascii="Arial" w:cs="Arial" w:eastAsia="Arial" w:hAnsi="Arial"/>
          <w:b/>
          <w:bCs/>
          <w:color w:val="2C4A7C"/>
          <w:sz w:val="22"/>
          <w:szCs w:val="22"/>
        </w:rPr>
        <w:t xml:space="preserve">3.2  Temporal Fields Activation</w:t>
      </w:r>
    </w:p>
    <w:p>
      <w:pPr>
        <w:spacing w:after="80" w:before="80"/>
        <w:jc w:val="left"/>
      </w:pPr>
      <w:r>
        <w:rPr>
          <w:rFonts w:ascii="Arial" w:cs="Arial" w:eastAsia="Arial" w:hAnsi="Arial"/>
          <w:color w:val="1A1A2E"/>
          <w:sz w:val="20"/>
          <w:szCs w:val="20"/>
        </w:rPr>
        <w:t xml:space="preserve">The four bitemporal fields reserved in Pillar 1 (ADR-007) are activated by this milestone. The governing rule is:</w:t>
      </w:r>
    </w:p>
    <w:p>
      <w:pPr>
        <w:spacing w:after="0" w:before="80"/>
      </w:pPr>
      <w:r>
        <w:t xml:space="preserve"/>
      </w:r>
    </w:p>
    <w:p>
      <w:pPr>
        <w:pStyle w:val="ListParagraph"/>
        <w:numPr>
          <w:ilvl w:val="0"/>
          <w:numId w:val="2"/>
        </w:numPr>
        <w:spacing w:after="60" w:before="60"/>
      </w:pPr>
      <w:r>
        <w:rPr>
          <w:rFonts w:ascii="Arial" w:cs="Arial" w:eastAsia="Arial" w:hAnsi="Arial"/>
          <w:b/>
          <w:bCs/>
          <w:color w:val="2C4A7C"/>
          <w:sz w:val="20"/>
          <w:szCs w:val="20"/>
        </w:rPr>
        <w:t xml:space="preserve">RULE: </w:t>
      </w:r>
      <w:r>
        <w:rPr>
          <w:rFonts w:ascii="Arial" w:cs="Arial" w:eastAsia="Arial" w:hAnsi="Arial"/>
          <w:color w:val="1A1A2E"/>
          <w:sz w:val="20"/>
          <w:szCs w:val="20"/>
        </w:rPr>
        <w:t xml:space="preserve">valid_from is set to the completion certificate date from the Planning Portal — not the ingestion timestamp</w:t>
      </w:r>
    </w:p>
    <w:p>
      <w:pPr>
        <w:pStyle w:val="ListParagraph"/>
        <w:numPr>
          <w:ilvl w:val="0"/>
          <w:numId w:val="2"/>
        </w:numPr>
        <w:spacing w:after="60" w:before="60"/>
      </w:pPr>
      <w:r>
        <w:rPr>
          <w:rFonts w:ascii="Arial" w:cs="Arial" w:eastAsia="Arial" w:hAnsi="Arial"/>
          <w:b/>
          <w:bCs/>
          <w:color w:val="2C4A7C"/>
          <w:sz w:val="20"/>
          <w:szCs w:val="20"/>
        </w:rPr>
        <w:t xml:space="preserve">RULE: </w:t>
      </w:r>
      <w:r>
        <w:rPr>
          <w:rFonts w:ascii="Arial" w:cs="Arial" w:eastAsia="Arial" w:hAnsi="Arial"/>
          <w:color w:val="1A1A2E"/>
          <w:sz w:val="20"/>
          <w:szCs w:val="20"/>
        </w:rPr>
        <w:t xml:space="preserve">valid_to remains null until a superseding change is confirmed for the same cell</w:t>
      </w:r>
    </w:p>
    <w:p>
      <w:pPr>
        <w:pStyle w:val="ListParagraph"/>
        <w:numPr>
          <w:ilvl w:val="0"/>
          <w:numId w:val="2"/>
        </w:numPr>
        <w:spacing w:after="60" w:before="60"/>
      </w:pPr>
      <w:r>
        <w:rPr>
          <w:rFonts w:ascii="Arial" w:cs="Arial" w:eastAsia="Arial" w:hAnsi="Arial"/>
          <w:b/>
          <w:bCs/>
          <w:color w:val="2C4A7C"/>
          <w:sz w:val="20"/>
          <w:szCs w:val="20"/>
        </w:rPr>
        <w:t xml:space="preserve">RULE: </w:t>
      </w:r>
      <w:r>
        <w:rPr>
          <w:rFonts w:ascii="Arial" w:cs="Arial" w:eastAsia="Arial" w:hAnsi="Arial"/>
          <w:color w:val="1A1A2E"/>
          <w:sz w:val="20"/>
          <w:szCs w:val="20"/>
        </w:rPr>
        <w:t xml:space="preserve">version_of is populated when a cell transitions to change_confirmed and a prior version exists</w:t>
      </w:r>
    </w:p>
    <w:p>
      <w:pPr>
        <w:pStyle w:val="ListParagraph"/>
        <w:numPr>
          <w:ilvl w:val="0"/>
          <w:numId w:val="2"/>
        </w:numPr>
        <w:spacing w:after="60" w:before="60"/>
      </w:pPr>
      <w:r>
        <w:rPr>
          <w:rFonts w:ascii="Arial" w:cs="Arial" w:eastAsia="Arial" w:hAnsi="Arial"/>
          <w:b/>
          <w:bCs/>
          <w:color w:val="2C4A7C"/>
          <w:sz w:val="20"/>
          <w:szCs w:val="20"/>
        </w:rPr>
        <w:t xml:space="preserve">RULE: </w:t>
      </w:r>
      <w:r>
        <w:rPr>
          <w:rFonts w:ascii="Arial" w:cs="Arial" w:eastAsia="Arial" w:hAnsi="Arial"/>
          <w:color w:val="1A1A2E"/>
          <w:sz w:val="20"/>
          <w:szCs w:val="20"/>
        </w:rPr>
        <w:t xml:space="preserve">temporal_status transitions from current to superseded when a new version is registered</w:t>
      </w:r>
    </w:p>
    <w:p>
      <w:pPr>
        <w:spacing w:after="0" w:before="120"/>
      </w:pPr>
      <w:r>
        <w:t xml:space="preserve"/>
      </w:r>
    </w:p>
    <w:p>
      <w:pPr>
        <w:pStyle w:val="Heading2"/>
      </w:pPr>
      <w:r>
        <w:rPr>
          <w:rFonts w:ascii="Arial" w:cs="Arial" w:eastAsia="Arial" w:hAnsi="Arial"/>
          <w:b/>
          <w:bCs/>
          <w:color w:val="2C4A7C"/>
          <w:sz w:val="22"/>
          <w:szCs w:val="22"/>
        </w:rPr>
        <w:t xml:space="preserve">3.3  Fidelity Coverage Update</w:t>
      </w:r>
    </w:p>
    <w:p>
      <w:pPr>
        <w:spacing w:after="80" w:before="80"/>
        <w:jc w:val="left"/>
      </w:pPr>
      <w:r>
        <w:rPr>
          <w:rFonts w:ascii="Arial" w:cs="Arial" w:eastAsia="Arial" w:hAnsi="Arial"/>
          <w:color w:val="1A1A2E"/>
          <w:sz w:val="20"/>
          <w:szCs w:val="20"/>
        </w:rPr>
        <w:t xml:space="preserve">When a cell transitions to change_confirmed, the photorealistic slot in fidelity_coverage must be reset to pending. A confirmed development means any existing photorealistic asset bundle is no longer accurate. The pipeline must not leave stale photorealistic data in a cell that has been physically changed.</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E8F0F8" w:val="clear"/>
            <w:tcMar>
              <w:top w:type="dxa" w:w="140"/>
              <w:left w:type="dxa" w:w="200"/>
              <w:bottom w:type="dxa" w:w="140"/>
              <w:right w:type="dxa" w:w="200"/>
            </w:tcMar>
          </w:tcPr>
          <w:p>
            <w:pPr>
              <w:spacing w:after="0" w:before="0"/>
            </w:pPr>
            <w:r>
              <w:rPr>
                <w:rFonts w:ascii="Arial" w:cs="Arial" w:eastAsia="Arial" w:hAnsi="Arial"/>
                <w:b/>
                <w:bCs/>
                <w:color w:val="2C4A7C"/>
                <w:sz w:val="18"/>
                <w:szCs w:val="18"/>
              </w:rPr>
              <w:t xml:space="preserve">Required fidelity_coverage structure for all Pillar 2 cells:  </w:t>
            </w:r>
            <w:r>
              <w:rPr>
                <w:rFonts w:ascii="Arial" w:cs="Arial" w:eastAsia="Arial" w:hAnsi="Arial"/>
                <w:color w:val="1A1A2E"/>
                <w:sz w:val="18"/>
                <w:szCs w:val="18"/>
              </w:rPr>
              <w:t xml:space="preserve">{ "structural": { "status": "available", "source": "nsw_cadastral", "captured_at": "YYYY-MM-DD" }, "photorealistic": { "status": "pending", "source": null, "captured_at": null } }</w:t>
            </w:r>
          </w:p>
        </w:tc>
      </w:tr>
    </w:tbl>
    <w:p>
      <w:pPr>
        <w:spacing w:after="0" w:before="200"/>
      </w:pPr>
      <w:r>
        <w:t xml:space="preserve"/>
      </w:r>
    </w:p>
    <w:p>
      <w:pPr>
        <w:pStyle w:val="Heading1"/>
      </w:pPr>
      <w:r>
        <w:rPr>
          <w:rFonts w:ascii="Arial" w:cs="Arial" w:eastAsia="Arial" w:hAnsi="Arial"/>
          <w:b/>
          <w:bCs/>
          <w:color w:val="1B2A4A"/>
          <w:sz w:val="28"/>
          <w:szCs w:val="28"/>
        </w:rPr>
        <w:t xml:space="preserve">4. Pipeline Architecture</w:t>
      </w:r>
    </w:p>
    <w:p>
      <w:pPr>
        <w:pBdr>
          <w:bottom w:val="single" w:color="3B82C4" w:sz="8" w:space="1"/>
        </w:pBdr>
        <w:spacing w:after="160" w:before="0"/>
      </w:pPr>
      <w:r>
        <w:t xml:space="preserve"/>
      </w:r>
    </w:p>
    <w:p>
      <w:pPr>
        <w:spacing w:after="80" w:before="80"/>
        <w:jc w:val="left"/>
      </w:pPr>
      <w:r>
        <w:rPr>
          <w:rFonts w:ascii="Arial" w:cs="Arial" w:eastAsia="Arial" w:hAnsi="Arial"/>
          <w:color w:val="1A1A2E"/>
          <w:sz w:val="20"/>
          <w:szCs w:val="20"/>
        </w:rPr>
        <w:t xml:space="preserve">The Temporal Trigger Layer is implemented as an additional subsystem within the Pillar 2 pipeline. It operates as a scheduled job alongside the existing ingestion pipeline — not as a replacement for it.</w:t>
      </w:r>
    </w:p>
    <w:p>
      <w:pPr>
        <w:spacing w:after="0" w:before="120"/>
      </w:pPr>
      <w:r>
        <w:t xml:space="preserve"/>
      </w:r>
    </w:p>
    <w:p>
      <w:pPr>
        <w:pStyle w:val="Heading2"/>
      </w:pPr>
      <w:r>
        <w:rPr>
          <w:rFonts w:ascii="Arial" w:cs="Arial" w:eastAsia="Arial" w:hAnsi="Arial"/>
          <w:b/>
          <w:bCs/>
          <w:color w:val="2C4A7C"/>
          <w:sz w:val="22"/>
          <w:szCs w:val="22"/>
        </w:rPr>
        <w:t xml:space="preserve">4.1  Data Source</w:t>
      </w:r>
    </w:p>
    <w:p>
      <w:pPr>
        <w:spacing w:after="80" w:before="80"/>
        <w:jc w:val="left"/>
      </w:pPr>
      <w:r>
        <w:rPr>
          <w:rFonts w:ascii="Arial" w:cs="Arial" w:eastAsia="Arial" w:hAnsi="Arial"/>
          <w:color w:val="1A1A2E"/>
          <w:sz w:val="20"/>
          <w:szCs w:val="20"/>
        </w:rPr>
        <w:t xml:space="preserve">Primary source: NSW Planning Portal — ePlanning Spatial Viewer API. This is a public government API that exposes development applications, construction certificates, and occupation certificates as geospatial features with polygon boundaries, application status, and date fields.</w:t>
      </w:r>
    </w:p>
    <w:p>
      <w:pPr>
        <w:spacing w:after="0" w:before="80"/>
      </w:pPr>
      <w:r>
        <w:t xml:space="preserve"/>
      </w:r>
    </w:p>
    <w:p>
      <w:pPr>
        <w:pStyle w:val="ListParagraph"/>
        <w:numPr>
          <w:ilvl w:val="0"/>
          <w:numId w:val="2"/>
        </w:numPr>
        <w:spacing w:after="60" w:before="60"/>
      </w:pPr>
      <w:r>
        <w:rPr>
          <w:rFonts w:ascii="Arial" w:cs="Arial" w:eastAsia="Arial" w:hAnsi="Arial"/>
          <w:color w:val="1A1A2E"/>
          <w:sz w:val="20"/>
          <w:szCs w:val="20"/>
        </w:rPr>
        <w:t xml:space="preserve">Base URL: https://api.planning.nsw.gov.au/spatial/v1/</w:t>
      </w:r>
    </w:p>
    <w:p>
      <w:pPr>
        <w:pStyle w:val="ListParagraph"/>
        <w:numPr>
          <w:ilvl w:val="0"/>
          <w:numId w:val="2"/>
        </w:numPr>
        <w:spacing w:after="60" w:before="60"/>
      </w:pPr>
      <w:r>
        <w:rPr>
          <w:rFonts w:ascii="Arial" w:cs="Arial" w:eastAsia="Arial" w:hAnsi="Arial"/>
          <w:color w:val="1A1A2E"/>
          <w:sz w:val="20"/>
          <w:szCs w:val="20"/>
        </w:rPr>
        <w:t xml:space="preserve">Relevant endpoints: development-applications, construction-certificates, occupation-certificates</w:t>
      </w:r>
    </w:p>
    <w:p>
      <w:pPr>
        <w:pStyle w:val="ListParagraph"/>
        <w:numPr>
          <w:ilvl w:val="0"/>
          <w:numId w:val="2"/>
        </w:numPr>
        <w:spacing w:after="60" w:before="60"/>
      </w:pPr>
      <w:r>
        <w:rPr>
          <w:rFonts w:ascii="Arial" w:cs="Arial" w:eastAsia="Arial" w:hAnsi="Arial"/>
          <w:color w:val="1A1A2E"/>
          <w:sz w:val="20"/>
          <w:szCs w:val="20"/>
        </w:rPr>
        <w:t xml:space="preserve">Poll frequency: daily minimum, hourly for high-activity areas</w:t>
      </w:r>
    </w:p>
    <w:p>
      <w:pPr>
        <w:pStyle w:val="ListParagraph"/>
        <w:numPr>
          <w:ilvl w:val="0"/>
          <w:numId w:val="2"/>
        </w:numPr>
        <w:spacing w:after="60" w:before="60"/>
      </w:pPr>
      <w:r>
        <w:rPr>
          <w:rFonts w:ascii="Arial" w:cs="Arial" w:eastAsia="Arial" w:hAnsi="Arial"/>
          <w:color w:val="1A1A2E"/>
          <w:sz w:val="20"/>
          <w:szCs w:val="20"/>
        </w:rPr>
        <w:t xml:space="preserve">Authentication: public API, no key required for basic access</w:t>
      </w:r>
    </w:p>
    <w:p>
      <w:pPr>
        <w:spacing w:after="0" w:before="120"/>
      </w:pPr>
      <w:r>
        <w:t xml:space="preserve"/>
      </w:r>
    </w:p>
    <w:p>
      <w:pPr>
        <w:pStyle w:val="Heading2"/>
      </w:pPr>
      <w:r>
        <w:rPr>
          <w:rFonts w:ascii="Arial" w:cs="Arial" w:eastAsia="Arial" w:hAnsi="Arial"/>
          <w:b/>
          <w:bCs/>
          <w:color w:val="2C4A7C"/>
          <w:sz w:val="22"/>
          <w:szCs w:val="22"/>
        </w:rPr>
        <w:t xml:space="preserve">4.2  Address-to-Cell Resolution</w:t>
      </w:r>
    </w:p>
    <w:p>
      <w:pPr>
        <w:spacing w:after="80" w:before="80"/>
        <w:jc w:val="left"/>
      </w:pPr>
      <w:r>
        <w:rPr>
          <w:rFonts w:ascii="Arial" w:cs="Arial" w:eastAsia="Arial" w:hAnsi="Arial"/>
          <w:color w:val="1A1A2E"/>
          <w:sz w:val="20"/>
          <w:szCs w:val="20"/>
        </w:rPr>
        <w:t xml:space="preserve">Each permit record carries a lot address and a polygon boundary. The pipeline must resolve this to one or more Harmony Cells. The resolution logic follows this hierarchy:</w:t>
      </w:r>
    </w:p>
    <w:p>
      <w:pPr>
        <w:spacing w:after="0" w:before="80"/>
      </w:pPr>
      <w:r>
        <w:t xml:space="preserve"/>
      </w:r>
    </w:p>
    <w:p>
      <w:pPr>
        <w:pStyle w:val="ListParagraph"/>
        <w:numPr>
          <w:ilvl w:val="0"/>
          <w:numId w:val="2"/>
        </w:numPr>
        <w:spacing w:after="60" w:before="60"/>
      </w:pPr>
      <w:r>
        <w:rPr>
          <w:rFonts w:ascii="Arial" w:cs="Arial" w:eastAsia="Arial" w:hAnsi="Arial"/>
          <w:b/>
          <w:bCs/>
          <w:color w:val="2C4A7C"/>
          <w:sz w:val="20"/>
          <w:szCs w:val="20"/>
        </w:rPr>
        <w:t xml:space="preserve">Step 1 </w:t>
      </w:r>
      <w:r>
        <w:rPr>
          <w:rFonts w:ascii="Arial" w:cs="Arial" w:eastAsia="Arial" w:hAnsi="Arial"/>
          <w:color w:val="1A1A2E"/>
          <w:sz w:val="20"/>
          <w:szCs w:val="20"/>
        </w:rPr>
        <w:t xml:space="preserve">Attempt spatial intersection: use the permit polygon against the Harmony Cell grid at r10 resolution (parcel/building scale)</w:t>
      </w:r>
    </w:p>
    <w:p>
      <w:pPr>
        <w:pStyle w:val="ListParagraph"/>
        <w:numPr>
          <w:ilvl w:val="0"/>
          <w:numId w:val="2"/>
        </w:numPr>
        <w:spacing w:after="60" w:before="60"/>
      </w:pPr>
      <w:r>
        <w:rPr>
          <w:rFonts w:ascii="Arial" w:cs="Arial" w:eastAsia="Arial" w:hAnsi="Arial"/>
          <w:b/>
          <w:bCs/>
          <w:color w:val="2C4A7C"/>
          <w:sz w:val="20"/>
          <w:szCs w:val="20"/>
        </w:rPr>
        <w:t xml:space="preserve">Step 2 </w:t>
      </w:r>
      <w:r>
        <w:rPr>
          <w:rFonts w:ascii="Arial" w:cs="Arial" w:eastAsia="Arial" w:hAnsi="Arial"/>
          <w:color w:val="1A1A2E"/>
          <w:sz w:val="20"/>
          <w:szCs w:val="20"/>
        </w:rPr>
        <w:t xml:space="preserve">If polygon spans multiple cells, all intersecting cells are flagged</w:t>
      </w:r>
    </w:p>
    <w:p>
      <w:pPr>
        <w:pStyle w:val="ListParagraph"/>
        <w:numPr>
          <w:ilvl w:val="0"/>
          <w:numId w:val="2"/>
        </w:numPr>
        <w:spacing w:after="60" w:before="60"/>
      </w:pPr>
      <w:r>
        <w:rPr>
          <w:rFonts w:ascii="Arial" w:cs="Arial" w:eastAsia="Arial" w:hAnsi="Arial"/>
          <w:b/>
          <w:bCs/>
          <w:color w:val="2C4A7C"/>
          <w:sz w:val="20"/>
          <w:szCs w:val="20"/>
        </w:rPr>
        <w:t xml:space="preserve">Step 3 </w:t>
      </w:r>
      <w:r>
        <w:rPr>
          <w:rFonts w:ascii="Arial" w:cs="Arial" w:eastAsia="Arial" w:hAnsi="Arial"/>
          <w:color w:val="1A1A2E"/>
          <w:sz w:val="20"/>
          <w:szCs w:val="20"/>
        </w:rPr>
        <w:t xml:space="preserve">If spatial intersection fails, fall back to address geocoding via the cell's known_names index</w:t>
      </w:r>
    </w:p>
    <w:p>
      <w:pPr>
        <w:pStyle w:val="ListParagraph"/>
        <w:numPr>
          <w:ilvl w:val="0"/>
          <w:numId w:val="2"/>
        </w:numPr>
        <w:spacing w:after="60" w:before="60"/>
      </w:pPr>
      <w:r>
        <w:rPr>
          <w:rFonts w:ascii="Arial" w:cs="Arial" w:eastAsia="Arial" w:hAnsi="Arial"/>
          <w:b/>
          <w:bCs/>
          <w:color w:val="2C4A7C"/>
          <w:sz w:val="20"/>
          <w:szCs w:val="20"/>
        </w:rPr>
        <w:t xml:space="preserve">Step 4 </w:t>
      </w:r>
      <w:r>
        <w:rPr>
          <w:rFonts w:ascii="Arial" w:cs="Arial" w:eastAsia="Arial" w:hAnsi="Arial"/>
          <w:color w:val="1A1A2E"/>
          <w:sz w:val="20"/>
          <w:szCs w:val="20"/>
        </w:rPr>
        <w:t xml:space="preserve">If resolution fails entirely, log as unresolved and flag for manual review — do not discard</w:t>
      </w:r>
    </w:p>
    <w:p>
      <w:pPr>
        <w:spacing w:after="0" w:before="120"/>
      </w:pPr>
      <w:r>
        <w:t xml:space="preserve"/>
      </w:r>
    </w:p>
    <w:p>
      <w:pPr>
        <w:pStyle w:val="Heading2"/>
      </w:pPr>
      <w:r>
        <w:rPr>
          <w:rFonts w:ascii="Arial" w:cs="Arial" w:eastAsia="Arial" w:hAnsi="Arial"/>
          <w:b/>
          <w:bCs/>
          <w:color w:val="2C4A7C"/>
          <w:sz w:val="22"/>
          <w:szCs w:val="22"/>
        </w:rPr>
        <w:t xml:space="preserve">4.3  Event-to-Transition Mapping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640"/>
      </w:tblGrid>
      <w:tr>
        <w:trPr>
          <w:tblHeader/>
        </w:trPr>
        <w:tc>
          <w:tcPr>
            <w:tcW w:type="dxa" w:w="30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Permit Event</w:t>
            </w:r>
          </w:p>
        </w:tc>
        <w:tc>
          <w:tcPr>
            <w:tcW w:type="dxa" w:w="2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Cell Transition</w:t>
            </w:r>
          </w:p>
        </w:tc>
        <w:tc>
          <w:tcPr>
            <w:tcW w:type="dxa" w:w="46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Fields Updated</w:t>
            </w:r>
          </w:p>
        </w:tc>
      </w:tr>
      <w:tr>
        <w:tc>
          <w:tcPr>
            <w:tcW w:type="dxa" w:w="3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Development Application lodged</w:t>
            </w:r>
          </w:p>
        </w:tc>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stable → change_expected</w:t>
            </w:r>
          </w:p>
        </w:tc>
        <w:tc>
          <w:tcPr>
            <w:tcW w:type="dxa" w:w="4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cell_status, updated_at</w:t>
            </w:r>
          </w:p>
        </w:tc>
      </w:tr>
      <w:tr>
        <w:tc>
          <w:tcPr>
            <w:tcW w:type="dxa" w:w="3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Construction Certificate issued</w:t>
            </w:r>
          </w:p>
        </w:tc>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change_expected → change_in_progress</w:t>
            </w:r>
          </w:p>
        </w:tc>
        <w:tc>
          <w:tcPr>
            <w:tcW w:type="dxa" w:w="4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cell_status, updated_at</w:t>
            </w:r>
          </w:p>
        </w:tc>
      </w:tr>
      <w:tr>
        <w:tc>
          <w:tcPr>
            <w:tcW w:type="dxa" w:w="3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Occupation Certificate issued</w:t>
            </w:r>
          </w:p>
        </w:tc>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change_in_progress → change_confirmed</w:t>
            </w:r>
          </w:p>
        </w:tc>
        <w:tc>
          <w:tcPr>
            <w:tcW w:type="dxa" w:w="4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cell_status, valid_from (from cert date), fidelity_coverage.photorealistic.status = pending, updated_at</w:t>
            </w:r>
          </w:p>
        </w:tc>
      </w:tr>
      <w:tr>
        <w:tc>
          <w:tcPr>
            <w:tcW w:type="dxa" w:w="3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DA Withdrawn or Refused</w:t>
            </w:r>
          </w:p>
        </w:tc>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change_expected → stable</w:t>
            </w:r>
          </w:p>
        </w:tc>
        <w:tc>
          <w:tcPr>
            <w:tcW w:type="dxa" w:w="4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cell_status, updated_at</w:t>
            </w:r>
          </w:p>
        </w:tc>
      </w:tr>
    </w:tbl>
    <w:p>
      <w:pPr>
        <w:spacing w:after="0" w:before="160"/>
      </w:pPr>
      <w:r>
        <w:t xml:space="preserve"/>
      </w:r>
    </w:p>
    <w:p>
      <w:pPr>
        <w:pStyle w:val="Heading2"/>
      </w:pPr>
      <w:r>
        <w:rPr>
          <w:rFonts w:ascii="Arial" w:cs="Arial" w:eastAsia="Arial" w:hAnsi="Arial"/>
          <w:b/>
          <w:bCs/>
          <w:color w:val="2C4A7C"/>
          <w:sz w:val="22"/>
          <w:szCs w:val="22"/>
        </w:rPr>
        <w:t xml:space="preserve">4.4  Error Handling</w:t>
      </w:r>
    </w:p>
    <w:p>
      <w:pPr>
        <w:spacing w:after="80" w:before="80"/>
        <w:jc w:val="left"/>
      </w:pPr>
      <w:r>
        <w:rPr>
          <w:rFonts w:ascii="Arial" w:cs="Arial" w:eastAsia="Arial" w:hAnsi="Arial"/>
          <w:color w:val="1A1A2E"/>
          <w:sz w:val="20"/>
          <w:szCs w:val="20"/>
        </w:rPr>
        <w:t xml:space="preserve">The permit trigger layer must not block the primary ingestion pipeline. Failures in permit polling or resolution are logged and queued for retry — they do not cause ingestion jobs to fail. The following error states must be handled:</w:t>
      </w:r>
    </w:p>
    <w:p>
      <w:pPr>
        <w:spacing w:after="0" w:before="80"/>
      </w:pPr>
      <w:r>
        <w:t xml:space="preserve"/>
      </w:r>
    </w:p>
    <w:p>
      <w:pPr>
        <w:pStyle w:val="ListParagraph"/>
        <w:numPr>
          <w:ilvl w:val="0"/>
          <w:numId w:val="2"/>
        </w:numPr>
        <w:spacing w:after="60" w:before="60"/>
      </w:pPr>
      <w:r>
        <w:rPr>
          <w:rFonts w:ascii="Arial" w:cs="Arial" w:eastAsia="Arial" w:hAnsi="Arial"/>
          <w:color w:val="1A1A2E"/>
          <w:sz w:val="20"/>
          <w:szCs w:val="20"/>
        </w:rPr>
        <w:t xml:space="preserve">API timeout or unavailability — retry with exponential backoff, max 3 attempts, then log as deferred</w:t>
      </w:r>
    </w:p>
    <w:p>
      <w:pPr>
        <w:pStyle w:val="ListParagraph"/>
        <w:numPr>
          <w:ilvl w:val="0"/>
          <w:numId w:val="2"/>
        </w:numPr>
        <w:spacing w:after="60" w:before="60"/>
      </w:pPr>
      <w:r>
        <w:rPr>
          <w:rFonts w:ascii="Arial" w:cs="Arial" w:eastAsia="Arial" w:hAnsi="Arial"/>
          <w:color w:val="1A1A2E"/>
          <w:sz w:val="20"/>
          <w:szCs w:val="20"/>
        </w:rPr>
        <w:t xml:space="preserve">Permit address unresolvable to cell — log as unresolved with full permit record, surface in daily report</w:t>
      </w:r>
    </w:p>
    <w:p>
      <w:pPr>
        <w:pStyle w:val="ListParagraph"/>
        <w:numPr>
          <w:ilvl w:val="0"/>
          <w:numId w:val="2"/>
        </w:numPr>
        <w:spacing w:after="60" w:before="60"/>
      </w:pPr>
      <w:r>
        <w:rPr>
          <w:rFonts w:ascii="Arial" w:cs="Arial" w:eastAsia="Arial" w:hAnsi="Arial"/>
          <w:color w:val="1A1A2E"/>
          <w:sz w:val="20"/>
          <w:szCs w:val="20"/>
        </w:rPr>
        <w:t xml:space="preserve">Conflicting state transition (e.g. change_confirmed → change_expected) — log as anomaly, do not apply transition, escalate to PM report</w:t>
      </w:r>
    </w:p>
    <w:p>
      <w:pPr>
        <w:pStyle w:val="ListParagraph"/>
        <w:numPr>
          <w:ilvl w:val="0"/>
          <w:numId w:val="2"/>
        </w:numPr>
        <w:spacing w:after="60" w:before="60"/>
      </w:pPr>
      <w:r>
        <w:rPr>
          <w:rFonts w:ascii="Arial" w:cs="Arial" w:eastAsia="Arial" w:hAnsi="Arial"/>
          <w:color w:val="1A1A2E"/>
          <w:sz w:val="20"/>
          <w:szCs w:val="20"/>
        </w:rPr>
        <w:t xml:space="preserve">Duplicate permit event — idempotent handling, second application of same event produces no state change</w:t>
      </w:r>
    </w:p>
    <w:p>
      <w:pPr>
        <w:spacing w:after="0" w:before="200"/>
      </w:pPr>
      <w:r>
        <w:t xml:space="preserve"/>
      </w:r>
    </w:p>
    <w:p>
      <w:pPr>
        <w:pStyle w:val="Heading1"/>
      </w:pPr>
      <w:r>
        <w:rPr>
          <w:rFonts w:ascii="Arial" w:cs="Arial" w:eastAsia="Arial" w:hAnsi="Arial"/>
          <w:b/>
          <w:bCs/>
          <w:color w:val="1B2A4A"/>
          <w:sz w:val="28"/>
          <w:szCs w:val="28"/>
        </w:rPr>
        <w:t xml:space="preserve">5. Deliverables</w:t>
      </w:r>
    </w:p>
    <w:p>
      <w:pPr>
        <w:pBdr>
          <w:bottom w:val="single" w:color="3B82C4" w:sz="8" w:space="1"/>
        </w:pBdr>
        <w:spacing w:after="160" w:before="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440"/>
      </w:tblGrid>
      <w:tr>
        <w:trPr>
          <w:tblHeader/>
        </w:trPr>
        <w:tc>
          <w:tcPr>
            <w:tcW w:type="dxa" w:w="18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t>
            </w:r>
          </w:p>
        </w:tc>
        <w:tc>
          <w:tcPr>
            <w:tcW w:type="dxa" w:w="3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Deliverable</w:t>
            </w:r>
          </w:p>
        </w:tc>
        <w:tc>
          <w:tcPr>
            <w:tcW w:type="dxa" w:w="44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D1</w:t>
            </w:r>
          </w:p>
        </w:tc>
        <w:tc>
          <w:tcPr>
            <w:tcW w:type="dxa" w:w="3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ADR-015: Temporal Trigger Architecture</w:t>
            </w:r>
          </w:p>
        </w:tc>
        <w:tc>
          <w:tcPr>
            <w:tcW w:type="dxa" w:w="4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Must be drafted and accepted before any schema changes. Documents the permit source, polling strategy, address resolution logic, and state machine.</w:t>
            </w:r>
          </w:p>
        </w:tc>
      </w:tr>
      <w:tr>
        <w:tc>
          <w:tcPr>
            <w:tcW w:type="dxa" w:w="1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D2</w:t>
            </w:r>
          </w:p>
        </w:tc>
        <w:tc>
          <w:tcPr>
            <w:tcW w:type="dxa" w:w="3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NSW Planning Portal adapter</w:t>
            </w:r>
          </w:p>
        </w:tc>
        <w:tc>
          <w:tcPr>
            <w:tcW w:type="dxa" w:w="44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Polls the ePlanning API, normalises permit records to a standard internal format, handles auth and rate limits.</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D3</w:t>
            </w:r>
          </w:p>
        </w:tc>
        <w:tc>
          <w:tcPr>
            <w:tcW w:type="dxa" w:w="3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Permit-to-cell resolver</w:t>
            </w:r>
          </w:p>
        </w:tc>
        <w:tc>
          <w:tcPr>
            <w:tcW w:type="dxa" w:w="4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Maps permit polygon/address to Harmony Cell(s) using spatial intersection at r10 resolution with address fallback.</w:t>
            </w:r>
          </w:p>
        </w:tc>
      </w:tr>
      <w:tr>
        <w:tc>
          <w:tcPr>
            <w:tcW w:type="dxa" w:w="1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D4</w:t>
            </w:r>
          </w:p>
        </w:tc>
        <w:tc>
          <w:tcPr>
            <w:tcW w:type="dxa" w:w="3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Cell state transition service</w:t>
            </w:r>
          </w:p>
        </w:tc>
        <w:tc>
          <w:tcPr>
            <w:tcW w:type="dxa" w:w="44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Applies the event-to-transition mapping table. Idempotent. Writes to cell record. Logs every transition to audit_log.</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D5</w:t>
            </w:r>
          </w:p>
        </w:tc>
        <w:tc>
          <w:tcPr>
            <w:tcW w:type="dxa" w:w="3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Temporal field activation migration</w:t>
            </w:r>
          </w:p>
        </w:tc>
        <w:tc>
          <w:tcPr>
            <w:tcW w:type="dxa" w:w="4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Migration to activate valid_from, valid_to, version_of, temporal_status. Includes up and down functions. Requires approval before execution.</w:t>
            </w:r>
          </w:p>
        </w:tc>
      </w:tr>
      <w:tr>
        <w:tc>
          <w:tcPr>
            <w:tcW w:type="dxa" w:w="1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D6</w:t>
            </w:r>
          </w:p>
        </w:tc>
        <w:tc>
          <w:tcPr>
            <w:tcW w:type="dxa" w:w="3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Fidelity reset logic</w:t>
            </w:r>
          </w:p>
        </w:tc>
        <w:tc>
          <w:tcPr>
            <w:tcW w:type="dxa" w:w="44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On change_confirmed event, resets photorealistic slot to pending in fidelity_coverage for all affected cells.</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D7</w:t>
            </w:r>
          </w:p>
        </w:tc>
        <w:tc>
          <w:tcPr>
            <w:tcW w:type="dxa" w:w="3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Test suite</w:t>
            </w:r>
          </w:p>
        </w:tc>
        <w:tc>
          <w:tcPr>
            <w:tcW w:type="dxa" w:w="4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Unit tests for adapter, resolver, and transition service. Integration test using a known Gosford DA as the fixture. All tests must pass before milestone is marked complete.</w:t>
            </w:r>
          </w:p>
        </w:tc>
      </w:tr>
      <w:tr>
        <w:tc>
          <w:tcPr>
            <w:tcW w:type="dxa" w:w="1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D8</w:t>
            </w:r>
          </w:p>
        </w:tc>
        <w:tc>
          <w:tcPr>
            <w:tcW w:type="dxa" w:w="3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Session progress report</w:t>
            </w:r>
          </w:p>
        </w:tc>
        <w:tc>
          <w:tcPr>
            <w:tcW w:type="dxa" w:w="44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Filed to PM/sessions/ on completion in the standard format. Must include a HARMONY UPDATE line for Milestone 7.</w:t>
            </w:r>
          </w:p>
        </w:tc>
      </w:tr>
    </w:tbl>
    <w:p>
      <w:pPr>
        <w:spacing w:after="0" w:before="200"/>
      </w:pPr>
      <w:r>
        <w:t xml:space="preserve"/>
      </w:r>
    </w:p>
    <w:p>
      <w:pPr>
        <w:pStyle w:val="Heading1"/>
      </w:pPr>
      <w:r>
        <w:rPr>
          <w:rFonts w:ascii="Arial" w:cs="Arial" w:eastAsia="Arial" w:hAnsi="Arial"/>
          <w:b/>
          <w:bCs/>
          <w:color w:val="1B2A4A"/>
          <w:sz w:val="28"/>
          <w:szCs w:val="28"/>
        </w:rPr>
        <w:t xml:space="preserve">6. Acceptance Criteria</w:t>
      </w:r>
    </w:p>
    <w:p>
      <w:pPr>
        <w:pBdr>
          <w:bottom w:val="single" w:color="3B82C4" w:sz="8" w:space="1"/>
        </w:pBdr>
        <w:spacing w:after="160" w:before="0"/>
      </w:pPr>
      <w:r>
        <w:t xml:space="preserve"/>
      </w:r>
    </w:p>
    <w:p>
      <w:pPr>
        <w:spacing w:after="80" w:before="80"/>
        <w:jc w:val="left"/>
      </w:pPr>
      <w:r>
        <w:rPr>
          <w:rFonts w:ascii="Arial" w:cs="Arial" w:eastAsia="Arial" w:hAnsi="Arial"/>
          <w:color w:val="1A1A2E"/>
          <w:sz w:val="20"/>
          <w:szCs w:val="20"/>
        </w:rPr>
        <w:t xml:space="preserve">Every criterion below is binary. Milestone 7 is not complete until all criteria pass. No partial credit.</w:t>
      </w:r>
    </w:p>
    <w:p>
      <w:pPr>
        <w:spacing w:after="0" w:before="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7040"/>
      </w:tblGrid>
      <w:tr>
        <w:trPr>
          <w:tblHeader/>
        </w:trPr>
        <w:tc>
          <w:tcPr>
            <w:tcW w:type="dxa" w:w="8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t>
            </w:r>
          </w:p>
        </w:tc>
        <w:tc>
          <w:tcPr>
            <w:tcW w:type="dxa" w:w="20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Criterion</w:t>
            </w:r>
          </w:p>
        </w:tc>
        <w:tc>
          <w:tcPr>
            <w:tcW w:type="dxa" w:w="70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How Verified</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AC1</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Permit feed connects and polls successfully</w:t>
            </w:r>
          </w:p>
        </w:tc>
        <w:tc>
          <w:tcPr>
            <w:tcW w:type="dxa" w:w="7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Adapter integration test returns ≥1 permit record for Central Coast LGA</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AC2</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Permit address resolves to Harmony Cell</w:t>
            </w:r>
          </w:p>
        </w:tc>
        <w:tc>
          <w:tcPr>
            <w:tcW w:type="dxa" w:w="7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Gosford DA test fixture resolves to correct cell(s) at r10 resolution</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AC3</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State transitions apply correctly</w:t>
            </w:r>
          </w:p>
        </w:tc>
        <w:tc>
          <w:tcPr>
            <w:tcW w:type="dxa" w:w="7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All four transitions in the mapping table are tested and produce correct cell_status values</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AC4</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valid_from reflects permit date not ingestion date</w:t>
            </w:r>
          </w:p>
        </w:tc>
        <w:tc>
          <w:tcPr>
            <w:tcW w:type="dxa" w:w="7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Occupation certificate test produces valid_from = certificate date, not datetime.now()</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AC5</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fidelity_coverage resets on change_confirmed</w:t>
            </w:r>
          </w:p>
        </w:tc>
        <w:tc>
          <w:tcPr>
            <w:tcW w:type="dxa" w:w="7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After change_confirmed transition, photorealistic.status = pending in affected cell records</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AC6</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Transitions are idempotent</w:t>
            </w:r>
          </w:p>
        </w:tc>
        <w:tc>
          <w:tcPr>
            <w:tcW w:type="dxa" w:w="7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Applying the same event twice produces no duplicate state change or log entry</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AC7</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Migration has up and down functions</w:t>
            </w:r>
          </w:p>
        </w:tc>
        <w:tc>
          <w:tcPr>
            <w:tcW w:type="dxa" w:w="7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Migration file executes cleanly in both directions against the local dev database</w:t>
            </w:r>
          </w:p>
        </w:tc>
      </w:tr>
      <w:tr>
        <w:tc>
          <w:tcPr>
            <w:tcW w:type="dxa" w:w="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AC8</w:t>
            </w:r>
          </w:p>
        </w:tc>
        <w:tc>
          <w:tcPr>
            <w:tcW w:type="dxa" w:w="20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ADR-015 is accepted before schema changes</w:t>
            </w:r>
          </w:p>
        </w:tc>
        <w:tc>
          <w:tcPr>
            <w:tcW w:type="dxa" w:w="7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ADR-015 file exists in docs/adr/ with status: Accepted before D5 migration is executed</w:t>
            </w:r>
          </w:p>
        </w:tc>
      </w:tr>
    </w:tbl>
    <w:p>
      <w:pPr>
        <w:spacing w:after="0" w:before="200"/>
      </w:pPr>
      <w:r>
        <w:t xml:space="preserve"/>
      </w:r>
    </w:p>
    <w:p>
      <w:pPr>
        <w:pStyle w:val="Heading1"/>
      </w:pPr>
      <w:r>
        <w:rPr>
          <w:rFonts w:ascii="Arial" w:cs="Arial" w:eastAsia="Arial" w:hAnsi="Arial"/>
          <w:b/>
          <w:bCs/>
          <w:color w:val="1B2A4A"/>
          <w:sz w:val="28"/>
          <w:szCs w:val="28"/>
        </w:rPr>
        <w:t xml:space="preserve">7. Constraints and Non-Negotiables</w:t>
      </w:r>
    </w:p>
    <w:p>
      <w:pPr>
        <w:pBdr>
          <w:bottom w:val="single" w:color="3B82C4" w:sz="8" w:space="1"/>
        </w:pBdr>
        <w:spacing w:after="160" w:before="0"/>
      </w:pPr>
      <w:r>
        <w:t xml:space="preserve"/>
      </w:r>
    </w:p>
    <w:p>
      <w:pPr>
        <w:pStyle w:val="Heading2"/>
      </w:pPr>
      <w:r>
        <w:rPr>
          <w:rFonts w:ascii="Arial" w:cs="Arial" w:eastAsia="Arial" w:hAnsi="Arial"/>
          <w:b/>
          <w:bCs/>
          <w:color w:val="2C4A7C"/>
          <w:sz w:val="22"/>
          <w:szCs w:val="22"/>
        </w:rPr>
        <w:t xml:space="preserve">7.1  What This Milestone Must Not Do</w:t>
      </w:r>
    </w:p>
    <w:p>
      <w:pPr>
        <w:pStyle w:val="ListParagraph"/>
        <w:numPr>
          <w:ilvl w:val="0"/>
          <w:numId w:val="2"/>
        </w:numPr>
        <w:spacing w:after="60" w:before="60"/>
      </w:pPr>
      <w:r>
        <w:rPr>
          <w:rFonts w:ascii="Arial" w:cs="Arial" w:eastAsia="Arial" w:hAnsi="Arial"/>
          <w:color w:val="1A1A2E"/>
          <w:sz w:val="20"/>
          <w:szCs w:val="20"/>
        </w:rPr>
        <w:t xml:space="preserve">Do not implement a public-facing contribution API — that is a future milestone</w:t>
      </w:r>
    </w:p>
    <w:p>
      <w:pPr>
        <w:pStyle w:val="ListParagraph"/>
        <w:numPr>
          <w:ilvl w:val="0"/>
          <w:numId w:val="2"/>
        </w:numPr>
        <w:spacing w:after="60" w:before="60"/>
      </w:pPr>
      <w:r>
        <w:rPr>
          <w:rFonts w:ascii="Arial" w:cs="Arial" w:eastAsia="Arial" w:hAnsi="Arial"/>
          <w:color w:val="1A1A2E"/>
          <w:sz w:val="20"/>
          <w:szCs w:val="20"/>
        </w:rPr>
        <w:t xml:space="preserve">Do not attempt to re-ingest photorealistic data — fidelity_coverage.photorealistic.status = pending is the signal to Pillar 3, not a trigger for immediate action</w:t>
      </w:r>
    </w:p>
    <w:p>
      <w:pPr>
        <w:pStyle w:val="ListParagraph"/>
        <w:numPr>
          <w:ilvl w:val="0"/>
          <w:numId w:val="2"/>
        </w:numPr>
        <w:spacing w:after="60" w:before="60"/>
      </w:pPr>
      <w:r>
        <w:rPr>
          <w:rFonts w:ascii="Arial" w:cs="Arial" w:eastAsia="Arial" w:hAnsi="Arial"/>
          <w:color w:val="1A1A2E"/>
          <w:sz w:val="20"/>
          <w:szCs w:val="20"/>
        </w:rPr>
        <w:t xml:space="preserve">Do not modify the canonical_id or cell_key of any existing cell record — state transitions update status fields only</w:t>
      </w:r>
    </w:p>
    <w:p>
      <w:pPr>
        <w:pStyle w:val="ListParagraph"/>
        <w:numPr>
          <w:ilvl w:val="0"/>
          <w:numId w:val="2"/>
        </w:numPr>
        <w:spacing w:after="60" w:before="60"/>
      </w:pPr>
      <w:r>
        <w:rPr>
          <w:rFonts w:ascii="Arial" w:cs="Arial" w:eastAsia="Arial" w:hAnsi="Arial"/>
          <w:color w:val="1A1A2E"/>
          <w:sz w:val="20"/>
          <w:szCs w:val="20"/>
        </w:rPr>
        <w:t xml:space="preserve">Do not execute the temporal field migration without Mikey's approval — flag as requires_approval: true in the session output</w:t>
      </w:r>
    </w:p>
    <w:p>
      <w:pPr>
        <w:pStyle w:val="ListParagraph"/>
        <w:numPr>
          <w:ilvl w:val="0"/>
          <w:numId w:val="2"/>
        </w:numPr>
        <w:spacing w:after="60" w:before="60"/>
      </w:pPr>
      <w:r>
        <w:rPr>
          <w:rFonts w:ascii="Arial" w:cs="Arial" w:eastAsia="Arial" w:hAnsi="Arial"/>
          <w:color w:val="1A1A2E"/>
          <w:sz w:val="20"/>
          <w:szCs w:val="20"/>
        </w:rPr>
        <w:t xml:space="preserve">Do not proceed if ADR-015 has not been accepted — produce the ADR first</w:t>
      </w:r>
    </w:p>
    <w:p>
      <w:pPr>
        <w:spacing w:after="0" w:before="120"/>
      </w:pPr>
      <w:r>
        <w:t xml:space="preserve"/>
      </w:r>
    </w:p>
    <w:p>
      <w:pPr>
        <w:pStyle w:val="Heading2"/>
      </w:pPr>
      <w:r>
        <w:rPr>
          <w:rFonts w:ascii="Arial" w:cs="Arial" w:eastAsia="Arial" w:hAnsi="Arial"/>
          <w:b/>
          <w:bCs/>
          <w:color w:val="2C4A7C"/>
          <w:sz w:val="22"/>
          <w:szCs w:val="22"/>
        </w:rPr>
        <w:t xml:space="preserve">7.2  Dependency on Pillar 1</w:t>
      </w:r>
    </w:p>
    <w:p>
      <w:pPr>
        <w:spacing w:after="80" w:before="80"/>
        <w:jc w:val="left"/>
      </w:pPr>
      <w:r>
        <w:rPr>
          <w:rFonts w:ascii="Arial" w:cs="Arial" w:eastAsia="Arial" w:hAnsi="Arial"/>
          <w:color w:val="1A1A2E"/>
          <w:sz w:val="20"/>
          <w:szCs w:val="20"/>
        </w:rPr>
        <w:t xml:space="preserve">This milestone writes to the Harmony Cell registry via the same HTTP API used by the ingestion pipeline. The API contract from Pillar 1 must not be modified to accommodate this milestone. If the permit-to-cell resolver requires a query pattern not currently supported by the API, the correct action is to flag this as a gap and request an API extension — not to bypass the API with direct database writes.</w:t>
      </w:r>
    </w:p>
    <w:p>
      <w:pPr>
        <w:spacing w:after="0" w:before="120"/>
      </w:pPr>
      <w:r>
        <w:t xml:space="preserve"/>
      </w:r>
    </w:p>
    <w:p>
      <w:pPr>
        <w:pStyle w:val="Heading2"/>
      </w:pPr>
      <w:r>
        <w:rPr>
          <w:rFonts w:ascii="Arial" w:cs="Arial" w:eastAsia="Arial" w:hAnsi="Arial"/>
          <w:b/>
          <w:bCs/>
          <w:color w:val="2C4A7C"/>
          <w:sz w:val="22"/>
          <w:szCs w:val="22"/>
        </w:rPr>
        <w:t xml:space="preserve">7.3  Scope of the Central Coast Pilot</w:t>
      </w:r>
    </w:p>
    <w:p>
      <w:pPr>
        <w:spacing w:after="80" w:before="80"/>
        <w:jc w:val="left"/>
      </w:pPr>
      <w:r>
        <w:rPr>
          <w:rFonts w:ascii="Arial" w:cs="Arial" w:eastAsia="Arial" w:hAnsi="Arial"/>
          <w:color w:val="1A1A2E"/>
          <w:sz w:val="20"/>
          <w:szCs w:val="20"/>
        </w:rPr>
        <w:t xml:space="preserve">For the Milestone 7 test suite and integration validation, the geographic scope is limited to the Central Coast LGA — specifically Gosford and Wyong council areas. This matches the scope of the broader Central Coast pilot established in Milestones 1–6. Do not attempt to connect feeds from other LGAs during this milestone.</w:t>
      </w:r>
    </w:p>
    <w:p>
      <w:pPr>
        <w:spacing w:after="0" w:before="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E8F0F8" w:val="clear"/>
            <w:tcMar>
              <w:top w:type="dxa" w:w="140"/>
              <w:left w:type="dxa" w:w="200"/>
              <w:bottom w:type="dxa" w:w="140"/>
              <w:right w:type="dxa" w:w="200"/>
            </w:tcMar>
          </w:tcPr>
          <w:p>
            <w:pPr>
              <w:spacing w:after="0" w:before="0"/>
            </w:pPr>
            <w:r>
              <w:rPr>
                <w:rFonts w:ascii="Arial" w:cs="Arial" w:eastAsia="Arial" w:hAnsi="Arial"/>
                <w:b/>
                <w:bCs/>
                <w:color w:val="2C4A7C"/>
                <w:sz w:val="18"/>
                <w:szCs w:val="18"/>
              </w:rPr>
              <w:t xml:space="preserve">Security Note:  </w:t>
            </w:r>
            <w:r>
              <w:rPr>
                <w:rFonts w:ascii="Arial" w:cs="Arial" w:eastAsia="Arial" w:hAnsi="Arial"/>
                <w:color w:val="1A1A2E"/>
                <w:sz w:val="18"/>
                <w:szCs w:val="18"/>
              </w:rPr>
              <w:t xml:space="preserve">The NSW Planning Portal API is a public endpoint. No credentials are required for basic access and none should be stored. If rate limiting is encountered, implement respectful polling with a minimum 5-second interval between requests. Do not attempt to circumvent rate limits.</w:t>
            </w:r>
          </w:p>
        </w:tc>
      </w:tr>
    </w:tbl>
    <w:p>
      <w:pPr>
        <w:spacing w:after="0" w:before="200"/>
      </w:pPr>
      <w:r>
        <w:t xml:space="preserve"/>
      </w:r>
    </w:p>
    <w:p>
      <w:pPr>
        <w:pStyle w:val="Heading1"/>
      </w:pPr>
      <w:r>
        <w:rPr>
          <w:rFonts w:ascii="Arial" w:cs="Arial" w:eastAsia="Arial" w:hAnsi="Arial"/>
          <w:b/>
          <w:bCs/>
          <w:color w:val="1B2A4A"/>
          <w:sz w:val="28"/>
          <w:szCs w:val="28"/>
        </w:rPr>
        <w:t xml:space="preserve">8. ADR-015 Brief</w:t>
      </w:r>
    </w:p>
    <w:p>
      <w:pPr>
        <w:pBdr>
          <w:bottom w:val="single" w:color="3B82C4" w:sz="8" w:space="1"/>
        </w:pBdr>
        <w:spacing w:after="160" w:before="0"/>
      </w:pPr>
      <w:r>
        <w:t xml:space="preserve"/>
      </w:r>
    </w:p>
    <w:p>
      <w:pPr>
        <w:spacing w:after="80" w:before="80"/>
        <w:jc w:val="left"/>
      </w:pPr>
      <w:r>
        <w:rPr>
          <w:rFonts w:ascii="Arial" w:cs="Arial" w:eastAsia="Arial" w:hAnsi="Arial"/>
          <w:color w:val="1A1A2E"/>
          <w:sz w:val="20"/>
          <w:szCs w:val="20"/>
        </w:rPr>
        <w:t xml:space="preserve">ADR-015 must be produced before any code or schema changes are written. The following brief defines what the ADR must address. The ADR Agent is responsible for drafting it.</w:t>
      </w:r>
    </w:p>
    <w:p>
      <w:pPr>
        <w:spacing w:after="0" w:before="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rPr>
          <w:tblHeader/>
        </w:trPr>
        <w:tc>
          <w:tcPr>
            <w:tcW w:type="dxa" w:w="24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Field</w:t>
            </w:r>
          </w:p>
        </w:tc>
        <w:tc>
          <w:tcPr>
            <w:tcW w:type="dxa" w:w="74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Required Content</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Title</w:t>
            </w:r>
          </w:p>
        </w:tc>
        <w:tc>
          <w:tcPr>
            <w:tcW w:type="dxa" w:w="7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ADR-015: Temporal Trigger Architecture — Permit Feed Integration</w:t>
            </w:r>
          </w:p>
        </w:tc>
      </w:tr>
      <w:tr>
        <w:tc>
          <w:tcPr>
            <w:tcW w:type="dxa" w:w="2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Decision Required</w:t>
            </w:r>
          </w:p>
        </w:tc>
        <w:tc>
          <w:tcPr>
            <w:tcW w:type="dxa" w:w="74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How does Harmony ingest real-world change events and translate them into cell state transitions? What is the canonical source of temporal truth for a Harmony Cell?</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Alternatives to Address</w:t>
            </w:r>
          </w:p>
        </w:tc>
        <w:tc>
          <w:tcPr>
            <w:tcW w:type="dxa" w:w="7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Push vs pull model for permit data. Single-source (NSW only) vs multi-source architecture. Event-sourced vs snapshot-updated cell state.</w:t>
            </w:r>
          </w:p>
        </w:tc>
      </w:tr>
      <w:tr>
        <w:tc>
          <w:tcPr>
            <w:tcW w:type="dxa" w:w="2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Consequences to Document</w:t>
            </w:r>
          </w:p>
        </w:tc>
        <w:tc>
          <w:tcPr>
            <w:tcW w:type="dxa" w:w="74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What downstream systems depend on cell_status and valid_from being accurate? What is the cost of a wrong or stale state transition?</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Owner Approval Required</w:t>
            </w:r>
          </w:p>
        </w:tc>
        <w:tc>
          <w:tcPr>
            <w:tcW w:type="dxa" w:w="7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Yes — ADR must be reviewed by Mikey before status is changed to Accepted</w:t>
            </w:r>
          </w:p>
        </w:tc>
      </w:tr>
    </w:tbl>
    <w:p>
      <w:pPr>
        <w:spacing w:after="0" w:before="200"/>
      </w:pPr>
      <w:r>
        <w:t xml:space="preserve"/>
      </w:r>
    </w:p>
    <w:p>
      <w:pPr>
        <w:pStyle w:val="Heading1"/>
      </w:pPr>
      <w:r>
        <w:rPr>
          <w:rFonts w:ascii="Arial" w:cs="Arial" w:eastAsia="Arial" w:hAnsi="Arial"/>
          <w:b/>
          <w:bCs/>
          <w:color w:val="1B2A4A"/>
          <w:sz w:val="28"/>
          <w:szCs w:val="28"/>
        </w:rPr>
        <w:t xml:space="preserve">9. What This Milestone Unlocks</w:t>
      </w:r>
    </w:p>
    <w:p>
      <w:pPr>
        <w:pBdr>
          <w:bottom w:val="single" w:color="3B82C4" w:sz="8" w:space="1"/>
        </w:pBdr>
        <w:spacing w:after="160" w:before="0"/>
      </w:pPr>
      <w:r>
        <w:t xml:space="preserve"/>
      </w:r>
    </w:p>
    <w:p>
      <w:pPr>
        <w:spacing w:after="80" w:before="80"/>
        <w:jc w:val="left"/>
      </w:pPr>
      <w:r>
        <w:rPr>
          <w:rFonts w:ascii="Arial" w:cs="Arial" w:eastAsia="Arial" w:hAnsi="Arial"/>
          <w:color w:val="1A1A2E"/>
          <w:sz w:val="20"/>
          <w:szCs w:val="20"/>
        </w:rPr>
        <w:t xml:space="preserve">Milestone 7 completes the Pillar 2 build. When it is done, the following downstream capabilities are live:</w:t>
      </w:r>
    </w:p>
    <w:p>
      <w:pPr>
        <w:spacing w:after="0" w:before="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rPr>
          <w:tblHeader/>
        </w:trPr>
        <w:tc>
          <w:tcPr>
            <w:tcW w:type="dxa" w:w="24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Consumer</w:t>
            </w:r>
          </w:p>
        </w:tc>
        <w:tc>
          <w:tcPr>
            <w:tcW w:type="dxa" w:w="74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Becomes Possible</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Pillar 3 — Rendering</w:t>
            </w:r>
          </w:p>
        </w:tc>
        <w:tc>
          <w:tcPr>
            <w:tcW w:type="dxa" w:w="7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The rendering engine can query for cells with photorealistic.status = pending and prioritise GS capture for recently changed areas. The city stays visually current.</w:t>
            </w:r>
          </w:p>
        </w:tc>
      </w:tr>
      <w:tr>
        <w:tc>
          <w:tcPr>
            <w:tcW w:type="dxa" w:w="2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Pillar 4 — Knowledge Layer</w:t>
            </w:r>
          </w:p>
        </w:tc>
        <w:tc>
          <w:tcPr>
            <w:tcW w:type="dxa" w:w="74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Temporal versioning is live. Historical queries become possible — what existed at this location in 2024 vs 2026? The knowledge layer activates bitemporal semantics.</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Pillar 5 — Interaction Layer</w:t>
            </w:r>
          </w:p>
        </w:tc>
        <w:tc>
          <w:tcPr>
            <w:tcW w:type="dxa" w:w="7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 user asking about a development site gets current status, not stale satellite data. The Conversational Spatial Agent can answer 'is this still under construction?'</w:t>
            </w:r>
          </w:p>
        </w:tc>
      </w:tr>
      <w:tr>
        <w:tc>
          <w:tcPr>
            <w:tcW w:type="dxa" w:w="2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Reagent — Real Estate Layer</w:t>
            </w:r>
          </w:p>
        </w:tc>
        <w:tc>
          <w:tcPr>
            <w:tcW w:type="dxa" w:w="74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Agents can surface development activity, flag upcoming changes to a neighbourhood, and provide temporal context for valuation decisions.</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Investor Demonstration</w:t>
            </w:r>
          </w:p>
        </w:tc>
        <w:tc>
          <w:tcPr>
            <w:tcW w:type="dxa" w:w="74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The Gosford site — completed apartments showing as a construction site on Google Maps — becomes a live proof point that Harmony is more current than Google.</w:t>
            </w:r>
          </w:p>
        </w:tc>
      </w:tr>
    </w:tbl>
    <w:p>
      <w:pPr>
        <w:spacing w:after="0" w:before="16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B2A4A" w:val="clear"/>
            <w:tcMar>
              <w:top w:type="dxa" w:w="240"/>
              <w:left w:type="dxa" w:w="280"/>
              <w:bottom w:type="dxa" w:w="240"/>
              <w:right w:type="dxa" w:w="280"/>
            </w:tcMar>
          </w:tcPr>
          <w:p>
            <w:pPr>
              <w:spacing w:after="100" w:before="0"/>
              <w:jc w:val="left"/>
            </w:pPr>
            <w:r>
              <w:rPr>
                <w:rFonts w:ascii="Arial" w:cs="Arial" w:eastAsia="Arial" w:hAnsi="Arial"/>
                <w:i/>
                <w:iCs/>
                <w:color w:val="FFFFFF"/>
                <w:sz w:val="20"/>
                <w:szCs w:val="20"/>
              </w:rPr>
              <w:t xml:space="preserve">"Google Maps refreshes on a satellite schedule. Harmony refreshes on a real-world event schedule. That is not a feature difference. It is an architectural one."</w:t>
            </w:r>
          </w:p>
          <w:p>
            <w:pPr>
              <w:spacing w:after="0" w:before="0"/>
              <w:jc w:val="left"/>
            </w:pPr>
            <w:r>
              <w:rPr>
                <w:rFonts w:ascii="Arial" w:cs="Arial" w:eastAsia="Arial" w:hAnsi="Arial"/>
                <w:color w:val="3B82C4"/>
                <w:sz w:val="16"/>
                <w:szCs w:val="16"/>
              </w:rPr>
              <w:t xml:space="preserve">— Dr. Mara Voss, Principal Architect</w:t>
            </w:r>
          </w:p>
        </w:tc>
      </w:tr>
    </w:tbl>
    <w:p>
      <w:pPr>
        <w:spacing w:after="0" w:before="200"/>
      </w:pPr>
      <w:r>
        <w:t xml:space="preserve"/>
      </w:r>
    </w:p>
    <w:p>
      <w:pPr>
        <w:pBdr>
          <w:top w:val="single" w:color="D0D8E8" w:sz="4" w:space="8"/>
        </w:pBdr>
        <w:spacing w:after="0" w:before="160"/>
        <w:jc w:val="center"/>
      </w:pPr>
      <w:r>
        <w:rPr>
          <w:rFonts w:ascii="Arial" w:cs="Arial" w:eastAsia="Arial" w:hAnsi="Arial"/>
          <w:color w:val="4A4A6A"/>
          <w:sz w:val="16"/>
          <w:szCs w:val="16"/>
        </w:rPr>
        <w:t xml:space="preserve">Harmony Spatial Operating System  |  Pillar 2 Milestone 7 Specification  |  April 2026  |  Confidential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C4A7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2026-04-19T05:59:24.294Z</dcterms:created>
  <dcterms:modified xsi:type="dcterms:W3CDTF">2026-04-19T05:59:24.295Z</dcterms:modified>
</cp:coreProperties>
</file>

<file path=docProps/custom.xml><?xml version="1.0" encoding="utf-8"?>
<Properties xmlns="http://schemas.openxmlformats.org/officeDocument/2006/custom-properties" xmlns:vt="http://schemas.openxmlformats.org/officeDocument/2006/docPropsVTypes"/>
</file>