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HARMONY</w:t>
      </w:r>
    </w:p>
    <w:p>
      <w:pPr>
        <w:spacing w:after="100"/>
        <w:jc w:val="center"/>
      </w:pPr>
      <w:r>
        <w:rPr>
          <w:rFonts w:ascii="Arial" w:cs="Arial" w:eastAsia="Arial" w:hAnsi="Arial"/>
          <w:b/>
          <w:bCs/>
          <w:color w:val="1B4F72"/>
          <w:sz w:val="28"/>
          <w:szCs w:val="28"/>
        </w:rPr>
        <w:t xml:space="preserve">SPATIAL OPERATING SYSTEM</w:t>
      </w:r>
    </w:p>
    <w:p>
      <w:pPr>
        <w:spacing w:after="600"/>
        <w:jc w:val="center"/>
      </w:pPr>
      <w:r>
        <w:rPr>
          <w:rFonts w:ascii="Arial" w:cs="Arial" w:eastAsia="Arial" w:hAnsi="Arial"/>
          <w:color w:val="BDC3C7"/>
          <w:sz w:val="22"/>
          <w:szCs w:val="22"/>
        </w:rPr>
        <w:t xml:space="preserve">_______________________________________________</w:t>
      </w:r>
    </w:p>
    <w:p>
      <w:pPr>
        <w:spacing w:after="100"/>
        <w:jc w:val="center"/>
      </w:pPr>
      <w:r>
        <w:rPr>
          <w:rFonts w:ascii="Arial" w:cs="Arial" w:eastAsia="Arial" w:hAnsi="Arial"/>
          <w:b/>
          <w:bCs/>
          <w:color w:val="1C2833"/>
          <w:sz w:val="36"/>
          <w:szCs w:val="36"/>
        </w:rPr>
        <w:t xml:space="preserve">Pillar 1 Completion</w:t>
      </w:r>
    </w:p>
    <w:p>
      <w:pPr>
        <w:spacing w:after="100"/>
        <w:jc w:val="center"/>
      </w:pPr>
      <w:r>
        <w:rPr>
          <w:rFonts w:ascii="Arial" w:cs="Arial" w:eastAsia="Arial" w:hAnsi="Arial"/>
          <w:color w:val="1C2833"/>
          <w:sz w:val="28"/>
          <w:szCs w:val="28"/>
        </w:rPr>
        <w:t xml:space="preserve">Executive Milestone Report</w:t>
      </w:r>
    </w:p>
    <w:p>
      <w:pPr>
        <w:spacing w:after="600"/>
        <w:jc w:val="center"/>
      </w:pPr>
      <w:r>
        <w:rPr>
          <w:rFonts w:ascii="Arial" w:cs="Arial" w:eastAsia="Arial" w:hAnsi="Arial"/>
          <w:color w:val="7F8C8D"/>
          <w:sz w:val="22"/>
          <w:szCs w:val="22"/>
        </w:rPr>
        <w:t xml:space="preserve">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8/8 Acceptance</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157 Tests Pass</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14 ADRs Locked</w:t>
            </w:r>
          </w:p>
        </w:tc>
        <w:tc>
          <w:tcPr>
            <w:tcW w:type="dxa" w:w="234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6/6 Milestones</w:t>
            </w:r>
          </w:p>
        </w:tc>
      </w:tr>
    </w:tbl>
    <w:p>
      <w:r>
        <w:br w:type="page"/>
      </w:r>
    </w:p>
    <w:p>
      <w:pPr>
        <w:pStyle w:val="Heading1"/>
        <w:spacing w:after="150" w:before="300"/>
      </w:pPr>
      <w:r>
        <w:rPr>
          <w:rFonts w:ascii="Arial" w:cs="Arial" w:eastAsia="Arial" w:hAnsi="Arial"/>
          <w:b/>
          <w:bCs/>
          <w:color w:val="1B4F72"/>
        </w:rPr>
        <w:t xml:space="preserve">1. Executive Summary</w:t>
      </w:r>
    </w:p>
    <w:p>
      <w:pPr>
        <w:spacing w:after="160" w:line="276"/>
      </w:pPr>
      <w:r>
        <w:rPr>
          <w:rFonts w:ascii="Arial" w:cs="Arial" w:eastAsia="Arial" w:hAnsi="Arial"/>
          <w:color w:val="1C2833"/>
          <w:sz w:val="22"/>
          <w:szCs w:val="22"/>
        </w:rPr>
        <w:t xml:space="preserve">Pillar 1 of the Harmony Spatial Operating System is complete. The Spatial Substrate — the foundational layer that converts the physical world from raw coordinates into addressable, queryable, AI-compatible computational space — is operational and validated.</w:t>
      </w:r>
    </w:p>
    <w:p>
      <w:pPr>
        <w:spacing w:after="160" w:line="276"/>
      </w:pPr>
      <w:r>
        <w:rPr>
          <w:rFonts w:ascii="Arial" w:cs="Arial" w:eastAsia="Arial" w:hAnsi="Arial"/>
          <w:color w:val="1C2833"/>
          <w:sz w:val="22"/>
          <w:szCs w:val="22"/>
        </w:rPr>
        <w:t xml:space="preserve">This is the first of five architectural pillars required to build the Harmony platform. It is also the most consequential: every other pillar — data ingestion, rendering, spatial intelligence, and the interaction layer — depends on the identity and addressing system that Pillar 1 provides. Without it, nothing else can be built. With it, everything else is unblocked.</w:t>
      </w:r>
    </w:p>
    <w:p>
      <w:pPr>
        <w:spacing w:after="160" w:line="276"/>
      </w:pPr>
      <w:r>
        <w:rPr>
          <w:rFonts w:ascii="Arial" w:cs="Arial" w:eastAsia="Arial" w:hAnsi="Arial"/>
          <w:color w:val="1C2833"/>
          <w:sz w:val="22"/>
          <w:szCs w:val="22"/>
        </w:rPr>
        <w:t xml:space="preserve">The build was completed in six sessions across April 2026, using an agent-led development methodology where Claude Code and Claude CoWork served as the primary engineering workforce, with human oversight concentrated at architectural decision gates. The result is a production-grade identity substrate with a stable HTTP API, 157 passing tests, 14 formal architecture decision records, and a verified end-to-end resolution chain.</w:t>
      </w:r>
    </w:p>
    <w:p>
      <w:pPr>
        <w:pStyle w:val="Heading1"/>
        <w:spacing w:after="150" w:before="300"/>
      </w:pPr>
      <w:r>
        <w:rPr>
          <w:rFonts w:ascii="Arial" w:cs="Arial" w:eastAsia="Arial" w:hAnsi="Arial"/>
          <w:b/>
          <w:bCs/>
          <w:color w:val="1B4F72"/>
        </w:rPr>
        <w:t xml:space="preserve">2. What Was Built</w:t>
      </w:r>
    </w:p>
    <w:p>
      <w:pPr>
        <w:spacing w:after="160" w:line="276"/>
      </w:pPr>
      <w:r>
        <w:rPr>
          <w:rFonts w:ascii="Arial" w:cs="Arial" w:eastAsia="Arial" w:hAnsi="Arial"/>
          <w:color w:val="1C2833"/>
          <w:sz w:val="22"/>
          <w:szCs w:val="22"/>
        </w:rPr>
        <w:t xml:space="preserve">The Harmony Spatial Substrate is the system that gives every location on Earth a stable, machine-readable address. It is not a map. It is not a coordinate pair. It is a structured identity system where every cell of the planet’s surface carries a canonical identifier, a deterministic spatial key, human-friendly aliases, and precomputed relationships to its neighbours.</w:t>
      </w:r>
    </w:p>
    <w:p>
      <w:pPr>
        <w:pStyle w:val="Heading2"/>
        <w:spacing w:after="150" w:before="300"/>
      </w:pPr>
      <w:r>
        <w:rPr>
          <w:rFonts w:ascii="Arial" w:cs="Arial" w:eastAsia="Arial" w:hAnsi="Arial"/>
          <w:b/>
          <w:bCs/>
          <w:color w:val="1B4F72"/>
        </w:rPr>
        <w:t xml:space="preserve">The Harmony Cell System</w:t>
      </w:r>
    </w:p>
    <w:p>
      <w:pPr>
        <w:spacing w:after="160" w:line="276"/>
      </w:pPr>
      <w:r>
        <w:rPr>
          <w:rFonts w:ascii="Arial" w:cs="Arial" w:eastAsia="Arial" w:hAnsi="Arial"/>
          <w:color w:val="1C2833"/>
          <w:sz w:val="22"/>
          <w:szCs w:val="22"/>
        </w:rPr>
        <w:t xml:space="preserve">The planet is projected onto a cube using a gnomonic projection, then each face of the cube is recursively subdivided into a 4×4 grid across 12 resolution levels — from continental scale down to sub-metre precision. Every cell in this hierarchy carries two identifiers: a canonical ID (opaque, immutable, the permanent address) and a cell key (deterministic, derivable from geometry alone, enabling spatial operations without database lookups).</w:t>
      </w:r>
    </w:p>
    <w:p>
      <w:pPr>
        <w:spacing w:after="160" w:line="276"/>
      </w:pPr>
      <w:r>
        <w:rPr>
          <w:rFonts w:ascii="Arial" w:cs="Arial" w:eastAsia="Arial" w:hAnsi="Arial"/>
          <w:color w:val="1C2833"/>
          <w:sz w:val="22"/>
          <w:szCs w:val="22"/>
        </w:rPr>
        <w:t xml:space="preserve">This dual-identifier architecture resolves a fundamental tension in spatial systems: the need for stable references that never change versus the need for reproducible keys that any system can compute independently. Harmony has both, by design.</w:t>
      </w:r>
    </w:p>
    <w:p>
      <w:pPr>
        <w:pStyle w:val="Heading2"/>
        <w:spacing w:after="150" w:before="300"/>
      </w:pPr>
      <w:r>
        <w:rPr>
          <w:rFonts w:ascii="Arial" w:cs="Arial" w:eastAsia="Arial" w:hAnsi="Arial"/>
          <w:b/>
          <w:bCs/>
          <w:color w:val="1B4F72"/>
        </w:rPr>
        <w:t xml:space="preserve">The Identity Registry</w:t>
      </w:r>
    </w:p>
    <w:p>
      <w:pPr>
        <w:spacing w:after="160" w:line="276"/>
      </w:pPr>
      <w:r>
        <w:rPr>
          <w:rFonts w:ascii="Arial" w:cs="Arial" w:eastAsia="Arial" w:hAnsi="Arial"/>
          <w:color w:val="1C2833"/>
          <w:sz w:val="22"/>
          <w:szCs w:val="22"/>
        </w:rPr>
        <w:t xml:space="preserve">Every cell and entity in the system is registered in a single authoritative registry. The registry enforces a six-layer identity model: canonical ID, cell key, human alias, friendly name, known names (for AI-driven entity resolution), and semantic labels. Each layer serves a different consumer and has its own mutability rules. Canonical IDs never change. Aliases can be reassigned. Semantic labels evolve as AI understanding deepens. The layers are strictly separated so that changes at one level never cascade through the system.</w:t>
      </w:r>
    </w:p>
    <w:p>
      <w:pPr>
        <w:pStyle w:val="Heading2"/>
        <w:spacing w:after="150" w:before="300"/>
      </w:pPr>
      <w:r>
        <w:rPr>
          <w:rFonts w:ascii="Arial" w:cs="Arial" w:eastAsia="Arial" w:hAnsi="Arial"/>
          <w:b/>
          <w:bCs/>
          <w:color w:val="1B4F72"/>
        </w:rPr>
        <w:t xml:space="preserve">The REST API</w:t>
      </w:r>
    </w:p>
    <w:p>
      <w:pPr>
        <w:spacing w:after="160" w:line="276"/>
      </w:pPr>
      <w:r>
        <w:rPr>
          <w:rFonts w:ascii="Arial" w:cs="Arial" w:eastAsia="Arial" w:hAnsi="Arial"/>
          <w:color w:val="1C2833"/>
          <w:sz w:val="22"/>
          <w:szCs w:val="22"/>
        </w:rPr>
        <w:t xml:space="preserve">The substrate exposes its capabilities through 12 HTTP endpoints with auto-generated OpenAPI documentation. Any system — whether a data ingestion pipeline, a rendering engine, an autonomous navigation agent, or a conversational AI — can register cells, register entities, bind and resolve aliases, look up identities by canonical ID or cell key, and query adjacency rings for predictive pre-fetch. The API is the formal boundary between Pillar 1 and every other pillar in the Harmony architecture.</w:t>
      </w:r>
    </w:p>
    <w:p>
      <w:pPr>
        <w:pStyle w:val="Heading2"/>
        <w:spacing w:after="150" w:before="300"/>
      </w:pPr>
      <w:r>
        <w:rPr>
          <w:rFonts w:ascii="Arial" w:cs="Arial" w:eastAsia="Arial" w:hAnsi="Arial"/>
          <w:b/>
          <w:bCs/>
          <w:color w:val="1B4F72"/>
        </w:rPr>
        <w:t xml:space="preserve">Precomputed Adjacency</w:t>
      </w:r>
    </w:p>
    <w:p>
      <w:pPr>
        <w:spacing w:after="160" w:line="276"/>
      </w:pPr>
      <w:r>
        <w:rPr>
          <w:rFonts w:ascii="Arial" w:cs="Arial" w:eastAsia="Arial" w:hAnsi="Arial"/>
          <w:color w:val="1C2833"/>
          <w:sz w:val="22"/>
          <w:szCs w:val="22"/>
        </w:rPr>
        <w:t xml:space="preserve">Every cell knows its neighbours. At registration time, the system computes and stores the adjacent cells for each new cell, including cells that span cube-face boundaries where coordinate axes remap. This enables the rendering engine to pre-fetch cells along a camera’s trajectory at frame rate — the foundation for the seamless, tile-free spatial experience described in North Star I.</w:t>
      </w:r>
    </w:p>
    <w:p>
      <w:r>
        <w:br w:type="page"/>
      </w:r>
    </w:p>
    <w:p>
      <w:pPr>
        <w:pStyle w:val="Heading1"/>
        <w:spacing w:after="150" w:before="300"/>
      </w:pPr>
      <w:r>
        <w:rPr>
          <w:rFonts w:ascii="Arial" w:cs="Arial" w:eastAsia="Arial" w:hAnsi="Arial"/>
          <w:b/>
          <w:bCs/>
          <w:color w:val="1B4F72"/>
        </w:rPr>
        <w:t xml:space="preserve">3. Milestone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4160"/>
        <w:gridCol w:w="1000"/>
      </w:tblGrid>
      <w:tr>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Identity Schema Lock</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Schemas, 6 ADRs, ID generation rules, alias namespace rules, JSON schemas</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Done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2</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Registry Service (Local)</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Cell key derivation module, 60-test suite, PostgreSQL schema, CRUD operations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Done</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3</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Alias System</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Alias service, namespace registry, lifecycle management, 62-test suite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Done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4</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Cell Identity Integration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cell_id + cell_key linkage, adjacency model, sample Central Coast data</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Done</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5</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API Layer</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FastAPI application, 12 endpoints, OpenAPI docs, seed script, 25-test suite</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Done</w:t>
            </w:r>
          </w:p>
        </w:tc>
      </w:tr>
      <w:tr>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6</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End-to-End Test</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10-test HTTP acceptance suite, 8/8 acceptance criteria pass</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Done</w:t>
            </w:r>
          </w:p>
        </w:tc>
      </w:tr>
    </w:tbl>
    <w:p>
      <w:pPr>
        <w:spacing w:after="200"/>
      </w:pPr>
    </w:p>
    <w:p>
      <w:pPr>
        <w:pStyle w:val="Heading1"/>
        <w:spacing w:after="150" w:before="300"/>
      </w:pPr>
      <w:r>
        <w:rPr>
          <w:rFonts w:ascii="Arial" w:cs="Arial" w:eastAsia="Arial" w:hAnsi="Arial"/>
          <w:b/>
          <w:bCs/>
          <w:color w:val="1B4F72"/>
        </w:rPr>
        <w:t xml:space="preserve">4. Acceptance Criteria</w:t>
      </w:r>
    </w:p>
    <w:p>
      <w:pPr>
        <w:spacing w:after="160" w:line="276"/>
      </w:pPr>
      <w:r>
        <w:rPr>
          <w:rFonts w:ascii="Arial" w:cs="Arial" w:eastAsia="Arial" w:hAnsi="Arial"/>
          <w:color w:val="1C2833"/>
          <w:sz w:val="22"/>
          <w:szCs w:val="22"/>
        </w:rPr>
        <w:t xml:space="preserve">Every acceptance criterion from the Stage 1 Implementation Brief was validated via end-to-end HTTP tests against the live API. No criterion received partial credit — each is a binary pass or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200"/>
        <w:gridCol w:w="1800"/>
      </w:tblGrid>
      <w:tr>
        <w:tc>
          <w:tcPr>
            <w:tcW w:type="dxa" w:w="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AC1</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Alias resolves to canonical ID</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Tests 4, 5</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AC2</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Canonical ID resolves to full metadata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Test 5</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AC3</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Cell has BOTH canonical ID and deterministic cell_key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Tests 1, 2</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AC4</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Entity links to primary and secondary cells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Test 3</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AC5</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Alias can change without breaking canonical identity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Test 6</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AC6</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Lifecycle states are enforced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Test 7</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AC7</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Namespace collisions are handled</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Test 8</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AC8</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Registry acts as single source of truth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PASS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Test 9</w:t>
            </w:r>
          </w:p>
        </w:tc>
      </w:tr>
    </w:tbl>
    <w:p>
      <w:r>
        <w:br w:type="page"/>
      </w:r>
    </w:p>
    <w:p>
      <w:pPr>
        <w:pStyle w:val="Heading1"/>
        <w:spacing w:after="150" w:before="300"/>
      </w:pPr>
      <w:r>
        <w:rPr>
          <w:rFonts w:ascii="Arial" w:cs="Arial" w:eastAsia="Arial" w:hAnsi="Arial"/>
          <w:b/>
          <w:bCs/>
          <w:color w:val="1B4F72"/>
        </w:rPr>
        <w:t xml:space="preserve">5. Build Methodology and Cost Performance</w:t>
      </w:r>
    </w:p>
    <w:p>
      <w:pPr>
        <w:spacing w:after="160" w:line="276"/>
      </w:pPr>
      <w:r>
        <w:rPr>
          <w:rFonts w:ascii="Arial" w:cs="Arial" w:eastAsia="Arial" w:hAnsi="Arial"/>
          <w:color w:val="1C2833"/>
          <w:sz w:val="22"/>
          <w:szCs w:val="22"/>
        </w:rPr>
        <w:t xml:space="preserve">Pillar 1 was built using Harmony’s agent-led development methodology. Claude Chat served as the architecture and strategy layer, Claude CoWork handled execution and task orchestration, and Claude Code performed technical implementation and testing. Human involvement was concentrated at eight defined architectural decision gates — not distributed across every engineering task.</w:t>
      </w:r>
    </w:p>
    <w:p>
      <w:pPr>
        <w:pStyle w:val="Heading2"/>
        <w:spacing w:after="150" w:before="300"/>
      </w:pPr>
      <w:r>
        <w:rPr>
          <w:rFonts w:ascii="Arial" w:cs="Arial" w:eastAsia="Arial" w:hAnsi="Arial"/>
          <w:b/>
          <w:bCs/>
          <w:color w:val="1B4F72"/>
        </w:rPr>
        <w:t xml:space="preserve">Timeline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Original Estimate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Actual</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Human-led timeline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3–4 months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Agent-led estimate</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3–4 weeks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~2 weeks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Agent completability score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842/1000 (84%)</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Validated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Sessions to completion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Not estimated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8 sessions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Total tests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Not estimated</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1C2833"/>
                <w:sz w:val="20"/>
                <w:szCs w:val="20"/>
              </w:rPr>
              <w:t xml:space="preserve">157</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Architecture decisions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3–5 per pillar</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val="false"/>
                <w:bCs w:val="false"/>
                <w:color w:val="1C2833"/>
                <w:sz w:val="20"/>
                <w:szCs w:val="20"/>
              </w:rPr>
              <w:t xml:space="preserve">14 ADRs locked</w:t>
            </w:r>
          </w:p>
        </w:tc>
      </w:tr>
    </w:tbl>
    <w:p>
      <w:pPr>
        <w:spacing w:after="200"/>
      </w:pPr>
    </w:p>
    <w:p>
      <w:pPr>
        <w:spacing w:after="160" w:line="276"/>
      </w:pPr>
      <w:r>
        <w:rPr>
          <w:rFonts w:ascii="Arial" w:cs="Arial" w:eastAsia="Arial" w:hAnsi="Arial"/>
          <w:color w:val="1C2833"/>
          <w:sz w:val="22"/>
          <w:szCs w:val="22"/>
        </w:rPr>
        <w:t xml:space="preserve">The original agent capability analysis estimated Pillar 1 at 3–4 weeks with 84% agent completion. Actual delivery took approximately two weeks across eight sessions (six build sessions plus two fix-up/housekeeping sessions). The 84% agent-completability prediction proved accurate — human involvement was required at architectural decision gates, for the adjacency model design review, and for the V1.0 master spec integration, but not for implementation.</w:t>
      </w:r>
    </w:p>
    <w:p>
      <w:pPr>
        <w:pStyle w:val="Heading1"/>
        <w:spacing w:after="150" w:before="300"/>
      </w:pPr>
      <w:r>
        <w:rPr>
          <w:rFonts w:ascii="Arial" w:cs="Arial" w:eastAsia="Arial" w:hAnsi="Arial"/>
          <w:b/>
          <w:bCs/>
          <w:color w:val="1B4F72"/>
        </w:rPr>
        <w:t xml:space="preserve">6. What Pillar 1 Completion Unlocks</w:t>
      </w:r>
    </w:p>
    <w:p>
      <w:pPr>
        <w:pStyle w:val="Heading3"/>
        <w:spacing w:after="150" w:before="300"/>
      </w:pPr>
      <w:r>
        <w:rPr>
          <w:rFonts w:ascii="Arial" w:cs="Arial" w:eastAsia="Arial" w:hAnsi="Arial"/>
          <w:b/>
          <w:bCs/>
          <w:color w:val="1B4F72"/>
        </w:rPr>
        <w:t xml:space="preserve">For Pillar 2 — Data Ingestion Pipeline</w:t>
      </w:r>
    </w:p>
    <w:p>
      <w:pPr>
        <w:spacing w:after="160" w:line="276"/>
      </w:pPr>
      <w:r>
        <w:rPr>
          <w:rFonts w:ascii="Arial" w:cs="Arial" w:eastAsia="Arial" w:hAnsi="Arial"/>
          <w:color w:val="1C2833"/>
          <w:sz w:val="22"/>
          <w:szCs w:val="22"/>
        </w:rPr>
        <w:t xml:space="preserve">Ingestion pipelines can now POST cells and entities to the registry via HTTP. Cell registration is idempotent — re-ingesting the same geometry returns the same canonical ID without duplicates. Entity deduplication is Pillar 2’s responsibility by design, keeping the identity layer clean and narrow.</w:t>
      </w:r>
    </w:p>
    <w:p>
      <w:pPr>
        <w:pStyle w:val="Heading3"/>
        <w:spacing w:after="150" w:before="300"/>
      </w:pPr>
      <w:r>
        <w:rPr>
          <w:rFonts w:ascii="Arial" w:cs="Arial" w:eastAsia="Arial" w:hAnsi="Arial"/>
          <w:b/>
          <w:bCs/>
          <w:color w:val="1B4F72"/>
        </w:rPr>
        <w:t xml:space="preserve">For Pillar 3 — Rendering Interface</w:t>
      </w:r>
    </w:p>
    <w:p>
      <w:pPr>
        <w:spacing w:after="160" w:line="276"/>
      </w:pPr>
      <w:r>
        <w:rPr>
          <w:rFonts w:ascii="Arial" w:cs="Arial" w:eastAsia="Arial" w:hAnsi="Arial"/>
          <w:color w:val="1C2833"/>
          <w:sz w:val="22"/>
          <w:szCs w:val="22"/>
        </w:rPr>
        <w:t xml:space="preserve">The adjacency ring endpoint enables predictive LOD pre-fetch at frame rate. The 12-level hierarchy with 16-child subdivision provides the LOD tree structure the renderer will traverse. The continuous-LOD rendering philosophy (North Star I) is architecturally supported by the substrate’s seamless adjacency model.</w:t>
      </w:r>
    </w:p>
    <w:p>
      <w:pPr>
        <w:pStyle w:val="Heading3"/>
        <w:spacing w:after="150" w:before="300"/>
      </w:pPr>
      <w:r>
        <w:rPr>
          <w:rFonts w:ascii="Arial" w:cs="Arial" w:eastAsia="Arial" w:hAnsi="Arial"/>
          <w:b/>
          <w:bCs/>
          <w:color w:val="1B4F72"/>
        </w:rPr>
        <w:t xml:space="preserve">For Pillar 4 — Spatial Knowledge Layer</w:t>
      </w:r>
    </w:p>
    <w:p>
      <w:pPr>
        <w:spacing w:after="160" w:line="276"/>
      </w:pPr>
      <w:r>
        <w:rPr>
          <w:rFonts w:ascii="Arial" w:cs="Arial" w:eastAsia="Arial" w:hAnsi="Arial"/>
          <w:color w:val="1C2833"/>
          <w:sz w:val="22"/>
          <w:szCs w:val="22"/>
        </w:rPr>
        <w:t xml:space="preserve">Temporal versioning fields are reserved in the schema and ready for Pillar 4 to activate. The bitemporal model (system time vs valid time) enables historical queries without breaking changes. The semantic labels field is ready for AI-generated spatial intelligence.</w:t>
      </w:r>
    </w:p>
    <w:p>
      <w:pPr>
        <w:pStyle w:val="Heading3"/>
        <w:spacing w:after="150" w:before="300"/>
      </w:pPr>
      <w:r>
        <w:rPr>
          <w:rFonts w:ascii="Arial" w:cs="Arial" w:eastAsia="Arial" w:hAnsi="Arial"/>
          <w:b/>
          <w:bCs/>
          <w:color w:val="1B4F72"/>
        </w:rPr>
        <w:t xml:space="preserve">For Pillar 5 — Interaction Layer</w:t>
      </w:r>
    </w:p>
    <w:p>
      <w:pPr>
        <w:spacing w:after="160" w:line="276"/>
      </w:pPr>
      <w:r>
        <w:rPr>
          <w:rFonts w:ascii="Arial" w:cs="Arial" w:eastAsia="Arial" w:hAnsi="Arial"/>
          <w:color w:val="1C2833"/>
          <w:sz w:val="22"/>
          <w:szCs w:val="22"/>
        </w:rPr>
        <w:t xml:space="preserve">The end-to-end alias → canonical → entity → cell resolution chain is proven working. The named-entity resolution primitives (known_names lookup, confidence-scored candidates) are reserved and ready. The Conversational Spatial Agent can resolve place names to Harmony Cells through the API.</w:t>
      </w:r>
    </w:p>
    <w:p>
      <w:pPr>
        <w:pStyle w:val="Heading3"/>
        <w:spacing w:after="150" w:before="300"/>
      </w:pPr>
      <w:r>
        <w:rPr>
          <w:rFonts w:ascii="Arial" w:cs="Arial" w:eastAsia="Arial" w:hAnsi="Arial"/>
          <w:b/>
          <w:bCs/>
          <w:color w:val="1B4F72"/>
        </w:rPr>
        <w:t xml:space="preserve">For Investors and Partners</w:t>
      </w:r>
    </w:p>
    <w:p>
      <w:pPr>
        <w:spacing w:after="160" w:line="276"/>
      </w:pPr>
      <w:r>
        <w:rPr>
          <w:rFonts w:ascii="Arial" w:cs="Arial" w:eastAsia="Arial" w:hAnsi="Arial"/>
          <w:color w:val="1C2833"/>
          <w:sz w:val="22"/>
          <w:szCs w:val="22"/>
        </w:rPr>
        <w:t xml:space="preserve">The Spatial Substrate is the component of the Harmony platform with the deepest competitive moat. It is a custom spatial addressing system that cannot be replicated by adding a map widget to an existing platform. Every dataset ingested, every relationship mapped, and every semantic label generated from this point forward deepens that moat. The substrate is operational. The moat-building begins now.</w:t>
      </w:r>
    </w:p>
    <w:p>
      <w:r>
        <w:br w:type="page"/>
      </w:r>
    </w:p>
    <w:p>
      <w:pPr>
        <w:pStyle w:val="Heading1"/>
        <w:spacing w:after="150" w:before="300"/>
      </w:pPr>
      <w:r>
        <w:rPr>
          <w:rFonts w:ascii="Arial" w:cs="Arial" w:eastAsia="Arial" w:hAnsi="Arial"/>
          <w:b/>
          <w:bCs/>
          <w:color w:val="1B4F72"/>
        </w:rPr>
        <w:t xml:space="preserve">7. North Star Alignment</w:t>
      </w:r>
    </w:p>
    <w:p>
      <w:pPr>
        <w:pStyle w:val="Heading2"/>
        <w:spacing w:after="150" w:before="300"/>
      </w:pPr>
      <w:r>
        <w:rPr>
          <w:rFonts w:ascii="Arial" w:cs="Arial" w:eastAsia="Arial" w:hAnsi="Arial"/>
          <w:b/>
          <w:bCs/>
          <w:color w:val="1B4F72"/>
        </w:rPr>
        <w:t xml:space="preserve">North Star I — The Seamless World</w:t>
      </w:r>
    </w:p>
    <w:p>
      <w:pPr>
        <w:spacing w:after="160" w:line="276"/>
      </w:pPr>
      <w:r>
        <w:rPr>
          <w:rFonts w:ascii="Arial" w:cs="Arial" w:eastAsia="Arial" w:hAnsi="Arial"/>
          <w:color w:val="1C2833"/>
          <w:sz w:val="22"/>
          <w:szCs w:val="22"/>
        </w:rPr>
        <w:t xml:space="preserve">The substrate’s precomputed adjacency model and 12-level LOD hierarchy are the foundation for continuous level-of-detail streaming. The rendering engine will traverse this hierarchy and pre-fetch adjacent cells along the camera’s trajectory. The tile-switching model inherited from every existing mapping platform is structurally eliminated at the substrate layer.</w:t>
      </w:r>
    </w:p>
    <w:p>
      <w:pPr>
        <w:pStyle w:val="Heading2"/>
        <w:spacing w:after="150" w:before="300"/>
      </w:pPr>
      <w:r>
        <w:rPr>
          <w:rFonts w:ascii="Arial" w:cs="Arial" w:eastAsia="Arial" w:hAnsi="Arial"/>
          <w:b/>
          <w:bCs/>
          <w:color w:val="1B4F72"/>
        </w:rPr>
        <w:t xml:space="preserve">North Star II — The GPS-Free Spatial Substrate</w:t>
      </w:r>
    </w:p>
    <w:p>
      <w:pPr>
        <w:spacing w:after="160" w:line="276"/>
      </w:pPr>
      <w:r>
        <w:rPr>
          <w:rFonts w:ascii="Arial" w:cs="Arial" w:eastAsia="Arial" w:hAnsi="Arial"/>
          <w:color w:val="1C2833"/>
          <w:sz w:val="22"/>
          <w:szCs w:val="22"/>
        </w:rPr>
        <w:t xml:space="preserve">Every Harmony Cell is a machine-readable spatial reference frame. Cells carry ECEF centroids, actual computed edge lengths and areas, and precomputed adjacency — everything an autonomous system needs to localise and navigate without GPS. The adjacency ring API enables Navigation Agents to traverse the cell grid laterally at machine timescales.</w:t>
      </w:r>
    </w:p>
    <w:p>
      <w:pPr>
        <w:pStyle w:val="Heading2"/>
        <w:spacing w:after="150" w:before="300"/>
      </w:pPr>
      <w:r>
        <w:rPr>
          <w:rFonts w:ascii="Arial" w:cs="Arial" w:eastAsia="Arial" w:hAnsi="Arial"/>
          <w:b/>
          <w:bCs/>
          <w:color w:val="1B4F72"/>
        </w:rPr>
        <w:t xml:space="preserve">North Star III — The Spatial Knowledge Interface</w:t>
      </w:r>
    </w:p>
    <w:p>
      <w:pPr>
        <w:spacing w:after="160" w:line="276"/>
      </w:pPr>
      <w:r>
        <w:rPr>
          <w:rFonts w:ascii="Arial" w:cs="Arial" w:eastAsia="Arial" w:hAnsi="Arial"/>
          <w:color w:val="1C2833"/>
          <w:sz w:val="22"/>
          <w:szCs w:val="22"/>
        </w:rPr>
        <w:t xml:space="preserve">The resolution chain (alias → canonical → entity → cell) is the mechanism by which a conversational AI system will transform knowledge into spatial experience. When a user asks about a place, the Conversational Spatial Agent resolves the place name through the registry’s name-lookup primitives, retrieves the cell, and signals the rendering engine. The substrate makes this possible. Pillars 4 and 5 will make it real.</w:t>
      </w:r>
    </w:p>
    <w:p>
      <w:pPr>
        <w:pStyle w:val="Heading1"/>
        <w:spacing w:after="150" w:before="300"/>
      </w:pPr>
      <w:r>
        <w:rPr>
          <w:rFonts w:ascii="Arial" w:cs="Arial" w:eastAsia="Arial" w:hAnsi="Arial"/>
          <w:b/>
          <w:bCs/>
          <w:color w:val="1B4F72"/>
        </w:rPr>
        <w:t xml:space="preserve">8. Recommended Next Step</w:t>
      </w:r>
    </w:p>
    <w:p>
      <w:pPr>
        <w:spacing w:after="160" w:line="276"/>
      </w:pPr>
      <w:r>
        <w:rPr>
          <w:rFonts w:ascii="Arial" w:cs="Arial" w:eastAsia="Arial" w:hAnsi="Arial"/>
          <w:color w:val="1C2833"/>
          <w:sz w:val="22"/>
          <w:szCs w:val="22"/>
        </w:rPr>
        <w:t xml:space="preserve">Pillar 2 (Data Ingestion Pipeline) is the recommended next activation. It is the natural consumer of everything Pillar 1 has built — it will exercise the HTTP contract at scale, validate the idempotency guarantee under real ingestion load, and begin building the data moat with Central Coast NSW datasets. Pillar 2 is estimated at 4–5 weeks under the agent-led model, with 83% agent completability.</w:t>
      </w:r>
    </w:p>
    <w:p>
      <w:pPr>
        <w:spacing w:after="160" w:line="276"/>
      </w:pPr>
      <w:r>
        <w:rPr>
          <w:rFonts w:ascii="Arial" w:cs="Arial" w:eastAsia="Arial" w:hAnsi="Arial"/>
          <w:color w:val="1C2833"/>
          <w:sz w:val="22"/>
          <w:szCs w:val="22"/>
        </w:rPr>
        <w:t xml:space="preserve">Independent preparation work for Pillars 3, 4, and 5 can proceed in parallel — research, framework evaluation, and schema design that does not require Pillar 2’s output. This follows the sequential-with-prep model established for the project: one active pillar at a time, with downstream pillars warming in the background.</w:t>
      </w:r>
    </w:p>
    <w:p>
      <w:pPr>
        <w:spacing w:before="400"/>
      </w:pPr>
    </w:p>
    <w:p>
      <w:pPr>
        <w:spacing w:after="100"/>
        <w:jc w:val="center"/>
      </w:pPr>
      <w:r>
        <w:rPr>
          <w:rFonts w:ascii="Arial" w:cs="Arial" w:eastAsia="Arial" w:hAnsi="Arial"/>
          <w:color w:val="BDC3C7"/>
          <w:sz w:val="22"/>
          <w:szCs w:val="22"/>
        </w:rPr>
        <w:t xml:space="preserve">_______________________________________________</w:t>
      </w:r>
    </w:p>
    <w:p>
      <w:pPr>
        <w:spacing w:after="100"/>
        <w:jc w:val="center"/>
      </w:pPr>
      <w:r>
        <w:rPr>
          <w:rFonts w:ascii="Arial" w:cs="Arial" w:eastAsia="Arial" w:hAnsi="Arial"/>
          <w:i/>
          <w:iCs/>
          <w:color w:val="7F8C8D"/>
          <w:sz w:val="20"/>
          <w:szCs w:val="20"/>
        </w:rPr>
        <w:t xml:space="preserve">Harmony Spatial Operating System</w:t>
      </w:r>
    </w:p>
    <w:p>
      <w:pPr>
        <w:jc w:val="center"/>
      </w:pPr>
      <w:r>
        <w:rPr>
          <w:rFonts w:ascii="Arial" w:cs="Arial" w:eastAsia="Arial" w:hAnsi="Arial"/>
          <w:i/>
          <w:iCs/>
          <w:color w:val="7F8C8D"/>
          <w:sz w:val="20"/>
          <w:szCs w:val="20"/>
        </w:rPr>
        <w:t xml:space="preserve">Pillar 1 Executive Milestone Report  |  April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2026-04-18T16:16:09.183Z</dcterms:created>
  <dcterms:modified xsi:type="dcterms:W3CDTF">2026-04-18T16:16:09.184Z</dcterms:modified>
</cp:coreProperties>
</file>

<file path=docProps/custom.xml><?xml version="1.0" encoding="utf-8"?>
<Properties xmlns="http://schemas.openxmlformats.org/officeDocument/2006/custom-properties" xmlns:vt="http://schemas.openxmlformats.org/officeDocument/2006/docPropsVTypes"/>
</file>