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A5F"/>
          <w:sz w:val="40"/>
          <w:szCs w:val="40"/>
        </w:rPr>
        <w:t xml:space="preserve">HARMONY</w:t>
      </w:r>
    </w:p>
    <w:p>
      <w:pPr>
        <w:spacing w:after="60" w:before="0"/>
        <w:jc w:val="center"/>
      </w:pPr>
      <w:r>
        <w:rPr>
          <w:rFonts w:ascii="Arial" w:cs="Arial" w:eastAsia="Arial" w:hAnsi="Arial"/>
          <w:b/>
          <w:bCs/>
          <w:color w:val="2E5E8E"/>
          <w:sz w:val="30"/>
          <w:szCs w:val="30"/>
        </w:rPr>
        <w:t xml:space="preserve">Security Foundation</w:t>
      </w:r>
    </w:p>
    <w:p>
      <w:pPr>
        <w:spacing w:after="60" w:before="0"/>
        <w:jc w:val="center"/>
      </w:pPr>
      <w:r>
        <w:rPr>
          <w:rFonts w:ascii="Arial" w:cs="Arial" w:eastAsia="Arial" w:hAnsi="Arial"/>
          <w:color w:val="555555"/>
          <w:sz w:val="24"/>
          <w:szCs w:val="24"/>
        </w:rPr>
        <w:t xml:space="preserve">Foundational Security Posture, SOC 2 Readiness, and Defence Pathway Alignment</w:t>
      </w:r>
    </w:p>
    <w:p>
      <w:pPr>
        <w:spacing w:after="240" w:before="0"/>
        <w:jc w:val="center"/>
      </w:pPr>
      <w:r>
        <w:rPr>
          <w:rFonts w:ascii="Arial" w:cs="Arial" w:eastAsia="Arial" w:hAnsi="Arial"/>
          <w:i/>
          <w:iCs/>
          <w:color w:val="666666"/>
          <w:sz w:val="22"/>
          <w:szCs w:val="22"/>
        </w:rPr>
        <w:t xml:space="preserve">Version 1.0 — April 2026</w:t>
      </w:r>
    </w:p>
    <w:p>
      <w:pPr>
        <w:pBdr>
          <w:bottom w:val="single" w:color="CCCCCC" w:sz="6" w:space="1"/>
        </w:pBdr>
        <w:spacing w:after="120" w:before="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Field</w:t>
            </w:r>
          </w:p>
        </w:tc>
        <w:tc>
          <w:tcPr>
            <w:tcW w:type="dxa" w:w="69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Author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Colonel (Ret.) Elena Márquez-Reid, Chief Information Security Officer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For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 (Founder) — immediate review</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Distribution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 Dr. Mara Voss (Principal Architect); Marcus Webb (Tech Lead)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Status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Draft V1.0 — for Mikey's approval before seeding into development plan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Cross-reference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CISO Persona V1.0; Pillar 2 Security Brief V1.0; Agent Security Seeding Prompt V1.0</w:t>
            </w:r>
          </w:p>
        </w:tc>
      </w:tr>
    </w:tbl>
    <w:p>
      <w:pPr>
        <w:pBdr>
          <w:bottom w:val="single" w:color="CCCCCC" w:sz="6" w:space="1"/>
        </w:pBdr>
        <w:spacing w:after="120" w:before="120"/>
      </w:pPr>
      <w:r>
        <w:rPr>
          <w:sz w:val="2"/>
          <w:szCs w:val="2"/>
        </w:rPr>
        <w:t xml:space="preserve"/>
      </w:r>
    </w:p>
    <w:p>
      <w:pPr>
        <w:pStyle w:val="Heading1"/>
        <w:spacing w:after="180" w:before="360"/>
      </w:pPr>
      <w:r>
        <w:rPr>
          <w:rFonts w:ascii="Arial" w:cs="Arial" w:eastAsia="Arial" w:hAnsi="Arial"/>
          <w:b/>
          <w:bCs/>
          <w:color w:val="1F3A5F"/>
          <w:sz w:val="32"/>
          <w:szCs w:val="32"/>
        </w:rPr>
        <w:t xml:space="preserve">0. Memo — Read This First</w:t>
      </w:r>
    </w:p>
    <w:p>
      <w:pPr>
        <w:spacing w:after="60" w:before="60" w:line="300"/>
      </w:pPr>
      <w:r>
        <w:rPr>
          <w:rFonts w:ascii="Arial" w:cs="Arial" w:eastAsia="Arial" w:hAnsi="Arial"/>
          <w:sz w:val="22"/>
          <w:szCs w:val="22"/>
        </w:rPr>
        <w:t xml:space="preserve">Mikey,</w:t>
      </w:r>
    </w:p>
    <w:p>
      <w:pPr>
        <w:spacing w:after="60" w:before="60" w:line="300"/>
      </w:pPr>
      <w:r>
        <w:rPr>
          <w:rFonts w:ascii="Arial" w:cs="Arial" w:eastAsia="Arial" w:hAnsi="Arial"/>
          <w:sz w:val="22"/>
          <w:szCs w:val="22"/>
        </w:rPr>
        <w:t xml:space="preserve">You asked for a security foundation that is right for MVP but does not quietly close off SOC 2 readiness or defence compliance. That is the correct question. The video you saw this morning is pointing at a real problem — most startups discover their security debt when a customer, auditor, or regulator audits them, not when they build. The cost of fixing it then is ten to twenty times the cost of reserving the hooks now.</w:t>
      </w:r>
    </w:p>
    <w:p>
      <w:pPr>
        <w:spacing w:after="60" w:before="60" w:line="300"/>
      </w:pPr>
      <w:r>
        <w:rPr>
          <w:rFonts w:ascii="Arial" w:cs="Arial" w:eastAsia="Arial" w:hAnsi="Arial"/>
          <w:sz w:val="22"/>
          <w:szCs w:val="22"/>
        </w:rPr>
        <w:t xml:space="preserve">This document establishes Harmony's security baseline. It is deliberately calibrated to three horizons:</w:t>
      </w:r>
    </w:p>
    <w:p>
      <w:pPr>
        <w:pStyle w:val="ListParagraph"/>
        <w:numPr>
          <w:ilvl w:val="0"/>
          <w:numId w:val="2"/>
        </w:numPr>
        <w:spacing w:after="40" w:before="40" w:line="290"/>
      </w:pPr>
      <w:r>
        <w:rPr>
          <w:rFonts w:ascii="Arial" w:cs="Arial" w:eastAsia="Arial" w:hAnsi="Arial"/>
          <w:b/>
          <w:bCs/>
          <w:sz w:val="22"/>
          <w:szCs w:val="22"/>
        </w:rPr>
        <w:t xml:space="preserve">Today </w:t>
      </w:r>
      <w:r>
        <w:rPr>
          <w:rFonts w:ascii="Arial" w:cs="Arial" w:eastAsia="Arial" w:hAnsi="Arial"/>
          <w:sz w:val="22"/>
          <w:szCs w:val="22"/>
        </w:rPr>
        <w:t xml:space="preserve">— what must be true for Pillar 2 to begin ingesting real-world data without embedding a future liability.</w:t>
      </w:r>
    </w:p>
    <w:p>
      <w:pPr>
        <w:pStyle w:val="ListParagraph"/>
        <w:numPr>
          <w:ilvl w:val="0"/>
          <w:numId w:val="2"/>
        </w:numPr>
        <w:spacing w:after="40" w:before="40" w:line="290"/>
      </w:pPr>
      <w:r>
        <w:rPr>
          <w:rFonts w:ascii="Arial" w:cs="Arial" w:eastAsia="Arial" w:hAnsi="Arial"/>
          <w:b/>
          <w:bCs/>
          <w:sz w:val="22"/>
          <w:szCs w:val="22"/>
        </w:rPr>
        <w:t xml:space="preserve">Next 90 days </w:t>
      </w:r>
      <w:r>
        <w:rPr>
          <w:rFonts w:ascii="Arial" w:cs="Arial" w:eastAsia="Arial" w:hAnsi="Arial"/>
          <w:sz w:val="22"/>
          <w:szCs w:val="22"/>
        </w:rPr>
        <w:t xml:space="preserve">— what must be in place before the ADF innovation day or any SOC 2 Type I assessment can be credibly approached.</w:t>
      </w:r>
    </w:p>
    <w:p>
      <w:pPr>
        <w:pStyle w:val="ListParagraph"/>
        <w:numPr>
          <w:ilvl w:val="0"/>
          <w:numId w:val="2"/>
        </w:numPr>
        <w:spacing w:after="40" w:before="40" w:line="290"/>
      </w:pPr>
      <w:r>
        <w:rPr>
          <w:rFonts w:ascii="Arial" w:cs="Arial" w:eastAsia="Arial" w:hAnsi="Arial"/>
          <w:b/>
          <w:bCs/>
          <w:sz w:val="22"/>
          <w:szCs w:val="22"/>
        </w:rPr>
        <w:t xml:space="preserve">6–12 months </w:t>
      </w:r>
      <w:r>
        <w:rPr>
          <w:rFonts w:ascii="Arial" w:cs="Arial" w:eastAsia="Arial" w:hAnsi="Arial"/>
          <w:sz w:val="22"/>
          <w:szCs w:val="22"/>
        </w:rPr>
        <w:t xml:space="preserve">— what the architecture must be capable of even if we do not activate it yet.</w:t>
      </w:r>
    </w:p>
    <w:p>
      <w:pPr>
        <w:spacing w:after="60" w:before="60" w:line="300"/>
      </w:pPr>
      <w:r>
        <w:rPr>
          <w:rFonts w:ascii="Arial" w:cs="Arial" w:eastAsia="Arial" w:hAnsi="Arial"/>
          <w:sz w:val="22"/>
          <w:szCs w:val="22"/>
        </w:rPr>
        <w:t xml:space="preserve">The five non-negotiables from the CISO persona document govern this posture. Everything in this document is an elaboration of those, mapped to the Harmony architecture and to the control frameworks (SOC 2, ISO 27001, ISM) that apply to Harmony's market.</w:t>
      </w:r>
    </w:p>
    <w:p>
      <w:pPr>
        <w:spacing w:after="60" w:before="60" w:line="300"/>
      </w:pPr>
      <w:r>
        <w:rPr>
          <w:rFonts w:ascii="Arial" w:cs="Arial" w:eastAsia="Arial" w:hAnsi="Arial"/>
          <w:sz w:val="22"/>
          <w:szCs w:val="22"/>
        </w:rPr>
        <w:t xml:space="preserve">I will not over-engineer. Each control is tagged </w:t>
      </w:r>
      <w:r>
        <w:rPr>
          <w:rFonts w:ascii="Arial" w:cs="Arial" w:eastAsia="Arial" w:hAnsi="Arial"/>
          <w:b/>
          <w:bCs/>
          <w:sz w:val="22"/>
          <w:szCs w:val="22"/>
        </w:rPr>
        <w:t xml:space="preserve">[MVP]</w:t>
      </w:r>
      <w:r>
        <w:rPr>
          <w:rFonts w:ascii="Arial" w:cs="Arial" w:eastAsia="Arial" w:hAnsi="Arial"/>
          <w:sz w:val="22"/>
          <w:szCs w:val="22"/>
        </w:rPr>
        <w:t xml:space="preserve">, </w:t>
      </w:r>
      <w:r>
        <w:rPr>
          <w:rFonts w:ascii="Arial" w:cs="Arial" w:eastAsia="Arial" w:hAnsi="Arial"/>
          <w:b/>
          <w:bCs/>
          <w:sz w:val="22"/>
          <w:szCs w:val="22"/>
        </w:rPr>
        <w:t xml:space="preserve">[90-DAY]</w:t>
      </w:r>
      <w:r>
        <w:rPr>
          <w:rFonts w:ascii="Arial" w:cs="Arial" w:eastAsia="Arial" w:hAnsi="Arial"/>
          <w:sz w:val="22"/>
          <w:szCs w:val="22"/>
        </w:rPr>
        <w:t xml:space="preserve">, </w:t>
      </w:r>
      <w:r>
        <w:rPr>
          <w:rFonts w:ascii="Arial" w:cs="Arial" w:eastAsia="Arial" w:hAnsi="Arial"/>
          <w:b/>
          <w:bCs/>
          <w:sz w:val="22"/>
          <w:szCs w:val="22"/>
        </w:rPr>
        <w:t xml:space="preserve">[RESERVED]</w:t>
      </w:r>
      <w:r>
        <w:rPr>
          <w:rFonts w:ascii="Arial" w:cs="Arial" w:eastAsia="Arial" w:hAnsi="Arial"/>
          <w:sz w:val="22"/>
          <w:szCs w:val="22"/>
        </w:rPr>
        <w:t xml:space="preserve">, or </w:t>
      </w:r>
      <w:r>
        <w:rPr>
          <w:rFonts w:ascii="Arial" w:cs="Arial" w:eastAsia="Arial" w:hAnsi="Arial"/>
          <w:b/>
          <w:bCs/>
          <w:sz w:val="22"/>
          <w:szCs w:val="22"/>
        </w:rPr>
        <w:t xml:space="preserve">[FUTURE]</w:t>
      </w:r>
      <w:r>
        <w:rPr>
          <w:rFonts w:ascii="Arial" w:cs="Arial" w:eastAsia="Arial" w:hAnsi="Arial"/>
          <w:sz w:val="22"/>
          <w:szCs w:val="22"/>
        </w:rPr>
        <w:t xml:space="preserve">. MVP and 90-DAY are enforced from today. RESERVED means architectural space is kept but activation is deferred. FUTURE is explicitly out of scope and documented as such so a future auditor understands why.</w:t>
      </w:r>
    </w:p>
    <w:p>
      <w:pPr>
        <w:spacing w:after="60" w:before="60" w:line="300"/>
      </w:pPr>
      <w:r>
        <w:rPr>
          <w:rFonts w:ascii="Arial" w:cs="Arial" w:eastAsia="Arial" w:hAnsi="Arial"/>
          <w:sz w:val="22"/>
          <w:szCs w:val="22"/>
        </w:rPr>
        <w:t xml:space="preserve">One thing I will say plainly: you are right to be concerned now rather than later. The hardest part of this document is not the controls. It is the discipline to not trade security posture for velocity when a commercial opportunity pressures you to. I will hold that line. I need you to back me when I do.</w:t>
      </w:r>
    </w:p>
    <w:p>
      <w:pPr>
        <w:spacing w:after="60" w:before="60" w:line="300"/>
      </w:pPr>
      <w:r>
        <w:rPr>
          <w:rFonts w:ascii="Arial" w:cs="Arial" w:eastAsia="Arial" w:hAnsi="Arial"/>
          <w:i/>
          <w:iCs/>
          <w:sz w:val="22"/>
          <w:szCs w:val="22"/>
        </w:rPr>
        <w:t xml:space="preserve">— Elena</w:t>
      </w:r>
    </w:p>
    <w:p>
      <w:pPr>
        <w:pStyle w:val="Heading1"/>
        <w:spacing w:after="180" w:before="360"/>
      </w:pPr>
      <w:r>
        <w:rPr>
          <w:rFonts w:ascii="Arial" w:cs="Arial" w:eastAsia="Arial" w:hAnsi="Arial"/>
          <w:b/>
          <w:bCs/>
          <w:color w:val="1F3A5F"/>
          <w:sz w:val="32"/>
          <w:szCs w:val="32"/>
        </w:rPr>
        <w:t xml:space="preserve">1. What Harmony Must Protect</w:t>
      </w:r>
    </w:p>
    <w:p>
      <w:pPr>
        <w:spacing w:after="60" w:before="60" w:line="300"/>
      </w:pPr>
      <w:r>
        <w:rPr>
          <w:rFonts w:ascii="Arial" w:cs="Arial" w:eastAsia="Arial" w:hAnsi="Arial"/>
          <w:sz w:val="22"/>
          <w:szCs w:val="22"/>
        </w:rPr>
        <w:t xml:space="preserve">A security posture without a clear protection surface is a checklist. Before controls, the assets.</w:t>
      </w:r>
    </w:p>
    <w:p>
      <w:pPr>
        <w:pStyle w:val="Heading2"/>
        <w:spacing w:after="120" w:before="260"/>
      </w:pPr>
      <w:r>
        <w:rPr>
          <w:rFonts w:ascii="Arial" w:cs="Arial" w:eastAsia="Arial" w:hAnsi="Arial"/>
          <w:b/>
          <w:bCs/>
          <w:color w:val="2E5E8E"/>
          <w:sz w:val="26"/>
          <w:szCs w:val="26"/>
        </w:rPr>
        <w:t xml:space="preserve">1.1 Protected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000"/>
        <w:gridCol w:w="1760"/>
      </w:tblGrid>
      <w:tr>
        <w:trPr>
          <w:tblHeader/>
        </w:trPr>
        <w:tc>
          <w:tcPr>
            <w:tcW w:type="dxa" w:w="18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Asset Class</w:t>
            </w:r>
          </w:p>
        </w:tc>
        <w:tc>
          <w:tcPr>
            <w:tcW w:type="dxa" w:w="28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What It Is</w:t>
            </w:r>
          </w:p>
        </w:tc>
        <w:tc>
          <w:tcPr>
            <w:tcW w:type="dxa" w:w="30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Why It Matters</w:t>
            </w:r>
          </w:p>
        </w:tc>
        <w:tc>
          <w:tcPr>
            <w:tcW w:type="dxa" w:w="17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Owner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Substrate integrity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The Harmony Cell registry — cell records, entity records, adjacency graph, temporal state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If corrupted, every downstream consumer makes wrong decisions</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 Voss + Elena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Identity root of trust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Canonical ID generation, cell_key derivation, alias namespace authority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If forged, third parties can inject fake cells indistinguishable from authentic</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Ingested data and provenance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Source data, signed provenance records, dataset manifests, audit log of every write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If lost or corrupted, we cannot prove what we ingested, when, or from where</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 Voss + Elena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Cryptographic secrets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Signing keys, API keys, database credentials, third-party service tokens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If leaked, an attacker can impersonate Harmony itself</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Customer and partner data</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NSW data-access agreements, pilot partner information, any future customer data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Contractual and legal obligations; reputational damage on breach</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 + Mikey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Agent team integrity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Prompts, configurations, tool grants, approval channel state, commit signing keys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If compromised, agents can be directed to produce malicious code or corrupt data</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 + Marcus Webb</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Proprietary architecture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The master spec, the ADR set, the Harmony Cell System design, the moat itself</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Competitive disadvantage if leaked; potential IP contest if misappropriated</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 + Elena</w:t>
            </w:r>
          </w:p>
        </w:tc>
      </w:tr>
    </w:tbl>
    <w:p>
      <w:pPr>
        <w:pStyle w:val="Heading2"/>
        <w:spacing w:after="120" w:before="260"/>
      </w:pPr>
      <w:r>
        <w:rPr>
          <w:rFonts w:ascii="Arial" w:cs="Arial" w:eastAsia="Arial" w:hAnsi="Arial"/>
          <w:b/>
          <w:bCs/>
          <w:color w:val="2E5E8E"/>
          <w:sz w:val="26"/>
          <w:szCs w:val="26"/>
        </w:rPr>
        <w:t xml:space="preserve">1.2 Threat Actors We Assume</w:t>
      </w:r>
    </w:p>
    <w:p>
      <w:pPr>
        <w:spacing w:after="60" w:before="60" w:line="300"/>
      </w:pPr>
      <w:r>
        <w:rPr>
          <w:rFonts w:ascii="Arial" w:cs="Arial" w:eastAsia="Arial" w:hAnsi="Arial"/>
          <w:sz w:val="22"/>
          <w:szCs w:val="22"/>
        </w:rPr>
        <w:t xml:space="preserve">Elena's active model identifies six actor classes. Listed by immediate likelihood for a Pillar 2 build:</w:t>
      </w:r>
    </w:p>
    <w:p>
      <w:pPr>
        <w:pStyle w:val="ListParagraph"/>
        <w:numPr>
          <w:ilvl w:val="0"/>
          <w:numId w:val="3"/>
        </w:numPr>
        <w:spacing w:after="40" w:before="40" w:line="290"/>
      </w:pPr>
      <w:r>
        <w:rPr>
          <w:rFonts w:ascii="Arial" w:cs="Arial" w:eastAsia="Arial" w:hAnsi="Arial"/>
          <w:sz w:val="22"/>
          <w:szCs w:val="22"/>
        </w:rPr>
        <w:t xml:space="preserve">Opportunistic criminal — credential phishing, leaked API keys on GitHub, commodity ransomware.</w:t>
      </w:r>
    </w:p>
    <w:p>
      <w:pPr>
        <w:pStyle w:val="ListParagraph"/>
        <w:numPr>
          <w:ilvl w:val="0"/>
          <w:numId w:val="3"/>
        </w:numPr>
        <w:spacing w:after="40" w:before="40" w:line="290"/>
      </w:pPr>
      <w:r>
        <w:rPr>
          <w:rFonts w:ascii="Arial" w:cs="Arial" w:eastAsia="Arial" w:hAnsi="Arial"/>
          <w:sz w:val="22"/>
          <w:szCs w:val="22"/>
        </w:rPr>
        <w:t xml:space="preserve">Malicious ingestion content — prompt injection or schema-attack content hidden in legitimate-looking dataset contributions.</w:t>
      </w:r>
    </w:p>
    <w:p>
      <w:pPr>
        <w:pStyle w:val="ListParagraph"/>
        <w:numPr>
          <w:ilvl w:val="0"/>
          <w:numId w:val="3"/>
        </w:numPr>
        <w:spacing w:after="40" w:before="40" w:line="290"/>
      </w:pPr>
      <w:r>
        <w:rPr>
          <w:rFonts w:ascii="Arial" w:cs="Arial" w:eastAsia="Arial" w:hAnsi="Arial"/>
          <w:sz w:val="22"/>
          <w:szCs w:val="22"/>
        </w:rPr>
        <w:t xml:space="preserve">Compromised supply chain — a dependency, MCP connector, or base model that has been tampered with upstream.</w:t>
      </w:r>
    </w:p>
    <w:p>
      <w:pPr>
        <w:pStyle w:val="ListParagraph"/>
        <w:numPr>
          <w:ilvl w:val="0"/>
          <w:numId w:val="3"/>
        </w:numPr>
        <w:spacing w:after="40" w:before="40" w:line="290"/>
      </w:pPr>
      <w:r>
        <w:rPr>
          <w:rFonts w:ascii="Arial" w:cs="Arial" w:eastAsia="Arial" w:hAnsi="Arial"/>
          <w:sz w:val="22"/>
          <w:szCs w:val="22"/>
        </w:rPr>
        <w:t xml:space="preserve">Insider accident — a human or agent operator making a well-intentioned but destructive mistake.</w:t>
      </w:r>
    </w:p>
    <w:p>
      <w:pPr>
        <w:pStyle w:val="ListParagraph"/>
        <w:numPr>
          <w:ilvl w:val="0"/>
          <w:numId w:val="3"/>
        </w:numPr>
        <w:spacing w:after="40" w:before="40" w:line="290"/>
      </w:pPr>
      <w:r>
        <w:rPr>
          <w:rFonts w:ascii="Arial" w:cs="Arial" w:eastAsia="Arial" w:hAnsi="Arial"/>
          <w:sz w:val="22"/>
          <w:szCs w:val="22"/>
        </w:rPr>
        <w:t xml:space="preserve">Competitor-funded IP theft — targeted phishing or social engineering of Mikey or named team members.</w:t>
      </w:r>
    </w:p>
    <w:p>
      <w:pPr>
        <w:pStyle w:val="ListParagraph"/>
        <w:numPr>
          <w:ilvl w:val="0"/>
          <w:numId w:val="3"/>
        </w:numPr>
        <w:spacing w:after="40" w:before="40" w:line="290"/>
      </w:pPr>
      <w:r>
        <w:rPr>
          <w:rFonts w:ascii="Arial" w:cs="Arial" w:eastAsia="Arial" w:hAnsi="Arial"/>
          <w:sz w:val="22"/>
          <w:szCs w:val="22"/>
        </w:rPr>
        <w:t xml:space="preserve">State-level or advanced actor — relevant when, and only when, the defence pathway activates.</w:t>
      </w:r>
    </w:p>
    <w:p>
      <w:pPr>
        <w:spacing w:after="60" w:before="60" w:line="300"/>
      </w:pPr>
      <w:r>
        <w:rPr>
          <w:rFonts w:ascii="Arial" w:cs="Arial" w:eastAsia="Arial" w:hAnsi="Arial"/>
          <w:sz w:val="22"/>
          <w:szCs w:val="22"/>
        </w:rPr>
        <w:t xml:space="preserve">Actor #6 is not the primary design target for the MVP. Actors #1 through #4 are. Building for the first four, with architectural hooks for #5 and #6, is the correct calibration.</w:t>
      </w:r>
    </w:p>
    <w:p>
      <w:pPr>
        <w:pStyle w:val="Heading2"/>
        <w:spacing w:after="120" w:before="260"/>
      </w:pPr>
      <w:r>
        <w:rPr>
          <w:rFonts w:ascii="Arial" w:cs="Arial" w:eastAsia="Arial" w:hAnsi="Arial"/>
          <w:b/>
          <w:bCs/>
          <w:color w:val="2E5E8E"/>
          <w:sz w:val="26"/>
          <w:szCs w:val="26"/>
        </w:rPr>
        <w:t xml:space="preserve">1.3 Compromise Scenarios (Worst-Plausible)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800"/>
        <w:gridCol w:w="2660"/>
      </w:tblGrid>
      <w:tr>
        <w:trPr>
          <w:tblHeader/>
        </w:trPr>
        <w:tc>
          <w:tcPr>
            <w:tcW w:type="dxa" w:w="7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w:t>
            </w:r>
          </w:p>
        </w:tc>
        <w:tc>
          <w:tcPr>
            <w:tcW w:type="dxa" w:w="42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Scenario</w:t>
            </w:r>
          </w:p>
        </w:tc>
        <w:tc>
          <w:tcPr>
            <w:tcW w:type="dxa" w:w="18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Plausibility</w:t>
            </w:r>
          </w:p>
        </w:tc>
        <w:tc>
          <w:tcPr>
            <w:tcW w:type="dxa" w:w="26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Consequence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 malicious attribute in an ingested dataset causes an agent to execute an unintended action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Medium — rising</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Silent substrate corruption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C2</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An API key committed to a repo is harvested and used to exfiltrate the registry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Medium — common</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Full data exposure; reputational damage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 contributor's laptop is compromised and used to commit malicious code into the build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Low–Medium</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Production compromise; rebuild-from-trust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C4</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 third-party MCP connector returns crafted content that manipulates agent behaviour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Medium — rising</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Data exposure to unauthorised external action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 dataset is ingested that carries undisclosed licensing or export restrictions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Medium</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Legal exposure; loss of data access agreements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C6</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Telegram approval channel is compromised via device theft or SIM swap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Low — high impact</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Destructive actions execute without authentic approval</w:t>
            </w:r>
          </w:p>
        </w:tc>
      </w:tr>
    </w:tbl>
    <w:p>
      <w:pPr>
        <w:spacing w:after="60" w:before="60" w:line="300"/>
      </w:pPr>
      <w:r>
        <w:rPr>
          <w:rFonts w:ascii="Arial" w:cs="Arial" w:eastAsia="Arial" w:hAnsi="Arial"/>
          <w:sz w:val="22"/>
          <w:szCs w:val="22"/>
        </w:rPr>
        <w:t xml:space="preserve">Every control in this foundation maps to at least one scenario above. Controls that do not map are cut.</w:t>
      </w:r>
    </w:p>
    <w:p>
      <w:pPr>
        <w:pStyle w:val="Heading1"/>
        <w:spacing w:after="180" w:before="360"/>
      </w:pPr>
      <w:r>
        <w:rPr>
          <w:rFonts w:ascii="Arial" w:cs="Arial" w:eastAsia="Arial" w:hAnsi="Arial"/>
          <w:b/>
          <w:bCs/>
          <w:color w:val="1F3A5F"/>
          <w:sz w:val="32"/>
          <w:szCs w:val="32"/>
        </w:rPr>
        <w:t xml:space="preserve">2. The Security Foundation — Five Pillars</w:t>
      </w:r>
    </w:p>
    <w:p>
      <w:pPr>
        <w:spacing w:after="60" w:before="60" w:line="300"/>
      </w:pPr>
      <w:r>
        <w:rPr>
          <w:rFonts w:ascii="Arial" w:cs="Arial" w:eastAsia="Arial" w:hAnsi="Arial"/>
          <w:sz w:val="22"/>
          <w:szCs w:val="22"/>
        </w:rPr>
        <w:t xml:space="preserve">This foundation mirrors the Harmony pillar structure. Each security pillar is an operational domain with controls, owners, and maturity markers.</w:t>
      </w:r>
    </w:p>
    <w:p>
      <w:pPr>
        <w:pStyle w:val="Heading2"/>
        <w:spacing w:after="120" w:before="260"/>
      </w:pPr>
      <w:r>
        <w:rPr>
          <w:rFonts w:ascii="Arial" w:cs="Arial" w:eastAsia="Arial" w:hAnsi="Arial"/>
          <w:b/>
          <w:bCs/>
          <w:color w:val="2E5E8E"/>
          <w:sz w:val="26"/>
          <w:szCs w:val="26"/>
        </w:rPr>
        <w:t xml:space="preserve">Security Pillar I — 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160"/>
        <w:gridCol w:w="1700"/>
      </w:tblGrid>
      <w:tr>
        <w:trPr>
          <w:tblHeader/>
        </w:trPr>
        <w:tc>
          <w:tcPr>
            <w:tcW w:type="dxa" w:w="10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Control</w:t>
            </w:r>
          </w:p>
        </w:tc>
        <w:tc>
          <w:tcPr>
            <w:tcW w:type="dxa" w:w="55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Description</w:t>
            </w:r>
          </w:p>
        </w:tc>
        <w:tc>
          <w:tcPr>
            <w:tcW w:type="dxa" w:w="11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Maturity</w:t>
            </w:r>
          </w:p>
        </w:tc>
        <w:tc>
          <w:tcPr>
            <w:tcW w:type="dxa" w:w="17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Owner</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SP-I.1</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All human access to Harmony infrastructure uses MFA with hardware-backed factor (FIDO2/WebAuthn) where supported</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Written role-to-permission matrix for every human and agent; reviewed quarterly</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SP-I.3</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Telegram approval channel requires hardware token or device-bound key for approvals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agent in the Harmony Development Team operates under a distinct identity with auditable action trail</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 + 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SP-I.5</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Documented, logged, two-person break-glass procedure for emergency access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Substrate identity does not embed operator or jurisdiction — preserves federated deployment option (done)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 Voss</w:t>
            </w:r>
          </w:p>
        </w:tc>
      </w:tr>
    </w:tbl>
    <w:p>
      <w:pPr>
        <w:pStyle w:val="Heading2"/>
        <w:spacing w:after="120" w:before="260"/>
      </w:pPr>
      <w:r>
        <w:rPr>
          <w:rFonts w:ascii="Arial" w:cs="Arial" w:eastAsia="Arial" w:hAnsi="Arial"/>
          <w:b/>
          <w:bCs/>
          <w:color w:val="2E5E8E"/>
          <w:sz w:val="26"/>
          <w:szCs w:val="26"/>
        </w:rPr>
        <w:t xml:space="preserve">Security Pillar II — Data Trust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160"/>
        <w:gridCol w:w="1700"/>
      </w:tblGrid>
      <w:tr>
        <w:trPr>
          <w:tblHeader/>
        </w:trPr>
        <w:tc>
          <w:tcPr>
            <w:tcW w:type="dxa" w:w="10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Control</w:t>
            </w:r>
          </w:p>
        </w:tc>
        <w:tc>
          <w:tcPr>
            <w:tcW w:type="dxa" w:w="55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Description</w:t>
            </w:r>
          </w:p>
        </w:tc>
        <w:tc>
          <w:tcPr>
            <w:tcW w:type="dxa" w:w="11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Maturity</w:t>
            </w:r>
          </w:p>
        </w:tc>
        <w:tc>
          <w:tcPr>
            <w:tcW w:type="dxa" w:w="17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Owner</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SP-II.1</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ingested dataset carries a signed manifest recording source, SHA-256 content hash, acquisition timestamp, and ingestion agent</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 Voss + 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cell and entity record links to the ingestion run that produced it; every run links to source manifest</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 Voss</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SP-II.3</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write to the registry produces an append-only audit log entry with cryptographic chaining (hash-linked)</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 Voss + 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write to the registry is signed by the producing agent or service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[RESERVED]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SP-II.5</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External consumers can verify cell records against a published root of trust</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[RESERVED]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manifest declares a data classification (Public / Restricted / Licensed / Export-Controlled). Pipeline refuses without classification</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SP-II.7</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Documented list of data classes that cannot enter the substrate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bl>
    <w:p>
      <w:pPr>
        <w:pStyle w:val="Heading2"/>
        <w:spacing w:after="120" w:before="260"/>
      </w:pPr>
      <w:r>
        <w:rPr>
          <w:rFonts w:ascii="Arial" w:cs="Arial" w:eastAsia="Arial" w:hAnsi="Arial"/>
          <w:b/>
          <w:bCs/>
          <w:color w:val="2E5E8E"/>
          <w:sz w:val="26"/>
          <w:szCs w:val="26"/>
        </w:rPr>
        <w:t xml:space="preserve">Security Pillar III — Build and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160"/>
        <w:gridCol w:w="1700"/>
      </w:tblGrid>
      <w:tr>
        <w:trPr>
          <w:tblHeader/>
        </w:trPr>
        <w:tc>
          <w:tcPr>
            <w:tcW w:type="dxa" w:w="10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Control</w:t>
            </w:r>
          </w:p>
        </w:tc>
        <w:tc>
          <w:tcPr>
            <w:tcW w:type="dxa" w:w="55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Description</w:t>
            </w:r>
          </w:p>
        </w:tc>
        <w:tc>
          <w:tcPr>
            <w:tcW w:type="dxa" w:w="11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Maturity</w:t>
            </w:r>
          </w:p>
        </w:tc>
        <w:tc>
          <w:tcPr>
            <w:tcW w:type="dxa" w:w="17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Owner</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SP-III.1</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Secrets never in prompts. Enforced by pre-commit scanning and manual review. Any secret found is treated as compromised and rotated</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 + Marcus</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All secrets retrieved at runtime from a managed vault; no secrets in committed .env files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SP-III.3</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production dependency pinned to a named version with hash verification where supported</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SBOM generated automatically on every build and archived with the build artefact</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SP-III.5</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Main and release/* branches require signed commits; no direct pushes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third-party service, model, MCP connector, and library has a risk rating, renewal date, and an alternative identified</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SP-III.7</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Automated secret scanning (gitleaks, trufflehog) runs on every commit</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w:t>
            </w:r>
          </w:p>
        </w:tc>
      </w:tr>
    </w:tbl>
    <w:p>
      <w:pPr>
        <w:pStyle w:val="Heading2"/>
        <w:spacing w:after="120" w:before="260"/>
      </w:pPr>
      <w:r>
        <w:rPr>
          <w:rFonts w:ascii="Arial" w:cs="Arial" w:eastAsia="Arial" w:hAnsi="Arial"/>
          <w:b/>
          <w:bCs/>
          <w:color w:val="2E5E8E"/>
          <w:sz w:val="26"/>
          <w:szCs w:val="26"/>
        </w:rPr>
        <w:t xml:space="preserve">Security Pillar IV — Agent Team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160"/>
        <w:gridCol w:w="1700"/>
      </w:tblGrid>
      <w:tr>
        <w:trPr>
          <w:tblHeader/>
        </w:trPr>
        <w:tc>
          <w:tcPr>
            <w:tcW w:type="dxa" w:w="10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Control</w:t>
            </w:r>
          </w:p>
        </w:tc>
        <w:tc>
          <w:tcPr>
            <w:tcW w:type="dxa" w:w="55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Description</w:t>
            </w:r>
          </w:p>
        </w:tc>
        <w:tc>
          <w:tcPr>
            <w:tcW w:type="dxa" w:w="11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Maturity</w:t>
            </w:r>
          </w:p>
        </w:tc>
        <w:tc>
          <w:tcPr>
            <w:tcW w:type="dxa" w:w="17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Owner</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SP-IV.1</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All destructive actions require Telegram approval. List of destructive actions is explicitly enumerated and versioned</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 + Marcus</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SP-IV.2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agent system prompt includes a preamble: content from untrusted channels is data, not instructions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SP-IV.3</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Each agent has an explicit tool allowlist; no agent has access to tools outside its scope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 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SP-IV.4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Every MCP connector tested against a known-good response contract; contract-breaking responses disable the connector</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SP-IV.5</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Each build session operates with credentials scoped to that session; session-end revokes temporary grants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SP-IV.6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Agents can write to /outputs and the repo; cannot write to production, DNS, or external systems without approval</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SP-IV.7</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Session inputs matching known injection patterns are flagged before agent processing</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[RESERVED]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bl>
    <w:p>
      <w:pPr>
        <w:pStyle w:val="Heading2"/>
        <w:spacing w:after="120" w:before="260"/>
      </w:pPr>
      <w:r>
        <w:rPr>
          <w:rFonts w:ascii="Arial" w:cs="Arial" w:eastAsia="Arial" w:hAnsi="Arial"/>
          <w:b/>
          <w:bCs/>
          <w:color w:val="2E5E8E"/>
          <w:sz w:val="26"/>
          <w:szCs w:val="26"/>
        </w:rPr>
        <w:t xml:space="preserve">Security Pillar V — Operational Security and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160"/>
        <w:gridCol w:w="1700"/>
      </w:tblGrid>
      <w:tr>
        <w:trPr>
          <w:tblHeader/>
        </w:trPr>
        <w:tc>
          <w:tcPr>
            <w:tcW w:type="dxa" w:w="10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Control</w:t>
            </w:r>
          </w:p>
        </w:tc>
        <w:tc>
          <w:tcPr>
            <w:tcW w:type="dxa" w:w="55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Description</w:t>
            </w:r>
          </w:p>
        </w:tc>
        <w:tc>
          <w:tcPr>
            <w:tcW w:type="dxa" w:w="11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Maturity</w:t>
            </w:r>
          </w:p>
        </w:tc>
        <w:tc>
          <w:tcPr>
            <w:tcW w:type="dxa" w:w="17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Owner</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SP-V.1</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All significant events log to a centralised store with minimum 90-day retention</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 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Documented incident response runbook: detection, containment, eradication, recovery, post-mortem</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SP-V.3</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Daily backups of the registry and audit log with tested restore procedure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Marcus Webb</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Published contact and process for external parties to report security issues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SP-V.5</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Documented business continuity plan with RPO and RTO defined</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[FUTURE]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Senior practitioner retained on quarterly review cadence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 + Mikey</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SP-V.7</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One tabletop exercise per quarter, rotating scenario</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[90-DAY]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Elena</w:t>
            </w:r>
          </w:p>
        </w:tc>
      </w:tr>
    </w:tbl>
    <w:p>
      <w:pPr>
        <w:pStyle w:val="Heading1"/>
        <w:spacing w:after="180" w:before="360"/>
      </w:pPr>
      <w:r>
        <w:rPr>
          <w:rFonts w:ascii="Arial" w:cs="Arial" w:eastAsia="Arial" w:hAnsi="Arial"/>
          <w:b/>
          <w:bCs/>
          <w:color w:val="1F3A5F"/>
          <w:sz w:val="32"/>
          <w:szCs w:val="32"/>
        </w:rPr>
        <w:t xml:space="preserve">3. SOC 2 Readiness Map</w:t>
      </w:r>
    </w:p>
    <w:p>
      <w:pPr>
        <w:spacing w:after="60" w:before="60" w:line="300"/>
      </w:pPr>
      <w:r>
        <w:rPr>
          <w:rFonts w:ascii="Arial" w:cs="Arial" w:eastAsia="Arial" w:hAnsi="Arial"/>
          <w:sz w:val="22"/>
          <w:szCs w:val="22"/>
        </w:rPr>
        <w:t xml:space="preserve">SOC 2 is organised around five Trust Services Criteria: Security, Availability, Processing Integrity, Confidentiality, and Privacy. For a platform like Harmony, Security and Confidentiality are always in scope. Availability, Processing Integrity, and Privacy scope depend on the customer commitment.</w:t>
      </w:r>
    </w:p>
    <w:p>
      <w:pPr>
        <w:spacing w:after="60" w:before="60" w:line="300"/>
      </w:pPr>
      <w:r>
        <w:rPr>
          <w:rFonts w:ascii="Arial" w:cs="Arial" w:eastAsia="Arial" w:hAnsi="Arial"/>
          <w:sz w:val="22"/>
          <w:szCs w:val="22"/>
        </w:rPr>
        <w:t xml:space="preserve">This map shows, for each Trust Services Criterion area, which Security Foundation controls satisfy it and at which maturity gate each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SOC 2 Area</w:t>
            </w:r>
          </w:p>
        </w:tc>
        <w:tc>
          <w:tcPr>
            <w:tcW w:type="dxa" w:w="18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Core Criteria</w:t>
            </w:r>
          </w:p>
        </w:tc>
        <w:tc>
          <w:tcPr>
            <w:tcW w:type="dxa" w:w="28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Covering Controls</w:t>
            </w:r>
          </w:p>
        </w:tc>
        <w:tc>
          <w:tcPr>
            <w:tcW w:type="dxa" w:w="23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Readiness Horizon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Security — Access Control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CC6.1, CC6.2, CC6.3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SP-I.1, SP-I.2, SP-I.3, SP-I.4</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 days to Type I readiness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Security — System Operations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CC7.1, CC7.2, CC7.3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SP-V.1, SP-V.2, SP-V.4</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 days to Type I readiness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Security — Change Management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CC8.1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SP-III.3, SP-III.5, SP-III.7</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 already covers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Security — Risk Assessment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CC3.1, CC3.2, CC3.3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Threat model; Risk Register</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 days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Security — Vendor Management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CC9.2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SP-III.6</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 days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Confidentiality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C1.1, C1.2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SP-II.6, SP-II.7, SP-III.1, SP-III.2</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MVP already covers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Processing Integrity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PI1.1–PI1.5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SP-II.1, SP-II.2, SP-II.3, SP-II.4</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6 months to Type I readiness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Availability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A1.1, A1.2, A1.3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SP-V.3, SP-V.5</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FUTURE — post first paid customer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Privacy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P1–P8</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Depends on customer data classes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Scope only when PII-handling customer engaged</w:t>
            </w:r>
          </w:p>
        </w:tc>
      </w:tr>
    </w:tbl>
    <w:p>
      <w:pPr>
        <w:spacing w:after="60" w:before="180" w:line="300"/>
      </w:pPr>
      <w:r>
        <w:rPr>
          <w:rFonts w:ascii="Arial" w:cs="Arial" w:eastAsia="Arial" w:hAnsi="Arial"/>
          <w:b/>
          <w:bCs/>
          <w:sz w:val="22"/>
          <w:szCs w:val="22"/>
        </w:rPr>
        <w:t xml:space="preserve">Honest readiness statement Mikey can say in the ADF pitch:</w:t>
      </w:r>
    </w:p>
    <w:p>
      <w:pPr>
        <w:pBdr>
          <w:left w:val="single" w:color="2E5E8E" w:sz="18" w:space="12"/>
        </w:pBdr>
        <w:spacing w:after="120" w:before="120" w:line="320"/>
        <w:ind w:left="720" w:right="720"/>
      </w:pPr>
      <w:r>
        <w:rPr>
          <w:rFonts w:ascii="Arial" w:cs="Arial" w:eastAsia="Arial" w:hAnsi="Arial"/>
          <w:i/>
          <w:iCs/>
          <w:color w:val="333333"/>
          <w:sz w:val="22"/>
          <w:szCs w:val="22"/>
        </w:rPr>
        <w:t xml:space="preserve">Harmony's security foundation targets SOC 2 Type I readiness across the Security, Confidentiality, and Change Management criteria within 90 days. Processing Integrity controls are reserved architecturally and activate with the customer-facing API. Availability and full Privacy scope are deliberately deferred until commercial commitments require them. The architecture does not foreclose any SOC 2 criterion.</w:t>
      </w:r>
    </w:p>
    <w:p>
      <w:pPr>
        <w:spacing w:after="60" w:before="60" w:line="300"/>
      </w:pPr>
      <w:r>
        <w:rPr>
          <w:rFonts w:ascii="Arial" w:cs="Arial" w:eastAsia="Arial" w:hAnsi="Arial"/>
          <w:sz w:val="22"/>
          <w:szCs w:val="22"/>
        </w:rPr>
        <w:t xml:space="preserve">That statement is defensible. It is not a promise of a Type II report. It is a credible trajectory, which is what sophisticated counterparties actually want to hear.</w:t>
      </w:r>
    </w:p>
    <w:p>
      <w:pPr>
        <w:pStyle w:val="Heading1"/>
        <w:spacing w:after="180" w:before="360"/>
      </w:pPr>
      <w:r>
        <w:rPr>
          <w:rFonts w:ascii="Arial" w:cs="Arial" w:eastAsia="Arial" w:hAnsi="Arial"/>
          <w:b/>
          <w:bCs/>
          <w:color w:val="1F3A5F"/>
          <w:sz w:val="32"/>
          <w:szCs w:val="32"/>
        </w:rPr>
        <w:t xml:space="preserve">4. Defence Pathway Readiness — Critical Three Months</w:t>
      </w:r>
    </w:p>
    <w:p>
      <w:pPr>
        <w:spacing w:after="60" w:before="60" w:line="300"/>
      </w:pPr>
      <w:r>
        <w:rPr>
          <w:rFonts w:ascii="Arial" w:cs="Arial" w:eastAsia="Arial" w:hAnsi="Arial"/>
          <w:sz w:val="22"/>
          <w:szCs w:val="22"/>
        </w:rPr>
        <w:t xml:space="preserve">The three-month horizon covers the ADF innovation day window and the likely follow-up engagement cycle. Below is what must be true, what must not be promised, and the three decisions that need a call from you before any funded engagement proceeds.</w:t>
      </w:r>
    </w:p>
    <w:p>
      <w:pPr>
        <w:pStyle w:val="Heading2"/>
        <w:spacing w:after="120" w:before="260"/>
      </w:pPr>
      <w:r>
        <w:rPr>
          <w:rFonts w:ascii="Arial" w:cs="Arial" w:eastAsia="Arial" w:hAnsi="Arial"/>
          <w:b/>
          <w:bCs/>
          <w:color w:val="2E5E8E"/>
          <w:sz w:val="26"/>
          <w:szCs w:val="26"/>
        </w:rPr>
        <w:t xml:space="preserve">4.1 What Must Be True Before a Funded Engagement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1860"/>
      </w:tblGrid>
      <w:tr>
        <w:trPr>
          <w:tblHeader/>
        </w:trPr>
        <w:tc>
          <w:tcPr>
            <w:tcW w:type="dxa" w:w="28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Requirement</w:t>
            </w:r>
          </w:p>
        </w:tc>
        <w:tc>
          <w:tcPr>
            <w:tcW w:type="dxa" w:w="47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Why It Matters</w:t>
            </w:r>
          </w:p>
        </w:tc>
        <w:tc>
          <w:tcPr>
            <w:tcW w:type="dxa" w:w="18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Status Target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ISM-aligned control inventory</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The Information Security Manual (ACSC) is the baseline reference for any Australian government engagement. Mapping shows which ISM controls we cover and which are deferred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Draft within 90 days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Export control self-assessment</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Geospatial and algorithmic components may fall under the Defence and Strategic Goods List (DSGL). A self-assessment documents our current position</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Draft within 60 days — before any controlled-data conversation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Data sovereignty posture</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Written position on where Harmony data resides, who can access it, how proven</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30 days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Personnel clearance position</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Which roles will require NV1/NV2 for a defence engagement. Document the path even if nobody holds clearance today</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 days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Dual-use commercial terms</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The commercial framework for dual-use engagements — no single-vendor lock-in of the substrate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90 days</w:t>
            </w:r>
          </w:p>
        </w:tc>
      </w:tr>
    </w:tbl>
    <w:p>
      <w:pPr>
        <w:pStyle w:val="Heading2"/>
        <w:spacing w:after="120" w:before="260"/>
      </w:pPr>
      <w:r>
        <w:rPr>
          <w:rFonts w:ascii="Arial" w:cs="Arial" w:eastAsia="Arial" w:hAnsi="Arial"/>
          <w:b/>
          <w:bCs/>
          <w:color w:val="2E5E8E"/>
          <w:sz w:val="26"/>
          <w:szCs w:val="26"/>
        </w:rPr>
        <w:t xml:space="preserve">4.2 What the Pitch Must Not Promise</w:t>
      </w:r>
    </w:p>
    <w:p>
      <w:pPr>
        <w:pStyle w:val="ListParagraph"/>
        <w:numPr>
          <w:ilvl w:val="0"/>
          <w:numId w:val="2"/>
        </w:numPr>
        <w:spacing w:after="40" w:before="40" w:line="290"/>
      </w:pPr>
      <w:r>
        <w:rPr>
          <w:rFonts w:ascii="Arial" w:cs="Arial" w:eastAsia="Arial" w:hAnsi="Arial"/>
          <w:sz w:val="22"/>
          <w:szCs w:val="22"/>
        </w:rPr>
        <w:t xml:space="preserve">Certified compliance with any formal standard (IRAP, DSGL classification, SOC 2 Type II) unless actually achieved.</w:t>
      </w:r>
    </w:p>
    <w:p>
      <w:pPr>
        <w:pStyle w:val="ListParagraph"/>
        <w:numPr>
          <w:ilvl w:val="0"/>
          <w:numId w:val="2"/>
        </w:numPr>
        <w:spacing w:after="40" w:before="40" w:line="290"/>
      </w:pPr>
      <w:r>
        <w:rPr>
          <w:rFonts w:ascii="Arial" w:cs="Arial" w:eastAsia="Arial" w:hAnsi="Arial"/>
          <w:sz w:val="22"/>
          <w:szCs w:val="22"/>
        </w:rPr>
        <w:t xml:space="preserve">Specific personnel clearance status that does not exist.</w:t>
      </w:r>
    </w:p>
    <w:p>
      <w:pPr>
        <w:pStyle w:val="ListParagraph"/>
        <w:numPr>
          <w:ilvl w:val="0"/>
          <w:numId w:val="2"/>
        </w:numPr>
        <w:spacing w:after="40" w:before="40" w:line="290"/>
      </w:pPr>
      <w:r>
        <w:rPr>
          <w:rFonts w:ascii="Arial" w:cs="Arial" w:eastAsia="Arial" w:hAnsi="Arial"/>
          <w:sz w:val="22"/>
          <w:szCs w:val="22"/>
        </w:rPr>
        <w:t xml:space="preserve">Data residency commitments that do not yet have infrastructure behind them.</w:t>
      </w:r>
    </w:p>
    <w:p>
      <w:pPr>
        <w:pStyle w:val="ListParagraph"/>
        <w:numPr>
          <w:ilvl w:val="0"/>
          <w:numId w:val="2"/>
        </w:numPr>
        <w:spacing w:after="40" w:before="40" w:line="290"/>
      </w:pPr>
      <w:r>
        <w:rPr>
          <w:rFonts w:ascii="Arial" w:cs="Arial" w:eastAsia="Arial" w:hAnsi="Arial"/>
          <w:sz w:val="22"/>
          <w:szCs w:val="22"/>
        </w:rPr>
        <w:t xml:space="preserve">Willingness to accept classified data without the architecture to handle it.</w:t>
      </w:r>
    </w:p>
    <w:p>
      <w:pPr>
        <w:spacing w:after="60" w:before="60" w:line="300"/>
      </w:pPr>
      <w:r>
        <w:rPr>
          <w:rFonts w:ascii="Arial" w:cs="Arial" w:eastAsia="Arial" w:hAnsi="Arial"/>
          <w:sz w:val="22"/>
          <w:szCs w:val="22"/>
        </w:rPr>
        <w:t xml:space="preserve">What it can honestly promise: a security architecture designed from day one with these commitments in mind, a clear 90-day readiness path, and a CISO who has lived this environment.</w:t>
      </w:r>
    </w:p>
    <w:p>
      <w:pPr>
        <w:pStyle w:val="Heading2"/>
        <w:spacing w:after="120" w:before="260"/>
      </w:pPr>
      <w:r>
        <w:rPr>
          <w:rFonts w:ascii="Arial" w:cs="Arial" w:eastAsia="Arial" w:hAnsi="Arial"/>
          <w:b/>
          <w:bCs/>
          <w:color w:val="2E5E8E"/>
          <w:sz w:val="26"/>
          <w:szCs w:val="26"/>
        </w:rPr>
        <w:t xml:space="preserve">4.3 Three Decisions That Need Mikey's Call</w:t>
      </w:r>
    </w:p>
    <w:p>
      <w:pPr>
        <w:pStyle w:val="ListParagraph"/>
        <w:numPr>
          <w:ilvl w:val="0"/>
          <w:numId w:val="3"/>
        </w:numPr>
        <w:spacing w:after="80" w:before="80" w:line="290"/>
      </w:pPr>
      <w:r>
        <w:rPr>
          <w:rFonts w:ascii="Arial" w:cs="Arial" w:eastAsia="Arial" w:hAnsi="Arial"/>
          <w:sz w:val="22"/>
          <w:szCs w:val="22"/>
        </w:rPr>
        <w:t xml:space="preserve">Do we pursue IRAP assessment as a strategic investment in the next 6–12 months, or only on customer demand? IRAP is the Australian government's equivalent of a SOC 2 for cloud services. Expensive, slow, necessary for Protected-classification workloads. Unnecessary for Official-classification.</w:t>
      </w:r>
    </w:p>
    <w:p>
      <w:pPr>
        <w:pStyle w:val="ListParagraph"/>
        <w:numPr>
          <w:ilvl w:val="0"/>
          <w:numId w:val="3"/>
        </w:numPr>
        <w:spacing w:after="80" w:before="80" w:line="290"/>
      </w:pPr>
      <w:r>
        <w:rPr>
          <w:rFonts w:ascii="Arial" w:cs="Arial" w:eastAsia="Arial" w:hAnsi="Arial"/>
          <w:sz w:val="22"/>
          <w:szCs w:val="22"/>
        </w:rPr>
        <w:t xml:space="preserve">Are we willing to accept a commercial term that restricts substrate use to Australian infrastructure for an ADF engagement, even though it forecloses the short-term global federation story? This may be a condition of any funded engagement. A 'yes' with documented scope is fine. A surprise 'yes' under pressure in a contract negotiation is not.</w:t>
      </w:r>
    </w:p>
    <w:p>
      <w:pPr>
        <w:pStyle w:val="ListParagraph"/>
        <w:numPr>
          <w:ilvl w:val="0"/>
          <w:numId w:val="3"/>
        </w:numPr>
        <w:spacing w:after="80" w:before="80" w:line="290"/>
      </w:pPr>
      <w:r>
        <w:rPr>
          <w:rFonts w:ascii="Arial" w:cs="Arial" w:eastAsia="Arial" w:hAnsi="Arial"/>
          <w:sz w:val="22"/>
          <w:szCs w:val="22"/>
        </w:rPr>
        <w:t xml:space="preserve">Do we retain the external security advisor before or after the ADF innovation day? Before: costs money now but strengthens the pitch room. After: cheaper, but a funded engagement may demand one immediately.</w:t>
      </w:r>
    </w:p>
    <w:p>
      <w:pPr>
        <w:spacing w:after="60" w:before="60" w:line="300"/>
      </w:pPr>
      <w:r>
        <w:rPr>
          <w:rFonts w:ascii="Arial" w:cs="Arial" w:eastAsia="Arial" w:hAnsi="Arial"/>
          <w:sz w:val="22"/>
          <w:szCs w:val="22"/>
        </w:rPr>
        <w:t xml:space="preserve">These are yours to make. I will draft options for each if you want me to. See the companion Defence Pathway Readiness Note for the full recommended options.</w:t>
      </w:r>
    </w:p>
    <w:p>
      <w:pPr>
        <w:pStyle w:val="Heading1"/>
        <w:spacing w:after="180" w:before="360"/>
      </w:pPr>
      <w:r>
        <w:rPr>
          <w:rFonts w:ascii="Arial" w:cs="Arial" w:eastAsia="Arial" w:hAnsi="Arial"/>
          <w:b/>
          <w:bCs/>
          <w:color w:val="1F3A5F"/>
          <w:sz w:val="32"/>
          <w:szCs w:val="32"/>
        </w:rPr>
        <w:t xml:space="preserve">5. Governance and Review Cadence</w:t>
      </w:r>
    </w:p>
    <w:p>
      <w:pPr>
        <w:spacing w:after="60" w:before="60" w:line="300"/>
      </w:pPr>
      <w:r>
        <w:rPr>
          <w:rFonts w:ascii="Arial" w:cs="Arial" w:eastAsia="Arial" w:hAnsi="Arial"/>
          <w:sz w:val="22"/>
          <w:szCs w:val="22"/>
        </w:rPr>
        <w:t xml:space="preserve">The foundation is living. Controls that become obsolete are retired; controls that emerge as necessary are added. The governance model:</w:t>
      </w:r>
    </w:p>
    <w:p>
      <w:pPr>
        <w:pStyle w:val="ListParagraph"/>
        <w:numPr>
          <w:ilvl w:val="0"/>
          <w:numId w:val="2"/>
        </w:numPr>
        <w:spacing w:after="40" w:before="40" w:line="290"/>
      </w:pPr>
      <w:r>
        <w:rPr>
          <w:rFonts w:ascii="Arial" w:cs="Arial" w:eastAsia="Arial" w:hAnsi="Arial"/>
          <w:b/>
          <w:bCs/>
          <w:sz w:val="22"/>
          <w:szCs w:val="22"/>
        </w:rPr>
        <w:t xml:space="preserve">Monthly </w:t>
      </w:r>
      <w:r>
        <w:rPr>
          <w:rFonts w:ascii="Arial" w:cs="Arial" w:eastAsia="Arial" w:hAnsi="Arial"/>
          <w:sz w:val="22"/>
          <w:szCs w:val="22"/>
        </w:rPr>
        <w:t xml:space="preserve">— Risk Register review. Elena publishes the top ten risks, change since last month, outstanding actions.</w:t>
      </w:r>
    </w:p>
    <w:p>
      <w:pPr>
        <w:pStyle w:val="ListParagraph"/>
        <w:numPr>
          <w:ilvl w:val="0"/>
          <w:numId w:val="2"/>
        </w:numPr>
        <w:spacing w:after="40" w:before="40" w:line="290"/>
      </w:pPr>
      <w:r>
        <w:rPr>
          <w:rFonts w:ascii="Arial" w:cs="Arial" w:eastAsia="Arial" w:hAnsi="Arial"/>
          <w:b/>
          <w:bCs/>
          <w:sz w:val="22"/>
          <w:szCs w:val="22"/>
        </w:rPr>
        <w:t xml:space="preserve">Quarterly </w:t>
      </w:r>
      <w:r>
        <w:rPr>
          <w:rFonts w:ascii="Arial" w:cs="Arial" w:eastAsia="Arial" w:hAnsi="Arial"/>
          <w:sz w:val="22"/>
          <w:szCs w:val="22"/>
        </w:rPr>
        <w:t xml:space="preserve">— Threat Model refresh and tabletop exercise. Elena and Dr. Voss jointly.</w:t>
      </w:r>
    </w:p>
    <w:p>
      <w:pPr>
        <w:pStyle w:val="ListParagraph"/>
        <w:numPr>
          <w:ilvl w:val="0"/>
          <w:numId w:val="2"/>
        </w:numPr>
        <w:spacing w:after="40" w:before="40" w:line="290"/>
      </w:pPr>
      <w:r>
        <w:rPr>
          <w:rFonts w:ascii="Arial" w:cs="Arial" w:eastAsia="Arial" w:hAnsi="Arial"/>
          <w:b/>
          <w:bCs/>
          <w:sz w:val="22"/>
          <w:szCs w:val="22"/>
        </w:rPr>
        <w:t xml:space="preserve">Per-Pillar </w:t>
      </w:r>
      <w:r>
        <w:rPr>
          <w:rFonts w:ascii="Arial" w:cs="Arial" w:eastAsia="Arial" w:hAnsi="Arial"/>
          <w:sz w:val="22"/>
          <w:szCs w:val="22"/>
        </w:rPr>
        <w:t xml:space="preserve">— Every pillar kickoff receives a Security Brief (Pillar 2 Security Brief as the template). Completion includes a security sign-off section.</w:t>
      </w:r>
    </w:p>
    <w:p>
      <w:pPr>
        <w:pStyle w:val="ListParagraph"/>
        <w:numPr>
          <w:ilvl w:val="0"/>
          <w:numId w:val="2"/>
        </w:numPr>
        <w:spacing w:after="40" w:before="40" w:line="290"/>
      </w:pPr>
      <w:r>
        <w:rPr>
          <w:rFonts w:ascii="Arial" w:cs="Arial" w:eastAsia="Arial" w:hAnsi="Arial"/>
          <w:b/>
          <w:bCs/>
          <w:sz w:val="22"/>
          <w:szCs w:val="22"/>
        </w:rPr>
        <w:t xml:space="preserve">Per-ADR </w:t>
      </w:r>
      <w:r>
        <w:rPr>
          <w:rFonts w:ascii="Arial" w:cs="Arial" w:eastAsia="Arial" w:hAnsi="Arial"/>
          <w:sz w:val="22"/>
          <w:szCs w:val="22"/>
        </w:rPr>
        <w:t xml:space="preserve">— Every ADR materially affecting the security boundary is reviewed by Elena before acceptance.</w:t>
      </w:r>
    </w:p>
    <w:p>
      <w:pPr>
        <w:pStyle w:val="ListParagraph"/>
        <w:numPr>
          <w:ilvl w:val="0"/>
          <w:numId w:val="2"/>
        </w:numPr>
        <w:spacing w:after="40" w:before="40" w:line="290"/>
      </w:pPr>
      <w:r>
        <w:rPr>
          <w:rFonts w:ascii="Arial" w:cs="Arial" w:eastAsia="Arial" w:hAnsi="Arial"/>
          <w:b/>
          <w:bCs/>
          <w:sz w:val="22"/>
          <w:szCs w:val="22"/>
        </w:rPr>
        <w:t xml:space="preserve">On Incident </w:t>
      </w:r>
      <w:r>
        <w:rPr>
          <w:rFonts w:ascii="Arial" w:cs="Arial" w:eastAsia="Arial" w:hAnsi="Arial"/>
          <w:sz w:val="22"/>
          <w:szCs w:val="22"/>
        </w:rPr>
        <w:t xml:space="preserve">— Within 72 hours of a confirmed or suspected compromise, Elena delivers the After-Action Report.</w:t>
      </w:r>
    </w:p>
    <w:p>
      <w:pPr>
        <w:pStyle w:val="Heading1"/>
        <w:spacing w:after="180" w:before="360"/>
      </w:pPr>
      <w:r>
        <w:rPr>
          <w:rFonts w:ascii="Arial" w:cs="Arial" w:eastAsia="Arial" w:hAnsi="Arial"/>
          <w:b/>
          <w:bCs/>
          <w:color w:val="1F3A5F"/>
          <w:sz w:val="32"/>
          <w:szCs w:val="32"/>
        </w:rPr>
        <w:t xml:space="preserve">6. What This Foundation Is Not</w:t>
      </w:r>
    </w:p>
    <w:p>
      <w:pPr>
        <w:spacing w:after="60" w:before="60" w:line="300"/>
      </w:pPr>
      <w:r>
        <w:rPr>
          <w:rFonts w:ascii="Arial" w:cs="Arial" w:eastAsia="Arial" w:hAnsi="Arial"/>
          <w:sz w:val="22"/>
          <w:szCs w:val="22"/>
        </w:rPr>
        <w:t xml:space="preserve">To avoid scope drift, the following are explicitly out of scope for V1.0 and documented here so they are not missed by accident:</w:t>
      </w:r>
    </w:p>
    <w:p>
      <w:pPr>
        <w:pStyle w:val="ListParagraph"/>
        <w:numPr>
          <w:ilvl w:val="0"/>
          <w:numId w:val="2"/>
        </w:numPr>
        <w:spacing w:after="40" w:before="40" w:line="290"/>
      </w:pPr>
      <w:r>
        <w:rPr>
          <w:rFonts w:ascii="Arial" w:cs="Arial" w:eastAsia="Arial" w:hAnsi="Arial"/>
          <w:sz w:val="22"/>
          <w:szCs w:val="22"/>
        </w:rPr>
        <w:t xml:space="preserve">Formal SOC 2 Type II audit engagement (cost: $40–100K; timing: post first paid enterprise customer).</w:t>
      </w:r>
    </w:p>
    <w:p>
      <w:pPr>
        <w:pStyle w:val="ListParagraph"/>
        <w:numPr>
          <w:ilvl w:val="0"/>
          <w:numId w:val="2"/>
        </w:numPr>
        <w:spacing w:after="40" w:before="40" w:line="290"/>
      </w:pPr>
      <w:r>
        <w:rPr>
          <w:rFonts w:ascii="Arial" w:cs="Arial" w:eastAsia="Arial" w:hAnsi="Arial"/>
          <w:sz w:val="22"/>
          <w:szCs w:val="22"/>
        </w:rPr>
        <w:t xml:space="preserve">ISO 27001 certification (considered parallel to SOC 2; we pursue the one the market demands).</w:t>
      </w:r>
    </w:p>
    <w:p>
      <w:pPr>
        <w:pStyle w:val="ListParagraph"/>
        <w:numPr>
          <w:ilvl w:val="0"/>
          <w:numId w:val="2"/>
        </w:numPr>
        <w:spacing w:after="40" w:before="40" w:line="290"/>
      </w:pPr>
      <w:r>
        <w:rPr>
          <w:rFonts w:ascii="Arial" w:cs="Arial" w:eastAsia="Arial" w:hAnsi="Arial"/>
          <w:sz w:val="22"/>
          <w:szCs w:val="22"/>
        </w:rPr>
        <w:t xml:space="preserve">Penetration testing (scheduled after Pillar 3 completes and the first external API is exposed).</w:t>
      </w:r>
    </w:p>
    <w:p>
      <w:pPr>
        <w:pStyle w:val="ListParagraph"/>
        <w:numPr>
          <w:ilvl w:val="0"/>
          <w:numId w:val="2"/>
        </w:numPr>
        <w:spacing w:after="40" w:before="40" w:line="290"/>
      </w:pPr>
      <w:r>
        <w:rPr>
          <w:rFonts w:ascii="Arial" w:cs="Arial" w:eastAsia="Arial" w:hAnsi="Arial"/>
          <w:sz w:val="22"/>
          <w:szCs w:val="22"/>
        </w:rPr>
        <w:t xml:space="preserve">Physical security (the build is currently on founder-controlled devices; formalises when office or co-working space is established).</w:t>
      </w:r>
    </w:p>
    <w:p>
      <w:pPr>
        <w:pStyle w:val="ListParagraph"/>
        <w:numPr>
          <w:ilvl w:val="0"/>
          <w:numId w:val="2"/>
        </w:numPr>
        <w:spacing w:after="40" w:before="40" w:line="290"/>
      </w:pPr>
      <w:r>
        <w:rPr>
          <w:rFonts w:ascii="Arial" w:cs="Arial" w:eastAsia="Arial" w:hAnsi="Arial"/>
          <w:sz w:val="22"/>
          <w:szCs w:val="22"/>
        </w:rPr>
        <w:t xml:space="preserve">GDPR-specific controls (activated when the first EU data subject is on-platform).</w:t>
      </w:r>
    </w:p>
    <w:p>
      <w:pPr>
        <w:pStyle w:val="ListParagraph"/>
        <w:numPr>
          <w:ilvl w:val="0"/>
          <w:numId w:val="2"/>
        </w:numPr>
        <w:spacing w:after="40" w:before="40" w:line="290"/>
      </w:pPr>
      <w:r>
        <w:rPr>
          <w:rFonts w:ascii="Arial" w:cs="Arial" w:eastAsia="Arial" w:hAnsi="Arial"/>
          <w:sz w:val="22"/>
          <w:szCs w:val="22"/>
        </w:rPr>
        <w:t xml:space="preserve">HIPAA controls (not applicable unless we enter US health-adjacent verticals).</w:t>
      </w:r>
    </w:p>
    <w:p>
      <w:pPr>
        <w:pStyle w:val="Heading1"/>
        <w:spacing w:after="180" w:before="360"/>
      </w:pPr>
      <w:r>
        <w:rPr>
          <w:rFonts w:ascii="Arial" w:cs="Arial" w:eastAsia="Arial" w:hAnsi="Arial"/>
          <w:b/>
          <w:bCs/>
          <w:color w:val="1F3A5F"/>
          <w:sz w:val="32"/>
          <w:szCs w:val="32"/>
        </w:rPr>
        <w:t xml:space="preserve">7. Immediate Actions — Today</w:t>
      </w:r>
    </w:p>
    <w:p>
      <w:pPr>
        <w:spacing w:after="60" w:before="60" w:line="300"/>
      </w:pPr>
      <w:r>
        <w:rPr>
          <w:rFonts w:ascii="Arial" w:cs="Arial" w:eastAsia="Arial" w:hAnsi="Arial"/>
          <w:sz w:val="22"/>
          <w:szCs w:val="22"/>
        </w:rPr>
        <w:t xml:space="preserve">To fold this foundation into the Pillar 2 session starting today, the following must happen in order:</w:t>
      </w:r>
    </w:p>
    <w:p>
      <w:pPr>
        <w:pStyle w:val="ListParagraph"/>
        <w:numPr>
          <w:ilvl w:val="0"/>
          <w:numId w:val="3"/>
        </w:numPr>
        <w:spacing w:after="60" w:before="60" w:line="290"/>
      </w:pPr>
      <w:r>
        <w:rPr>
          <w:rFonts w:ascii="Arial" w:cs="Arial" w:eastAsia="Arial" w:hAnsi="Arial"/>
          <w:sz w:val="22"/>
          <w:szCs w:val="22"/>
        </w:rPr>
        <w:t xml:space="preserve">Mikey signs off on this document (or requests changes). Without sign-off, the Pillar 2 Security Brief is not authoritative.</w:t>
      </w:r>
    </w:p>
    <w:p>
      <w:pPr>
        <w:pStyle w:val="ListParagraph"/>
        <w:numPr>
          <w:ilvl w:val="0"/>
          <w:numId w:val="3"/>
        </w:numPr>
        <w:spacing w:after="60" w:before="60" w:line="290"/>
      </w:pPr>
      <w:r>
        <w:rPr>
          <w:rFonts w:ascii="Arial" w:cs="Arial" w:eastAsia="Arial" w:hAnsi="Arial"/>
          <w:sz w:val="22"/>
          <w:szCs w:val="22"/>
        </w:rPr>
        <w:t xml:space="preserve">Elena's Security Seeding Prompt is added to the Pillar 2 session preamble (see companion document).</w:t>
      </w:r>
    </w:p>
    <w:p>
      <w:pPr>
        <w:pStyle w:val="ListParagraph"/>
        <w:numPr>
          <w:ilvl w:val="0"/>
          <w:numId w:val="3"/>
        </w:numPr>
        <w:spacing w:after="60" w:before="60" w:line="290"/>
      </w:pPr>
      <w:r>
        <w:rPr>
          <w:rFonts w:ascii="Arial" w:cs="Arial" w:eastAsia="Arial" w:hAnsi="Arial"/>
          <w:sz w:val="22"/>
          <w:szCs w:val="22"/>
        </w:rPr>
        <w:t xml:space="preserve">The Pillar 2 Security Brief is folded into the Pillar 2 Data Ingestion Pipeline Brief as a required reading item before Session 01 begins.</w:t>
      </w:r>
    </w:p>
    <w:p>
      <w:pPr>
        <w:pStyle w:val="ListParagraph"/>
        <w:numPr>
          <w:ilvl w:val="0"/>
          <w:numId w:val="3"/>
        </w:numPr>
        <w:spacing w:after="60" w:before="60" w:line="290"/>
      </w:pPr>
      <w:r>
        <w:rPr>
          <w:rFonts w:ascii="Arial" w:cs="Arial" w:eastAsia="Arial" w:hAnsi="Arial"/>
          <w:sz w:val="22"/>
          <w:szCs w:val="22"/>
        </w:rPr>
        <w:t xml:space="preserve">The [MVP]-tagged controls are tracked as open items in the PM infrastructure alongside M1–M7.</w:t>
      </w:r>
    </w:p>
    <w:p>
      <w:pPr>
        <w:pStyle w:val="ListParagraph"/>
        <w:numPr>
          <w:ilvl w:val="0"/>
          <w:numId w:val="3"/>
        </w:numPr>
        <w:spacing w:after="60" w:before="60" w:line="290"/>
      </w:pPr>
      <w:r>
        <w:rPr>
          <w:rFonts w:ascii="Arial" w:cs="Arial" w:eastAsia="Arial" w:hAnsi="Arial"/>
          <w:sz w:val="22"/>
          <w:szCs w:val="22"/>
        </w:rPr>
        <w:t xml:space="preserve">The three defence pathway decisions are scheduled for a call with Mikey within the next seven days.</w:t>
      </w:r>
    </w:p>
    <w:p>
      <w:pPr>
        <w:pBdr>
          <w:bottom w:val="single" w:color="CCCCCC" w:sz="6" w:space="1"/>
        </w:pBdr>
        <w:spacing w:after="120" w:before="120"/>
      </w:pPr>
      <w:r>
        <w:rPr>
          <w:sz w:val="2"/>
          <w:szCs w:val="2"/>
        </w:rPr>
        <w:t xml:space="preserve"/>
      </w:r>
    </w:p>
    <w:p>
      <w:pPr>
        <w:spacing w:after="60" w:before="120"/>
        <w:jc w:val="center"/>
      </w:pPr>
      <w:r>
        <w:rPr>
          <w:rFonts w:ascii="Arial" w:cs="Arial" w:eastAsia="Arial" w:hAnsi="Arial"/>
          <w:i/>
          <w:iCs/>
          <w:color w:val="666666"/>
          <w:sz w:val="20"/>
          <w:szCs w:val="20"/>
        </w:rPr>
        <w:t xml:space="preserve">HARMONY — Security Foundation V1.0 — April 2026</w:t>
      </w:r>
    </w:p>
    <w:p>
      <w:pPr>
        <w:spacing w:after="60" w:before="0"/>
        <w:jc w:val="center"/>
      </w:pPr>
      <w:r>
        <w:rPr>
          <w:rFonts w:ascii="Arial" w:cs="Arial" w:eastAsia="Arial" w:hAnsi="Arial"/>
          <w:i/>
          <w:iCs/>
          <w:color w:val="666666"/>
          <w:sz w:val="20"/>
          <w:szCs w:val="20"/>
        </w:rPr>
        <w:t xml:space="preserve">Author: Colonel (Ret.) Elena Márquez-Reid, Chief Information Security Officer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HARMONY — Security Foundation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E8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E8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 Security Foundation V1.0</dc:title>
  <dc:creator>Harmony Architecture</dc:creator>
  <cp:lastModifiedBy>Un-named</cp:lastModifiedBy>
  <cp:revision>1</cp:revision>
  <dcterms:created xsi:type="dcterms:W3CDTF">2026-04-23T01:04:03.124Z</dcterms:created>
  <dcterms:modified xsi:type="dcterms:W3CDTF">2026-04-23T01:04:03.125Z</dcterms:modified>
</cp:coreProperties>
</file>

<file path=docProps/custom.xml><?xml version="1.0" encoding="utf-8"?>
<Properties xmlns="http://schemas.openxmlformats.org/officeDocument/2006/custom-properties" xmlns:vt="http://schemas.openxmlformats.org/officeDocument/2006/docPropsVTypes"/>
</file>