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ScamShield Project Overview</w:t>
      </w:r>
    </w:p>
    <w:p>
      <w:pPr>
        <w:spacing w:after="360"/>
      </w:pPr>
      <w:r>
        <w:rPr>
          <w:rFonts w:ascii="Aptos" w:hAnsi="Aptos"/>
          <w:color w:val="0B8F88"/>
          <w:sz w:val="30"/>
        </w:rPr>
        <w:t>A clear introduction to the problem, prototype and research plan</w:t>
      </w:r>
    </w:p>
    <w:p>
      <w:pPr>
        <w:spacing w:after="400"/>
      </w:pPr>
      <w:r>
        <w:rPr>
          <w:rFonts w:ascii="Aptos" w:hAnsi="Aptos"/>
          <w:color w:val="526B78"/>
          <w:sz w:val="21"/>
        </w:rPr>
        <w:t>Osita Michael  ·  Level 6 Production Project</w:t>
        <w:br/>
        <w:t>Version 1.0  ·  02 October 2026</w:t>
      </w:r>
    </w:p>
    <w:p>
      <w:pPr>
        <w:pStyle w:val="Heading1"/>
        <w:keepNext/>
      </w:pPr>
      <w:r>
        <w:t>Purpose of this document</w:t>
      </w:r>
    </w:p>
    <w:p>
      <w:pPr>
        <w:spacing w:after="160" w:line="276" w:lineRule="auto"/>
      </w:pPr>
      <w:r>
        <w:t>This document introduces ScamShield before the technical report and detailed evaluation. It explains the problem being addressed, the purpose of the prototype, the current implementation, the evidence supporting the project and the boundaries that prevent the system from being overstated. It is written for a supervisor or assessor who needs to understand the project quickly and accurately.</w:t>
      </w:r>
    </w:p>
    <w:p>
      <w:pPr>
        <w:spacing w:after="160" w:line="276" w:lineRule="auto"/>
      </w:pPr>
      <w:r>
        <w:t>The central idea is simple: ScamShield gives a person a calmer second opinion about a suspicious message. It identifies visible warning signals, explains them in plain English and recommends a safer next step. It is decision support, not proof that a message is fraudulent.</w:t>
      </w:r>
    </w:p>
    <w:p>
      <w:pPr>
        <w:pStyle w:val="Heading1"/>
        <w:keepNext/>
      </w:pPr>
      <w:r>
        <w:t>Project at a glance</w:t>
      </w:r>
    </w:p>
    <w:tbl>
      <w:tblPr>
        <w:tblW w:type="auto" w:w="0"/>
        <w:jc w:val="center"/>
        <w:tblLayout w:type="autofit"/>
        <w:tblLook w:firstColumn="1" w:firstRow="1" w:lastColumn="0" w:lastRow="0" w:noHBand="0" w:noVBand="1" w:val="04A0"/>
        <w:tblBorders>
          <w:top w:val="single" w:sz="6" w:space="0" w:color="D9E2E6"/>
          <w:left w:val="single" w:sz="6" w:space="0" w:color="D9E2E6"/>
          <w:bottom w:val="single" w:sz="6" w:space="0" w:color="D9E2E6"/>
          <w:right w:val="single" w:sz="6" w:space="0" w:color="D9E2E6"/>
          <w:insideH w:val="single" w:sz="6" w:space="0" w:color="D9E2E6"/>
          <w:insideV w:val="single" w:sz="6" w:space="0" w:color="D9E2E6"/>
        </w:tblBorders>
      </w:tblPr>
      <w:tblGrid>
        <w:gridCol w:w="4968"/>
        <w:gridCol w:w="4968"/>
      </w:tblGrid>
      <w:tr>
        <w:tc>
          <w:tcPr>
            <w:tcW w:type="dxa" w:w="4968"/>
            <w:vAlign w:val="center"/>
            <w:shd w:fill="102A43"/>
          </w:tcPr>
          <w:p>
            <w:pPr>
              <w:spacing w:after="60"/>
            </w:pPr>
            <w:r/>
            <w:r>
              <w:rPr>
                <w:rFonts w:ascii="Aptos" w:hAnsi="Aptos"/>
                <w:b/>
                <w:color w:val="FFFFFF"/>
                <w:sz w:val="20"/>
              </w:rPr>
              <w:t>Area</w:t>
            </w:r>
          </w:p>
        </w:tc>
        <w:tc>
          <w:tcPr>
            <w:tcW w:type="dxa" w:w="4968"/>
            <w:vAlign w:val="center"/>
            <w:shd w:fill="102A43"/>
          </w:tcPr>
          <w:p>
            <w:pPr>
              <w:spacing w:after="60"/>
            </w:pPr>
            <w:r/>
            <w:r>
              <w:rPr>
                <w:rFonts w:ascii="Aptos" w:hAnsi="Aptos"/>
                <w:b/>
                <w:color w:val="FFFFFF"/>
                <w:sz w:val="20"/>
              </w:rPr>
              <w:t>Current project position</w:t>
            </w:r>
          </w:p>
        </w:tc>
      </w:tr>
      <w:tr>
        <w:tc>
          <w:tcPr>
            <w:tcW w:type="dxa" w:w="4968"/>
            <w:vAlign w:val="center"/>
          </w:tcPr>
          <w:p>
            <w:pPr>
              <w:spacing w:after="60"/>
            </w:pPr>
            <w:r/>
            <w:r>
              <w:rPr>
                <w:rFonts w:ascii="Aptos" w:hAnsi="Aptos"/>
                <w:b w:val="0"/>
                <w:color w:val="000000"/>
                <w:sz w:val="20"/>
              </w:rPr>
              <w:t>Working title</w:t>
            </w:r>
          </w:p>
        </w:tc>
        <w:tc>
          <w:tcPr>
            <w:tcW w:type="dxa" w:w="4968"/>
            <w:vAlign w:val="center"/>
          </w:tcPr>
          <w:p>
            <w:pPr>
              <w:spacing w:after="60"/>
            </w:pPr>
            <w:r/>
            <w:r>
              <w:rPr>
                <w:rFonts w:ascii="Aptos" w:hAnsi="Aptos"/>
                <w:b w:val="0"/>
                <w:color w:val="000000"/>
                <w:sz w:val="20"/>
              </w:rPr>
              <w:t>ScamShield: an explainable system for detecting phishing and scam messages</w:t>
            </w:r>
          </w:p>
        </w:tc>
      </w:tr>
      <w:tr>
        <w:tc>
          <w:tcPr>
            <w:tcW w:type="dxa" w:w="4968"/>
            <w:vAlign w:val="center"/>
            <w:shd w:fill="F3F7F8"/>
          </w:tcPr>
          <w:p>
            <w:pPr>
              <w:spacing w:after="60"/>
            </w:pPr>
            <w:r/>
            <w:r>
              <w:rPr>
                <w:rFonts w:ascii="Aptos" w:hAnsi="Aptos"/>
                <w:b w:val="0"/>
                <w:color w:val="000000"/>
                <w:sz w:val="20"/>
              </w:rPr>
              <w:t>Primary user</w:t>
            </w:r>
          </w:p>
        </w:tc>
        <w:tc>
          <w:tcPr>
            <w:tcW w:type="dxa" w:w="4968"/>
            <w:vAlign w:val="center"/>
            <w:shd w:fill="F3F7F8"/>
          </w:tcPr>
          <w:p>
            <w:pPr>
              <w:spacing w:after="60"/>
            </w:pPr>
            <w:r/>
            <w:r>
              <w:rPr>
                <w:rFonts w:ascii="Aptos" w:hAnsi="Aptos"/>
                <w:b w:val="0"/>
                <w:color w:val="000000"/>
                <w:sz w:val="20"/>
              </w:rPr>
              <w:t>A non-technical person checking an email or SMS before acting</w:t>
            </w:r>
          </w:p>
        </w:tc>
      </w:tr>
      <w:tr>
        <w:tc>
          <w:tcPr>
            <w:tcW w:type="dxa" w:w="4968"/>
            <w:vAlign w:val="center"/>
          </w:tcPr>
          <w:p>
            <w:pPr>
              <w:spacing w:after="60"/>
            </w:pPr>
            <w:r/>
            <w:r>
              <w:rPr>
                <w:rFonts w:ascii="Aptos" w:hAnsi="Aptos"/>
                <w:b w:val="0"/>
                <w:color w:val="000000"/>
                <w:sz w:val="20"/>
              </w:rPr>
              <w:t>Research focus</w:t>
            </w:r>
          </w:p>
        </w:tc>
        <w:tc>
          <w:tcPr>
            <w:tcW w:type="dxa" w:w="4968"/>
            <w:vAlign w:val="center"/>
          </w:tcPr>
          <w:p>
            <w:pPr>
              <w:spacing w:after="60"/>
            </w:pPr>
            <w:r/>
            <w:r>
              <w:rPr>
                <w:rFonts w:ascii="Aptos" w:hAnsi="Aptos"/>
                <w:b w:val="0"/>
                <w:color w:val="000000"/>
                <w:sz w:val="20"/>
              </w:rPr>
              <w:t>Explainable text classification and robustness to more convincing scam wording</w:t>
            </w:r>
          </w:p>
        </w:tc>
      </w:tr>
      <w:tr>
        <w:tc>
          <w:tcPr>
            <w:tcW w:type="dxa" w:w="4968"/>
            <w:vAlign w:val="center"/>
            <w:shd w:fill="F3F7F8"/>
          </w:tcPr>
          <w:p>
            <w:pPr>
              <w:spacing w:after="60"/>
            </w:pPr>
            <w:r/>
            <w:r>
              <w:rPr>
                <w:rFonts w:ascii="Aptos" w:hAnsi="Aptos"/>
                <w:b w:val="0"/>
                <w:color w:val="000000"/>
                <w:sz w:val="20"/>
              </w:rPr>
              <w:t>Primary artefact</w:t>
            </w:r>
          </w:p>
        </w:tc>
        <w:tc>
          <w:tcPr>
            <w:tcW w:type="dxa" w:w="4968"/>
            <w:vAlign w:val="center"/>
            <w:shd w:fill="F3F7F8"/>
          </w:tcPr>
          <w:p>
            <w:pPr>
              <w:spacing w:after="60"/>
            </w:pPr>
            <w:r/>
            <w:r>
              <w:rPr>
                <w:rFonts w:ascii="Aptos" w:hAnsi="Aptos"/>
                <w:b w:val="0"/>
                <w:color w:val="000000"/>
                <w:sz w:val="20"/>
              </w:rPr>
              <w:t>Responsive web application with Scanner, Evidence lab and Research dashboard</w:t>
            </w:r>
          </w:p>
        </w:tc>
      </w:tr>
      <w:tr>
        <w:tc>
          <w:tcPr>
            <w:tcW w:type="dxa" w:w="4968"/>
            <w:vAlign w:val="center"/>
          </w:tcPr>
          <w:p>
            <w:pPr>
              <w:spacing w:after="60"/>
            </w:pPr>
            <w:r/>
            <w:r>
              <w:rPr>
                <w:rFonts w:ascii="Aptos" w:hAnsi="Aptos"/>
                <w:b w:val="0"/>
                <w:color w:val="000000"/>
                <w:sz w:val="20"/>
              </w:rPr>
              <w:t>Data boundary</w:t>
            </w:r>
          </w:p>
        </w:tc>
        <w:tc>
          <w:tcPr>
            <w:tcW w:type="dxa" w:w="4968"/>
            <w:vAlign w:val="center"/>
          </w:tcPr>
          <w:p>
            <w:pPr>
              <w:spacing w:after="60"/>
            </w:pPr>
            <w:r/>
            <w:r>
              <w:rPr>
                <w:rFonts w:ascii="Aptos" w:hAnsi="Aptos"/>
                <w:b w:val="0"/>
                <w:color w:val="000000"/>
                <w:sz w:val="20"/>
              </w:rPr>
              <w:t>Fictional, public or redacted examples only; no live inbox or banking connection</w:t>
            </w:r>
          </w:p>
        </w:tc>
      </w:tr>
      <w:tr>
        <w:tc>
          <w:tcPr>
            <w:tcW w:type="dxa" w:w="4968"/>
            <w:vAlign w:val="center"/>
            <w:shd w:fill="F3F7F8"/>
          </w:tcPr>
          <w:p>
            <w:pPr>
              <w:spacing w:after="60"/>
            </w:pPr>
            <w:r/>
            <w:r>
              <w:rPr>
                <w:rFonts w:ascii="Aptos" w:hAnsi="Aptos"/>
                <w:b w:val="0"/>
                <w:color w:val="000000"/>
                <w:sz w:val="20"/>
              </w:rPr>
              <w:t>Current model</w:t>
            </w:r>
          </w:p>
        </w:tc>
        <w:tc>
          <w:tcPr>
            <w:tcW w:type="dxa" w:w="4968"/>
            <w:vAlign w:val="center"/>
            <w:shd w:fill="F3F7F8"/>
          </w:tcPr>
          <w:p>
            <w:pPr>
              <w:spacing w:after="60"/>
            </w:pPr>
            <w:r/>
            <w:r>
              <w:rPr>
                <w:rFonts w:ascii="Aptos" w:hAnsi="Aptos"/>
                <w:b w:val="0"/>
                <w:color w:val="000000"/>
                <w:sz w:val="20"/>
              </w:rPr>
              <w:t>Contextual baseline combining TF-IDF-style features with conservative phrase rules</w:t>
            </w:r>
          </w:p>
        </w:tc>
      </w:tr>
    </w:tbl>
    <w:p>
      <w:pPr>
        <w:spacing w:after="40"/>
      </w:pPr>
    </w:p>
    <w:p>
      <w:pPr>
        <w:pStyle w:val="Heading1"/>
        <w:keepNext/>
      </w:pPr>
      <w:r>
        <w:t>1 The problem</w:t>
      </w:r>
    </w:p>
    <w:p>
      <w:pPr>
        <w:spacing w:after="160" w:line="276" w:lineRule="auto"/>
      </w:pPr>
      <w:r>
        <w:t>Phishing and social-engineering messages work by making a request feel trustworthy, urgent or emotionally difficult to ignore. The sender may imitate a bank, university, healthcare provider, delivery service or ticketing organisation. A fluent message can be dangerous even when it contains none of the spelling mistakes traditionally associated with scams.</w:t>
      </w:r>
    </w:p>
    <w:p>
      <w:pPr>
        <w:spacing w:after="160" w:line="276" w:lineRule="auto"/>
      </w:pPr>
      <w:r>
        <w:t>This project focuses on one practical part of that problem: helping people inspect email- and SMS-style text before they click a link, share credentials or send money. The system is deliberately narrower than a complete cyber-security product. It does not attempt to identify an offender, verify a real brand, visit a live link or make a financial decision.</w:t>
      </w:r>
    </w:p>
    <w:p>
      <w:pPr>
        <w:pStyle w:val="Heading1"/>
        <w:keepNext/>
      </w:pPr>
      <w:r>
        <w:t>2 Aim and research question</w:t>
      </w:r>
    </w:p>
    <w:p>
      <w:pPr>
        <w:spacing w:after="160" w:line="276" w:lineRule="auto"/>
      </w:pPr>
      <w:r>
        <w:t>The aim is to design, implement and evaluate ScamShield as an explainable web-based prototype for phishing and scam-message screening. The system should provide useful warnings without inventing evidence, while remaining understandable to a non-technical user.</w:t>
      </w:r>
    </w:p>
    <w:p>
      <w:pPr>
        <w:spacing w:after="160" w:line="276" w:lineRule="auto"/>
      </w:pPr>
      <w:r>
        <w:t>Research question: How effectively can an explainable machine-learning system detect phishing messages that have been rewritten to sound more convincing, while providing explanations that non-technical users can understand?</w:t>
      </w:r>
    </w:p>
    <w:p>
      <w:pPr>
        <w:pStyle w:val="Heading2"/>
        <w:keepNext/>
      </w:pPr>
      <w:r>
        <w:t>Objectives</w:t>
      </w:r>
    </w:p>
    <w:p>
      <w:pPr>
        <w:pStyle w:val="ListBullet"/>
        <w:spacing w:after="60"/>
      </w:pPr>
      <w:r>
        <w:t>Review phishing detection, explainable AI, robustness and usable-security research.</w:t>
      </w:r>
    </w:p>
    <w:p>
      <w:pPr>
        <w:pStyle w:val="ListBullet"/>
        <w:spacing w:after="60"/>
      </w:pPr>
      <w:r>
        <w:t>Prepare labelled fictional or public-style messages with documented provenance and label decisions.</w:t>
      </w:r>
    </w:p>
    <w:p>
      <w:pPr>
        <w:pStyle w:val="ListBullet"/>
        <w:spacing w:after="60"/>
      </w:pPr>
      <w:r>
        <w:t>Implement a transparent baseline and contextual explanation layer.</w:t>
      </w:r>
    </w:p>
    <w:p>
      <w:pPr>
        <w:pStyle w:val="ListBullet"/>
        <w:spacing w:after="60"/>
      </w:pPr>
      <w:r>
        <w:t>Evaluate precision, recall, F1 score, false positives, missed scams and explanation quality.</w:t>
      </w:r>
    </w:p>
    <w:p>
      <w:pPr>
        <w:pStyle w:val="ListBullet"/>
        <w:spacing w:after="60"/>
      </w:pPr>
      <w:r>
        <w:t>Test the complete user workflow, including screenshot evidence and human annotation.</w:t>
      </w:r>
    </w:p>
    <w:p>
      <w:pPr>
        <w:pStyle w:val="ListBullet"/>
        <w:spacing w:after="60"/>
      </w:pPr>
      <w:r>
        <w:t>Document privacy, ethical boundaries, limitations and realistic future improvements.</w:t>
      </w:r>
    </w:p>
    <w:p>
      <w:pPr>
        <w:pStyle w:val="Heading1"/>
        <w:keepNext/>
      </w:pPr>
      <w:r>
        <w:t>3 How the prototype works</w:t>
      </w:r>
    </w:p>
    <w:tbl>
      <w:tblPr>
        <w:tblW w:type="auto" w:w="0"/>
        <w:jc w:val="center"/>
        <w:tblLayout w:type="autofit"/>
        <w:tblLook w:firstColumn="1" w:firstRow="1" w:lastColumn="0" w:lastRow="0" w:noHBand="0" w:noVBand="1" w:val="04A0"/>
        <w:tblBorders>
          <w:top w:val="single" w:sz="6" w:space="0" w:color="D9E2E6"/>
          <w:left w:val="single" w:sz="6" w:space="0" w:color="D9E2E6"/>
          <w:bottom w:val="single" w:sz="6" w:space="0" w:color="D9E2E6"/>
          <w:right w:val="single" w:sz="6" w:space="0" w:color="D9E2E6"/>
          <w:insideH w:val="single" w:sz="6" w:space="0" w:color="D9E2E6"/>
          <w:insideV w:val="single" w:sz="6" w:space="0" w:color="D9E2E6"/>
        </w:tblBorders>
      </w:tblPr>
      <w:tblGrid>
        <w:gridCol w:w="3312"/>
        <w:gridCol w:w="3312"/>
        <w:gridCol w:w="3312"/>
      </w:tblGrid>
      <w:tr>
        <w:tc>
          <w:tcPr>
            <w:tcW w:type="dxa" w:w="3312"/>
            <w:vAlign w:val="center"/>
            <w:shd w:fill="102A43"/>
          </w:tcPr>
          <w:p>
            <w:pPr>
              <w:spacing w:after="60"/>
            </w:pPr>
            <w:r/>
            <w:r>
              <w:rPr>
                <w:rFonts w:ascii="Aptos" w:hAnsi="Aptos"/>
                <w:b/>
                <w:color w:val="FFFFFF"/>
                <w:sz w:val="20"/>
              </w:rPr>
              <w:t>Stage</w:t>
            </w:r>
          </w:p>
        </w:tc>
        <w:tc>
          <w:tcPr>
            <w:tcW w:type="dxa" w:w="3312"/>
            <w:vAlign w:val="center"/>
            <w:shd w:fill="102A43"/>
          </w:tcPr>
          <w:p>
            <w:pPr>
              <w:spacing w:after="60"/>
            </w:pPr>
            <w:r/>
            <w:r>
              <w:rPr>
                <w:rFonts w:ascii="Aptos" w:hAnsi="Aptos"/>
                <w:b/>
                <w:color w:val="FFFFFF"/>
                <w:sz w:val="20"/>
              </w:rPr>
              <w:t>What happens</w:t>
            </w:r>
          </w:p>
        </w:tc>
        <w:tc>
          <w:tcPr>
            <w:tcW w:type="dxa" w:w="3312"/>
            <w:vAlign w:val="center"/>
            <w:shd w:fill="102A43"/>
          </w:tcPr>
          <w:p>
            <w:pPr>
              <w:spacing w:after="60"/>
            </w:pPr>
            <w:r/>
            <w:r>
              <w:rPr>
                <w:rFonts w:ascii="Aptos" w:hAnsi="Aptos"/>
                <w:b/>
                <w:color w:val="FFFFFF"/>
                <w:sz w:val="20"/>
              </w:rPr>
              <w:t>What the user sees</w:t>
            </w:r>
          </w:p>
        </w:tc>
      </w:tr>
      <w:tr>
        <w:tc>
          <w:tcPr>
            <w:tcW w:type="dxa" w:w="3312"/>
            <w:vAlign w:val="center"/>
          </w:tcPr>
          <w:p>
            <w:pPr>
              <w:spacing w:after="60"/>
            </w:pPr>
            <w:r/>
            <w:r>
              <w:rPr>
                <w:rFonts w:ascii="Aptos" w:hAnsi="Aptos"/>
                <w:b w:val="0"/>
                <w:color w:val="000000"/>
                <w:sz w:val="20"/>
              </w:rPr>
              <w:t>1  Provide evidence</w:t>
            </w:r>
          </w:p>
        </w:tc>
        <w:tc>
          <w:tcPr>
            <w:tcW w:type="dxa" w:w="3312"/>
            <w:vAlign w:val="center"/>
          </w:tcPr>
          <w:p>
            <w:pPr>
              <w:spacing w:after="60"/>
            </w:pPr>
            <w:r/>
            <w:r>
              <w:rPr>
                <w:rFonts w:ascii="Aptos" w:hAnsi="Aptos"/>
                <w:b w:val="0"/>
                <w:color w:val="000000"/>
                <w:sz w:val="20"/>
              </w:rPr>
              <w:t>The user pastes message text or opens the Evidence lab for a redacted screenshot.</w:t>
            </w:r>
          </w:p>
        </w:tc>
        <w:tc>
          <w:tcPr>
            <w:tcW w:type="dxa" w:w="3312"/>
            <w:vAlign w:val="center"/>
          </w:tcPr>
          <w:p>
            <w:pPr>
              <w:spacing w:after="60"/>
            </w:pPr>
            <w:r/>
            <w:r>
              <w:rPr>
                <w:rFonts w:ascii="Aptos" w:hAnsi="Aptos"/>
                <w:b w:val="0"/>
                <w:color w:val="000000"/>
                <w:sz w:val="20"/>
              </w:rPr>
              <w:t>A focused input form with clear privacy guidance.</w:t>
            </w:r>
          </w:p>
        </w:tc>
      </w:tr>
      <w:tr>
        <w:tc>
          <w:tcPr>
            <w:tcW w:type="dxa" w:w="3312"/>
            <w:vAlign w:val="center"/>
            <w:shd w:fill="F3F7F8"/>
          </w:tcPr>
          <w:p>
            <w:pPr>
              <w:spacing w:after="60"/>
            </w:pPr>
            <w:r/>
            <w:r>
              <w:rPr>
                <w:rFonts w:ascii="Aptos" w:hAnsi="Aptos"/>
                <w:b w:val="0"/>
                <w:color w:val="000000"/>
                <w:sz w:val="20"/>
              </w:rPr>
              <w:t>2  Inspect signals</w:t>
            </w:r>
          </w:p>
        </w:tc>
        <w:tc>
          <w:tcPr>
            <w:tcW w:type="dxa" w:w="3312"/>
            <w:vAlign w:val="center"/>
            <w:shd w:fill="F3F7F8"/>
          </w:tcPr>
          <w:p>
            <w:pPr>
              <w:spacing w:after="60"/>
            </w:pPr>
            <w:r/>
            <w:r>
              <w:rPr>
                <w:rFonts w:ascii="Aptos" w:hAnsi="Aptos"/>
                <w:b w:val="0"/>
                <w:color w:val="000000"/>
                <w:sz w:val="20"/>
              </w:rPr>
              <w:t>The service combines learned text patterns with contextual rules for urgency, impersonation, credentials, payment requests and suspicious links.</w:t>
            </w:r>
          </w:p>
        </w:tc>
        <w:tc>
          <w:tcPr>
            <w:tcW w:type="dxa" w:w="3312"/>
            <w:vAlign w:val="center"/>
            <w:shd w:fill="F3F7F8"/>
          </w:tcPr>
          <w:p>
            <w:pPr>
              <w:spacing w:after="60"/>
            </w:pPr>
            <w:r/>
            <w:r>
              <w:rPr>
                <w:rFonts w:ascii="Aptos" w:hAnsi="Aptos"/>
                <w:b w:val="0"/>
                <w:color w:val="000000"/>
                <w:sz w:val="20"/>
              </w:rPr>
              <w:t>A screening label and reasons tied to the observed message.</w:t>
            </w:r>
          </w:p>
        </w:tc>
      </w:tr>
      <w:tr>
        <w:tc>
          <w:tcPr>
            <w:tcW w:type="dxa" w:w="3312"/>
            <w:vAlign w:val="center"/>
          </w:tcPr>
          <w:p>
            <w:pPr>
              <w:spacing w:after="60"/>
            </w:pPr>
            <w:r/>
            <w:r>
              <w:rPr>
                <w:rFonts w:ascii="Aptos" w:hAnsi="Aptos"/>
                <w:b w:val="0"/>
                <w:color w:val="000000"/>
                <w:sz w:val="20"/>
              </w:rPr>
              <w:t>3  Explain</w:t>
            </w:r>
          </w:p>
        </w:tc>
        <w:tc>
          <w:tcPr>
            <w:tcW w:type="dxa" w:w="3312"/>
            <w:vAlign w:val="center"/>
          </w:tcPr>
          <w:p>
            <w:pPr>
              <w:spacing w:after="60"/>
            </w:pPr>
            <w:r/>
            <w:r>
              <w:rPr>
                <w:rFonts w:ascii="Aptos" w:hAnsi="Aptos"/>
                <w:b w:val="0"/>
                <w:color w:val="000000"/>
                <w:sz w:val="20"/>
              </w:rPr>
              <w:t>The explanation layer quotes or describes the relevant phrase instead of treating ordinary words as evidence.</w:t>
            </w:r>
          </w:p>
        </w:tc>
        <w:tc>
          <w:tcPr>
            <w:tcW w:type="dxa" w:w="3312"/>
            <w:vAlign w:val="center"/>
          </w:tcPr>
          <w:p>
            <w:pPr>
              <w:spacing w:after="60"/>
            </w:pPr>
            <w:r/>
            <w:r>
              <w:rPr>
                <w:rFonts w:ascii="Aptos" w:hAnsi="Aptos"/>
                <w:b w:val="0"/>
                <w:color w:val="000000"/>
                <w:sz w:val="20"/>
              </w:rPr>
              <w:t>Plain-English reasons and a visible limitation statement.</w:t>
            </w:r>
          </w:p>
        </w:tc>
      </w:tr>
      <w:tr>
        <w:tc>
          <w:tcPr>
            <w:tcW w:type="dxa" w:w="3312"/>
            <w:vAlign w:val="center"/>
            <w:shd w:fill="F3F7F8"/>
          </w:tcPr>
          <w:p>
            <w:pPr>
              <w:spacing w:after="60"/>
            </w:pPr>
            <w:r/>
            <w:r>
              <w:rPr>
                <w:rFonts w:ascii="Aptos" w:hAnsi="Aptos"/>
                <w:b w:val="0"/>
                <w:color w:val="000000"/>
                <w:sz w:val="20"/>
              </w:rPr>
              <w:t>4  Act safely</w:t>
            </w:r>
          </w:p>
        </w:tc>
        <w:tc>
          <w:tcPr>
            <w:tcW w:type="dxa" w:w="3312"/>
            <w:vAlign w:val="center"/>
            <w:shd w:fill="F3F7F8"/>
          </w:tcPr>
          <w:p>
            <w:pPr>
              <w:spacing w:after="60"/>
            </w:pPr>
            <w:r/>
            <w:r>
              <w:rPr>
                <w:rFonts w:ascii="Aptos" w:hAnsi="Aptos"/>
                <w:b w:val="0"/>
                <w:color w:val="000000"/>
                <w:sz w:val="20"/>
              </w:rPr>
              <w:t>The result recommends pausing and independently verifying through an official route.</w:t>
            </w:r>
          </w:p>
        </w:tc>
        <w:tc>
          <w:tcPr>
            <w:tcW w:type="dxa" w:w="3312"/>
            <w:vAlign w:val="center"/>
            <w:shd w:fill="F3F7F8"/>
          </w:tcPr>
          <w:p>
            <w:pPr>
              <w:spacing w:after="60"/>
            </w:pPr>
            <w:r/>
            <w:r>
              <w:rPr>
                <w:rFonts w:ascii="Aptos" w:hAnsi="Aptos"/>
                <w:b w:val="0"/>
                <w:color w:val="000000"/>
                <w:sz w:val="20"/>
              </w:rPr>
              <w:t>A safer next step rather than an instruction to click or pay.</w:t>
            </w:r>
          </w:p>
        </w:tc>
      </w:tr>
    </w:tbl>
    <w:p>
      <w:pPr>
        <w:spacing w:after="40"/>
      </w:pPr>
    </w:p>
    <w:p>
      <w:pPr>
        <w:spacing w:after="160" w:line="276" w:lineRule="auto"/>
      </w:pPr>
      <w:r>
        <w:t>The current implementation is intentionally transparent. Its score is a screening signal, not a calibrated probability. Negated safety advice such as ‘never share your password’ and quoted examples are treated differently from a direct request to provide credentials.</w:t>
      </w:r>
    </w:p>
    <w:p>
      <w:pPr>
        <w:pStyle w:val="Heading1"/>
        <w:keepNext/>
      </w:pPr>
      <w:r>
        <w:t>4 The three application areas</w:t>
      </w:r>
    </w:p>
    <w:p>
      <w:pPr>
        <w:pStyle w:val="Heading2"/>
        <w:keepNext/>
      </w:pPr>
      <w:r>
        <w:t>Scanner</w:t>
      </w:r>
    </w:p>
    <w:p>
      <w:pPr>
        <w:spacing w:after="160" w:line="276" w:lineRule="auto"/>
      </w:pPr>
      <w:r>
        <w:t>The Scanner is the primary workflow. It places message entry, the example control, the analysis action and the result panel together so the user can move from evidence to explanation without losing context. Results distinguish risk level, reasons, safer action and limitations. If the message changes after analysis, the result is marked as needing refresh.</w:t>
      </w:r>
    </w:p>
    <w:p>
      <w:pPr>
        <w:pStyle w:val="Heading2"/>
        <w:keepNext/>
      </w:pPr>
      <w:r>
        <w:t>Evidence lab</w:t>
      </w:r>
    </w:p>
    <w:p>
      <w:pPr>
        <w:spacing w:after="160" w:line="276" w:lineRule="auto"/>
      </w:pPr>
      <w:r>
        <w:t>The Evidence lab accepts a PNG, JPG or WebP screenshot up to 8 MB. The image is previewed locally, can be opened at full size and can be passed through browser OCR. The extracted text remains editable before analysis. Human annotation records visible signals such as urgency, credential requests, payment details, suspicious links, copied branding and unusual senders. This is transparent annotation, not a claim that the prototype has trained computer vision.</w:t>
      </w:r>
    </w:p>
    <w:p>
      <w:pPr>
        <w:pStyle w:val="Heading2"/>
        <w:keepNext/>
      </w:pPr>
      <w:r>
        <w:t>Research dashboard</w:t>
      </w:r>
    </w:p>
    <w:p>
      <w:pPr>
        <w:spacing w:after="160" w:line="276" w:lineRule="auto"/>
      </w:pPr>
      <w:r>
        <w:t>The dashboard separates three kinds of information: official public context, synthetic research scenarios and measured model evaluation. This distinction is important because a fictional scenario involving a named organisation is not evidence that the organisation was breached.</w:t>
      </w:r>
    </w:p>
    <w:p>
      <w:pPr>
        <w:pStyle w:val="Heading1"/>
        <w:keepNext/>
      </w:pPr>
      <w:r>
        <w:t>5 Evidence and data provenance</w:t>
      </w:r>
    </w:p>
    <w:p>
      <w:pPr>
        <w:spacing w:after="160" w:line="276" w:lineRule="auto"/>
      </w:pPr>
      <w:r>
        <w:t>Public context in the interface is linked to named sources, including the Office for National Statistics, GOV.UK and the National Cyber Security Centre. Scenario bars are synthetic demonstration data and are labelled as such. They are not national crime statistics and must be replaced with values generated from the final versioned test set before the dissertation is submitted.</w:t>
      </w:r>
    </w:p>
    <w:tbl>
      <w:tblPr>
        <w:tblW w:type="auto" w:w="0"/>
        <w:jc w:val="center"/>
        <w:tblLayout w:type="autofit"/>
        <w:tblLook w:firstColumn="1" w:firstRow="1" w:lastColumn="0" w:lastRow="0" w:noHBand="0" w:noVBand="1" w:val="04A0"/>
        <w:tblBorders>
          <w:top w:val="single" w:sz="6" w:space="0" w:color="D9E2E6"/>
          <w:left w:val="single" w:sz="6" w:space="0" w:color="D9E2E6"/>
          <w:bottom w:val="single" w:sz="6" w:space="0" w:color="D9E2E6"/>
          <w:right w:val="single" w:sz="6" w:space="0" w:color="D9E2E6"/>
          <w:insideH w:val="single" w:sz="6" w:space="0" w:color="D9E2E6"/>
          <w:insideV w:val="single" w:sz="6" w:space="0" w:color="D9E2E6"/>
        </w:tblBorders>
      </w:tblPr>
      <w:tblGrid>
        <w:gridCol w:w="3312"/>
        <w:gridCol w:w="3312"/>
        <w:gridCol w:w="3312"/>
      </w:tblGrid>
      <w:tr>
        <w:tc>
          <w:tcPr>
            <w:tcW w:type="dxa" w:w="3312"/>
            <w:vAlign w:val="center"/>
            <w:shd w:fill="102A43"/>
          </w:tcPr>
          <w:p>
            <w:pPr>
              <w:spacing w:after="60"/>
            </w:pPr>
            <w:r/>
            <w:r>
              <w:rPr>
                <w:rFonts w:ascii="Aptos" w:hAnsi="Aptos"/>
                <w:b/>
                <w:color w:val="FFFFFF"/>
                <w:sz w:val="20"/>
              </w:rPr>
              <w:t>Evidence type</w:t>
            </w:r>
          </w:p>
        </w:tc>
        <w:tc>
          <w:tcPr>
            <w:tcW w:type="dxa" w:w="3312"/>
            <w:vAlign w:val="center"/>
            <w:shd w:fill="102A43"/>
          </w:tcPr>
          <w:p>
            <w:pPr>
              <w:spacing w:after="60"/>
            </w:pPr>
            <w:r/>
            <w:r>
              <w:rPr>
                <w:rFonts w:ascii="Aptos" w:hAnsi="Aptos"/>
                <w:b/>
                <w:color w:val="FFFFFF"/>
                <w:sz w:val="20"/>
              </w:rPr>
              <w:t>Purpose</w:t>
            </w:r>
          </w:p>
        </w:tc>
        <w:tc>
          <w:tcPr>
            <w:tcW w:type="dxa" w:w="3312"/>
            <w:vAlign w:val="center"/>
            <w:shd w:fill="102A43"/>
          </w:tcPr>
          <w:p>
            <w:pPr>
              <w:spacing w:after="60"/>
            </w:pPr>
            <w:r/>
            <w:r>
              <w:rPr>
                <w:rFonts w:ascii="Aptos" w:hAnsi="Aptos"/>
                <w:b/>
                <w:color w:val="FFFFFF"/>
                <w:sz w:val="20"/>
              </w:rPr>
              <w:t>Status</w:t>
            </w:r>
          </w:p>
        </w:tc>
      </w:tr>
      <w:tr>
        <w:tc>
          <w:tcPr>
            <w:tcW w:type="dxa" w:w="3312"/>
            <w:vAlign w:val="center"/>
          </w:tcPr>
          <w:p>
            <w:pPr>
              <w:spacing w:after="60"/>
            </w:pPr>
            <w:r/>
            <w:r>
              <w:rPr>
                <w:rFonts w:ascii="Aptos" w:hAnsi="Aptos"/>
                <w:b w:val="0"/>
                <w:color w:val="000000"/>
                <w:sz w:val="20"/>
              </w:rPr>
              <w:t>Official public context</w:t>
            </w:r>
          </w:p>
        </w:tc>
        <w:tc>
          <w:tcPr>
            <w:tcW w:type="dxa" w:w="3312"/>
            <w:vAlign w:val="center"/>
          </w:tcPr>
          <w:p>
            <w:pPr>
              <w:spacing w:after="60"/>
            </w:pPr>
            <w:r/>
            <w:r>
              <w:rPr>
                <w:rFonts w:ascii="Aptos" w:hAnsi="Aptos"/>
                <w:b w:val="0"/>
                <w:color w:val="000000"/>
                <w:sz w:val="20"/>
              </w:rPr>
              <w:t>Show why fraud and online-enabled crime matter.</w:t>
            </w:r>
          </w:p>
        </w:tc>
        <w:tc>
          <w:tcPr>
            <w:tcW w:type="dxa" w:w="3312"/>
            <w:vAlign w:val="center"/>
          </w:tcPr>
          <w:p>
            <w:pPr>
              <w:spacing w:after="60"/>
            </w:pPr>
            <w:r/>
            <w:r>
              <w:rPr>
                <w:rFonts w:ascii="Aptos" w:hAnsi="Aptos"/>
                <w:b w:val="0"/>
                <w:color w:val="000000"/>
                <w:sz w:val="20"/>
              </w:rPr>
              <w:t>Source-linked; not model performance.</w:t>
            </w:r>
          </w:p>
        </w:tc>
      </w:tr>
      <w:tr>
        <w:tc>
          <w:tcPr>
            <w:tcW w:type="dxa" w:w="3312"/>
            <w:vAlign w:val="center"/>
            <w:shd w:fill="F3F7F8"/>
          </w:tcPr>
          <w:p>
            <w:pPr>
              <w:spacing w:after="60"/>
            </w:pPr>
            <w:r/>
            <w:r>
              <w:rPr>
                <w:rFonts w:ascii="Aptos" w:hAnsi="Aptos"/>
                <w:b w:val="0"/>
                <w:color w:val="000000"/>
                <w:sz w:val="20"/>
              </w:rPr>
              <w:t>Synthetic scenarios</w:t>
            </w:r>
          </w:p>
        </w:tc>
        <w:tc>
          <w:tcPr>
            <w:tcW w:type="dxa" w:w="3312"/>
            <w:vAlign w:val="center"/>
            <w:shd w:fill="F3F7F8"/>
          </w:tcPr>
          <w:p>
            <w:pPr>
              <w:spacing w:after="60"/>
            </w:pPr>
            <w:r/>
            <w:r>
              <w:rPr>
                <w:rFonts w:ascii="Aptos" w:hAnsi="Aptos"/>
                <w:b w:val="0"/>
                <w:color w:val="000000"/>
                <w:sz w:val="20"/>
              </w:rPr>
              <w:t>Test the interface and controlled warning-sign categories safely.</w:t>
            </w:r>
          </w:p>
        </w:tc>
        <w:tc>
          <w:tcPr>
            <w:tcW w:type="dxa" w:w="3312"/>
            <w:vAlign w:val="center"/>
            <w:shd w:fill="F3F7F8"/>
          </w:tcPr>
          <w:p>
            <w:pPr>
              <w:spacing w:after="60"/>
            </w:pPr>
            <w:r/>
            <w:r>
              <w:rPr>
                <w:rFonts w:ascii="Aptos" w:hAnsi="Aptos"/>
                <w:b w:val="0"/>
                <w:color w:val="000000"/>
                <w:sz w:val="20"/>
              </w:rPr>
              <w:t>Demonstration data; not real incident claims.</w:t>
            </w:r>
          </w:p>
        </w:tc>
      </w:tr>
      <w:tr>
        <w:tc>
          <w:tcPr>
            <w:tcW w:type="dxa" w:w="3312"/>
            <w:vAlign w:val="center"/>
          </w:tcPr>
          <w:p>
            <w:pPr>
              <w:spacing w:after="60"/>
            </w:pPr>
            <w:r/>
            <w:r>
              <w:rPr>
                <w:rFonts w:ascii="Aptos" w:hAnsi="Aptos"/>
                <w:b w:val="0"/>
                <w:color w:val="000000"/>
                <w:sz w:val="20"/>
              </w:rPr>
              <w:t>Held-out evaluation</w:t>
            </w:r>
          </w:p>
        </w:tc>
        <w:tc>
          <w:tcPr>
            <w:tcW w:type="dxa" w:w="3312"/>
            <w:vAlign w:val="center"/>
          </w:tcPr>
          <w:p>
            <w:pPr>
              <w:spacing w:after="60"/>
            </w:pPr>
            <w:r/>
            <w:r>
              <w:rPr>
                <w:rFonts w:ascii="Aptos" w:hAnsi="Aptos"/>
                <w:b w:val="0"/>
                <w:color w:val="000000"/>
                <w:sz w:val="20"/>
              </w:rPr>
              <w:t>Measure the current baseline on messages not used for tuning.</w:t>
            </w:r>
          </w:p>
        </w:tc>
        <w:tc>
          <w:tcPr>
            <w:tcW w:type="dxa" w:w="3312"/>
            <w:vAlign w:val="center"/>
          </w:tcPr>
          <w:p>
            <w:pPr>
              <w:spacing w:after="60"/>
            </w:pPr>
            <w:r/>
            <w:r>
              <w:rPr>
                <w:rFonts w:ascii="Aptos" w:hAnsi="Aptos"/>
                <w:b w:val="0"/>
                <w:color w:val="000000"/>
                <w:sz w:val="20"/>
              </w:rPr>
              <w:t>Measured but small and hand-curated.</w:t>
            </w:r>
          </w:p>
        </w:tc>
      </w:tr>
    </w:tbl>
    <w:p>
      <w:pPr>
        <w:spacing w:after="40"/>
      </w:pPr>
    </w:p>
    <w:p>
      <w:pPr>
        <w:pStyle w:val="Heading1"/>
        <w:keepNext/>
      </w:pPr>
      <w:r>
        <w:t>6 Evaluation evidence</w:t>
      </w:r>
    </w:p>
    <w:p>
      <w:pPr>
        <w:spacing w:after="160" w:line="276" w:lineRule="auto"/>
      </w:pPr>
      <w:r>
        <w:t>The current checked-in evaluation uses 12 held-out messages: 7 labelled legitimate and 5 labelled phishing. It is useful evidence that the evaluation workflow runs, but it is not large or representative enough to support a real-world accuracy claim.</w:t>
      </w:r>
    </w:p>
    <w:tbl>
      <w:tblPr>
        <w:tblW w:type="auto" w:w="0"/>
        <w:jc w:val="center"/>
        <w:tblLayout w:type="autofit"/>
        <w:tblLook w:firstColumn="1" w:firstRow="1" w:lastColumn="0" w:lastRow="0" w:noHBand="0" w:noVBand="1" w:val="04A0"/>
        <w:tblBorders>
          <w:top w:val="single" w:sz="6" w:space="0" w:color="D9E2E6"/>
          <w:left w:val="single" w:sz="6" w:space="0" w:color="D9E2E6"/>
          <w:bottom w:val="single" w:sz="6" w:space="0" w:color="D9E2E6"/>
          <w:right w:val="single" w:sz="6" w:space="0" w:color="D9E2E6"/>
          <w:insideH w:val="single" w:sz="6" w:space="0" w:color="D9E2E6"/>
          <w:insideV w:val="single" w:sz="6" w:space="0" w:color="D9E2E6"/>
        </w:tblBorders>
      </w:tblPr>
      <w:tblGrid>
        <w:gridCol w:w="3312"/>
        <w:gridCol w:w="3312"/>
        <w:gridCol w:w="3312"/>
      </w:tblGrid>
      <w:tr>
        <w:tc>
          <w:tcPr>
            <w:tcW w:type="dxa" w:w="3312"/>
            <w:vAlign w:val="center"/>
            <w:shd w:fill="102A43"/>
          </w:tcPr>
          <w:p>
            <w:pPr>
              <w:spacing w:after="60"/>
            </w:pPr>
            <w:r/>
            <w:r>
              <w:rPr>
                <w:rFonts w:ascii="Aptos" w:hAnsi="Aptos"/>
                <w:b/>
                <w:color w:val="FFFFFF"/>
                <w:sz w:val="20"/>
              </w:rPr>
              <w:t>Measure</w:t>
            </w:r>
          </w:p>
        </w:tc>
        <w:tc>
          <w:tcPr>
            <w:tcW w:type="dxa" w:w="3312"/>
            <w:vAlign w:val="center"/>
            <w:shd w:fill="102A43"/>
          </w:tcPr>
          <w:p>
            <w:pPr>
              <w:spacing w:after="60"/>
            </w:pPr>
            <w:r/>
            <w:r>
              <w:rPr>
                <w:rFonts w:ascii="Aptos" w:hAnsi="Aptos"/>
                <w:b/>
                <w:color w:val="FFFFFF"/>
                <w:sz w:val="20"/>
              </w:rPr>
              <w:t>Current result</w:t>
            </w:r>
          </w:p>
        </w:tc>
        <w:tc>
          <w:tcPr>
            <w:tcW w:type="dxa" w:w="3312"/>
            <w:vAlign w:val="center"/>
            <w:shd w:fill="102A43"/>
          </w:tcPr>
          <w:p>
            <w:pPr>
              <w:spacing w:after="60"/>
            </w:pPr>
            <w:r/>
            <w:r>
              <w:rPr>
                <w:rFonts w:ascii="Aptos" w:hAnsi="Aptos"/>
                <w:b/>
                <w:color w:val="FFFFFF"/>
                <w:sz w:val="20"/>
              </w:rPr>
              <w:t>Interpretation</w:t>
            </w:r>
          </w:p>
        </w:tc>
      </w:tr>
      <w:tr>
        <w:tc>
          <w:tcPr>
            <w:tcW w:type="dxa" w:w="3312"/>
            <w:vAlign w:val="center"/>
          </w:tcPr>
          <w:p>
            <w:pPr>
              <w:spacing w:after="60"/>
            </w:pPr>
            <w:r/>
            <w:r>
              <w:rPr>
                <w:rFonts w:ascii="Aptos" w:hAnsi="Aptos"/>
                <w:b w:val="0"/>
                <w:color w:val="000000"/>
                <w:sz w:val="20"/>
              </w:rPr>
              <w:t>Precision</w:t>
            </w:r>
          </w:p>
        </w:tc>
        <w:tc>
          <w:tcPr>
            <w:tcW w:type="dxa" w:w="3312"/>
            <w:vAlign w:val="center"/>
          </w:tcPr>
          <w:p>
            <w:pPr>
              <w:spacing w:after="60"/>
            </w:pPr>
            <w:r/>
            <w:r>
              <w:rPr>
                <w:rFonts w:ascii="Aptos" w:hAnsi="Aptos"/>
                <w:b w:val="0"/>
                <w:color w:val="000000"/>
                <w:sz w:val="20"/>
              </w:rPr>
              <w:t>1.000</w:t>
            </w:r>
          </w:p>
        </w:tc>
        <w:tc>
          <w:tcPr>
            <w:tcW w:type="dxa" w:w="3312"/>
            <w:vAlign w:val="center"/>
          </w:tcPr>
          <w:p>
            <w:pPr>
              <w:spacing w:after="60"/>
            </w:pPr>
            <w:r/>
            <w:r>
              <w:rPr>
                <w:rFonts w:ascii="Aptos" w:hAnsi="Aptos"/>
                <w:b w:val="0"/>
                <w:color w:val="000000"/>
                <w:sz w:val="20"/>
              </w:rPr>
              <w:t>No false positives in this small held-out set.</w:t>
            </w:r>
          </w:p>
        </w:tc>
      </w:tr>
      <w:tr>
        <w:tc>
          <w:tcPr>
            <w:tcW w:type="dxa" w:w="3312"/>
            <w:vAlign w:val="center"/>
            <w:shd w:fill="F3F7F8"/>
          </w:tcPr>
          <w:p>
            <w:pPr>
              <w:spacing w:after="60"/>
            </w:pPr>
            <w:r/>
            <w:r>
              <w:rPr>
                <w:rFonts w:ascii="Aptos" w:hAnsi="Aptos"/>
                <w:b w:val="0"/>
                <w:color w:val="000000"/>
                <w:sz w:val="20"/>
              </w:rPr>
              <w:t>Recall</w:t>
            </w:r>
          </w:p>
        </w:tc>
        <w:tc>
          <w:tcPr>
            <w:tcW w:type="dxa" w:w="3312"/>
            <w:vAlign w:val="center"/>
            <w:shd w:fill="F3F7F8"/>
          </w:tcPr>
          <w:p>
            <w:pPr>
              <w:spacing w:after="60"/>
            </w:pPr>
            <w:r/>
            <w:r>
              <w:rPr>
                <w:rFonts w:ascii="Aptos" w:hAnsi="Aptos"/>
                <w:b w:val="0"/>
                <w:color w:val="000000"/>
                <w:sz w:val="20"/>
              </w:rPr>
              <w:t>0.800</w:t>
            </w:r>
          </w:p>
        </w:tc>
        <w:tc>
          <w:tcPr>
            <w:tcW w:type="dxa" w:w="3312"/>
            <w:vAlign w:val="center"/>
            <w:shd w:fill="F3F7F8"/>
          </w:tcPr>
          <w:p>
            <w:pPr>
              <w:spacing w:after="60"/>
            </w:pPr>
            <w:r/>
            <w:r>
              <w:rPr>
                <w:rFonts w:ascii="Aptos" w:hAnsi="Aptos"/>
                <w:b w:val="0"/>
                <w:color w:val="000000"/>
                <w:sz w:val="20"/>
              </w:rPr>
              <w:t>Four of five phishing messages were detected.</w:t>
            </w:r>
          </w:p>
        </w:tc>
      </w:tr>
      <w:tr>
        <w:tc>
          <w:tcPr>
            <w:tcW w:type="dxa" w:w="3312"/>
            <w:vAlign w:val="center"/>
          </w:tcPr>
          <w:p>
            <w:pPr>
              <w:spacing w:after="60"/>
            </w:pPr>
            <w:r/>
            <w:r>
              <w:rPr>
                <w:rFonts w:ascii="Aptos" w:hAnsi="Aptos"/>
                <w:b w:val="0"/>
                <w:color w:val="000000"/>
                <w:sz w:val="20"/>
              </w:rPr>
              <w:t>F1 score</w:t>
            </w:r>
          </w:p>
        </w:tc>
        <w:tc>
          <w:tcPr>
            <w:tcW w:type="dxa" w:w="3312"/>
            <w:vAlign w:val="center"/>
          </w:tcPr>
          <w:p>
            <w:pPr>
              <w:spacing w:after="60"/>
            </w:pPr>
            <w:r/>
            <w:r>
              <w:rPr>
                <w:rFonts w:ascii="Aptos" w:hAnsi="Aptos"/>
                <w:b w:val="0"/>
                <w:color w:val="000000"/>
                <w:sz w:val="20"/>
              </w:rPr>
              <w:t>0.889</w:t>
            </w:r>
          </w:p>
        </w:tc>
        <w:tc>
          <w:tcPr>
            <w:tcW w:type="dxa" w:w="3312"/>
            <w:vAlign w:val="center"/>
          </w:tcPr>
          <w:p>
            <w:pPr>
              <w:spacing w:after="60"/>
            </w:pPr>
            <w:r/>
            <w:r>
              <w:rPr>
                <w:rFonts w:ascii="Aptos" w:hAnsi="Aptos"/>
                <w:b w:val="0"/>
                <w:color w:val="000000"/>
                <w:sz w:val="20"/>
              </w:rPr>
              <w:t>Combined precision and recall summary for this test run.</w:t>
            </w:r>
          </w:p>
        </w:tc>
      </w:tr>
      <w:tr>
        <w:tc>
          <w:tcPr>
            <w:tcW w:type="dxa" w:w="3312"/>
            <w:vAlign w:val="center"/>
            <w:shd w:fill="F3F7F8"/>
          </w:tcPr>
          <w:p>
            <w:pPr>
              <w:spacing w:after="60"/>
            </w:pPr>
            <w:r/>
            <w:r>
              <w:rPr>
                <w:rFonts w:ascii="Aptos" w:hAnsi="Aptos"/>
                <w:b w:val="0"/>
                <w:color w:val="000000"/>
                <w:sz w:val="20"/>
              </w:rPr>
              <w:t>False positives</w:t>
            </w:r>
          </w:p>
        </w:tc>
        <w:tc>
          <w:tcPr>
            <w:tcW w:type="dxa" w:w="3312"/>
            <w:vAlign w:val="center"/>
            <w:shd w:fill="F3F7F8"/>
          </w:tcPr>
          <w:p>
            <w:pPr>
              <w:spacing w:after="60"/>
            </w:pPr>
            <w:r/>
            <w:r>
              <w:rPr>
                <w:rFonts w:ascii="Aptos" w:hAnsi="Aptos"/>
                <w:b w:val="0"/>
                <w:color w:val="000000"/>
                <w:sz w:val="20"/>
              </w:rPr>
              <w:t>0</w:t>
            </w:r>
          </w:p>
        </w:tc>
        <w:tc>
          <w:tcPr>
            <w:tcW w:type="dxa" w:w="3312"/>
            <w:vAlign w:val="center"/>
            <w:shd w:fill="F3F7F8"/>
          </w:tcPr>
          <w:p>
            <w:pPr>
              <w:spacing w:after="60"/>
            </w:pPr>
            <w:r/>
            <w:r>
              <w:rPr>
                <w:rFonts w:ascii="Aptos" w:hAnsi="Aptos"/>
                <w:b w:val="0"/>
                <w:color w:val="000000"/>
                <w:sz w:val="20"/>
              </w:rPr>
              <w:t>No legitimate message was incorrectly labelled phishing in this set.</w:t>
            </w:r>
          </w:p>
        </w:tc>
      </w:tr>
      <w:tr>
        <w:tc>
          <w:tcPr>
            <w:tcW w:type="dxa" w:w="3312"/>
            <w:vAlign w:val="center"/>
          </w:tcPr>
          <w:p>
            <w:pPr>
              <w:spacing w:after="60"/>
            </w:pPr>
            <w:r/>
            <w:r>
              <w:rPr>
                <w:rFonts w:ascii="Aptos" w:hAnsi="Aptos"/>
                <w:b w:val="0"/>
                <w:color w:val="000000"/>
                <w:sz w:val="20"/>
              </w:rPr>
              <w:t>Missed scams</w:t>
            </w:r>
          </w:p>
        </w:tc>
        <w:tc>
          <w:tcPr>
            <w:tcW w:type="dxa" w:w="3312"/>
            <w:vAlign w:val="center"/>
          </w:tcPr>
          <w:p>
            <w:pPr>
              <w:spacing w:after="60"/>
            </w:pPr>
            <w:r/>
            <w:r>
              <w:rPr>
                <w:rFonts w:ascii="Aptos" w:hAnsi="Aptos"/>
                <w:b w:val="0"/>
                <w:color w:val="000000"/>
                <w:sz w:val="20"/>
              </w:rPr>
              <w:t>1</w:t>
            </w:r>
          </w:p>
        </w:tc>
        <w:tc>
          <w:tcPr>
            <w:tcW w:type="dxa" w:w="3312"/>
            <w:vAlign w:val="center"/>
          </w:tcPr>
          <w:p>
            <w:pPr>
              <w:spacing w:after="60"/>
            </w:pPr>
            <w:r/>
            <w:r>
              <w:rPr>
                <w:rFonts w:ascii="Aptos" w:hAnsi="Aptos"/>
                <w:b w:val="0"/>
                <w:color w:val="000000"/>
                <w:sz w:val="20"/>
              </w:rPr>
              <w:t>One phishing message was not detected; this must be discussed.</w:t>
            </w:r>
          </w:p>
        </w:tc>
      </w:tr>
    </w:tbl>
    <w:p>
      <w:pPr>
        <w:spacing w:after="40"/>
      </w:pPr>
    </w:p>
    <w:p>
      <w:pPr>
        <w:spacing w:after="160" w:line="276" w:lineRule="auto"/>
      </w:pPr>
      <w:r>
        <w:t>The next evaluation step is to expand the versioned dataset, freeze the test split before tuning, record provenance and label decisions, add AI-rewritten variants, and report failure cases. Explanation quality should be assessed for relevance, factual support, clarity and completeness. If participant testing is not approved or available, a documented expert-review rubric is the fallback.</w:t>
      </w:r>
    </w:p>
    <w:p>
      <w:pPr>
        <w:pStyle w:val="Heading1"/>
        <w:keepNext/>
      </w:pPr>
      <w:r>
        <w:t>7 Privacy, ethics and security boundaries</w:t>
      </w:r>
    </w:p>
    <w:p>
      <w:pPr>
        <w:pStyle w:val="ListBullet"/>
        <w:spacing w:after="60"/>
      </w:pPr>
      <w:r>
        <w:t>No live email, banking, inbox or account integration is used.</w:t>
      </w:r>
    </w:p>
    <w:p>
      <w:pPr>
        <w:pStyle w:val="ListBullet"/>
        <w:spacing w:after="60"/>
      </w:pPr>
      <w:r>
        <w:t>The project uses fictional, public or redacted examples and does not require real credentials.</w:t>
      </w:r>
    </w:p>
    <w:p>
      <w:pPr>
        <w:pStyle w:val="ListBullet"/>
        <w:spacing w:after="60"/>
      </w:pPr>
      <w:r>
        <w:t>The prototype does not visit links, verify domains, identify faces or infer an offender’s location.</w:t>
      </w:r>
    </w:p>
    <w:p>
      <w:pPr>
        <w:pStyle w:val="ListBullet"/>
        <w:spacing w:after="60"/>
      </w:pPr>
      <w:r>
        <w:t>The system must not be used as an automated financial, legal, emergency or account-blocking decision.</w:t>
      </w:r>
    </w:p>
    <w:p>
      <w:pPr>
        <w:pStyle w:val="ListBullet"/>
        <w:spacing w:after="60"/>
      </w:pPr>
      <w:r>
        <w:t>The project will not create or distribute live phishing campaigns.</w:t>
      </w:r>
    </w:p>
    <w:p>
      <w:pPr>
        <w:pStyle w:val="ListBullet"/>
        <w:spacing w:after="60"/>
      </w:pPr>
      <w:r>
        <w:t>Any future participant study requires the university ethics process before recruitment.</w:t>
      </w:r>
    </w:p>
    <w:p>
      <w:pPr>
        <w:spacing w:after="160" w:line="276" w:lineRule="auto"/>
      </w:pPr>
      <w:r>
        <w:t>These boundaries are part of the design rather than an afterthought. They reduce the risk of exposing private data and make the research claims proportionate to the evidence available.</w:t>
      </w:r>
    </w:p>
    <w:p>
      <w:pPr>
        <w:pStyle w:val="Heading1"/>
        <w:keepNext/>
      </w:pPr>
      <w:r>
        <w:t>8 Current status and next steps</w:t>
      </w:r>
    </w:p>
    <w:tbl>
      <w:tblPr>
        <w:tblW w:type="auto" w:w="0"/>
        <w:jc w:val="center"/>
        <w:tblLayout w:type="autofit"/>
        <w:tblLook w:firstColumn="1" w:firstRow="1" w:lastColumn="0" w:lastRow="0" w:noHBand="0" w:noVBand="1" w:val="04A0"/>
        <w:tblBorders>
          <w:top w:val="single" w:sz="6" w:space="0" w:color="D9E2E6"/>
          <w:left w:val="single" w:sz="6" w:space="0" w:color="D9E2E6"/>
          <w:bottom w:val="single" w:sz="6" w:space="0" w:color="D9E2E6"/>
          <w:right w:val="single" w:sz="6" w:space="0" w:color="D9E2E6"/>
          <w:insideH w:val="single" w:sz="6" w:space="0" w:color="D9E2E6"/>
          <w:insideV w:val="single" w:sz="6" w:space="0" w:color="D9E2E6"/>
        </w:tblBorders>
      </w:tblPr>
      <w:tblGrid>
        <w:gridCol w:w="4968"/>
        <w:gridCol w:w="4968"/>
      </w:tblGrid>
      <w:tr>
        <w:tc>
          <w:tcPr>
            <w:tcW w:type="dxa" w:w="4968"/>
            <w:vAlign w:val="center"/>
            <w:shd w:fill="102A43"/>
          </w:tcPr>
          <w:p>
            <w:pPr>
              <w:spacing w:after="60"/>
            </w:pPr>
            <w:r/>
            <w:r>
              <w:rPr>
                <w:rFonts w:ascii="Aptos" w:hAnsi="Aptos"/>
                <w:b/>
                <w:color w:val="FFFFFF"/>
                <w:sz w:val="20"/>
              </w:rPr>
              <w:t>Status</w:t>
            </w:r>
          </w:p>
        </w:tc>
        <w:tc>
          <w:tcPr>
            <w:tcW w:type="dxa" w:w="4968"/>
            <w:vAlign w:val="center"/>
            <w:shd w:fill="102A43"/>
          </w:tcPr>
          <w:p>
            <w:pPr>
              <w:spacing w:after="60"/>
            </w:pPr>
            <w:r/>
            <w:r>
              <w:rPr>
                <w:rFonts w:ascii="Aptos" w:hAnsi="Aptos"/>
                <w:b/>
                <w:color w:val="FFFFFF"/>
                <w:sz w:val="20"/>
              </w:rPr>
              <w:t>Work completed or required</w:t>
            </w:r>
          </w:p>
        </w:tc>
      </w:tr>
      <w:tr>
        <w:tc>
          <w:tcPr>
            <w:tcW w:type="dxa" w:w="4968"/>
            <w:vAlign w:val="center"/>
          </w:tcPr>
          <w:p>
            <w:pPr>
              <w:spacing w:after="60"/>
            </w:pPr>
            <w:r/>
            <w:r>
              <w:rPr>
                <w:rFonts w:ascii="Aptos" w:hAnsi="Aptos"/>
                <w:b w:val="0"/>
                <w:color w:val="000000"/>
                <w:sz w:val="20"/>
              </w:rPr>
              <w:t>Working</w:t>
            </w:r>
          </w:p>
        </w:tc>
        <w:tc>
          <w:tcPr>
            <w:tcW w:type="dxa" w:w="4968"/>
            <w:vAlign w:val="center"/>
          </w:tcPr>
          <w:p>
            <w:pPr>
              <w:spacing w:after="60"/>
            </w:pPr>
            <w:r/>
            <w:r>
              <w:rPr>
                <w:rFonts w:ascii="Aptos" w:hAnsi="Aptos"/>
                <w:b w:val="0"/>
                <w:color w:val="000000"/>
                <w:sz w:val="20"/>
              </w:rPr>
              <w:t>Responsive Scanner, Evidence lab, Research dashboard, local image preview, OCR route, explanation output and public-source links.</w:t>
            </w:r>
          </w:p>
        </w:tc>
      </w:tr>
      <w:tr>
        <w:tc>
          <w:tcPr>
            <w:tcW w:type="dxa" w:w="4968"/>
            <w:vAlign w:val="center"/>
            <w:shd w:fill="F3F7F8"/>
          </w:tcPr>
          <w:p>
            <w:pPr>
              <w:spacing w:after="60"/>
            </w:pPr>
            <w:r/>
            <w:r>
              <w:rPr>
                <w:rFonts w:ascii="Aptos" w:hAnsi="Aptos"/>
                <w:b w:val="0"/>
                <w:color w:val="000000"/>
                <w:sz w:val="20"/>
              </w:rPr>
              <w:t>Measured</w:t>
            </w:r>
          </w:p>
        </w:tc>
        <w:tc>
          <w:tcPr>
            <w:tcW w:type="dxa" w:w="4968"/>
            <w:vAlign w:val="center"/>
            <w:shd w:fill="F3F7F8"/>
          </w:tcPr>
          <w:p>
            <w:pPr>
              <w:spacing w:after="60"/>
            </w:pPr>
            <w:r/>
            <w:r>
              <w:rPr>
                <w:rFonts w:ascii="Aptos" w:hAnsi="Aptos"/>
                <w:b w:val="0"/>
                <w:color w:val="000000"/>
                <w:sz w:val="20"/>
              </w:rPr>
              <w:t>Held-out baseline result recorded in data/evaluation_results.json.</w:t>
            </w:r>
          </w:p>
        </w:tc>
      </w:tr>
      <w:tr>
        <w:tc>
          <w:tcPr>
            <w:tcW w:type="dxa" w:w="4968"/>
            <w:vAlign w:val="center"/>
          </w:tcPr>
          <w:p>
            <w:pPr>
              <w:spacing w:after="60"/>
            </w:pPr>
            <w:r/>
            <w:r>
              <w:rPr>
                <w:rFonts w:ascii="Aptos" w:hAnsi="Aptos"/>
                <w:b w:val="0"/>
                <w:color w:val="000000"/>
                <w:sz w:val="20"/>
              </w:rPr>
              <w:t>Needs expansion</w:t>
            </w:r>
          </w:p>
        </w:tc>
        <w:tc>
          <w:tcPr>
            <w:tcW w:type="dxa" w:w="4968"/>
            <w:vAlign w:val="center"/>
          </w:tcPr>
          <w:p>
            <w:pPr>
              <w:spacing w:after="60"/>
            </w:pPr>
            <w:r/>
            <w:r>
              <w:rPr>
                <w:rFonts w:ascii="Aptos" w:hAnsi="Aptos"/>
                <w:b w:val="0"/>
                <w:color w:val="000000"/>
                <w:sz w:val="20"/>
              </w:rPr>
              <w:t>Larger versioned dataset, AI-rewritten robustness set, explanation rubric and repeated-split or confidence-interval analysis.</w:t>
            </w:r>
          </w:p>
        </w:tc>
      </w:tr>
      <w:tr>
        <w:tc>
          <w:tcPr>
            <w:tcW w:type="dxa" w:w="4968"/>
            <w:vAlign w:val="center"/>
            <w:shd w:fill="F3F7F8"/>
          </w:tcPr>
          <w:p>
            <w:pPr>
              <w:spacing w:after="60"/>
            </w:pPr>
            <w:r/>
            <w:r>
              <w:rPr>
                <w:rFonts w:ascii="Aptos" w:hAnsi="Aptos"/>
                <w:b w:val="0"/>
                <w:color w:val="000000"/>
                <w:sz w:val="20"/>
              </w:rPr>
              <w:t>Before final submission</w:t>
            </w:r>
          </w:p>
        </w:tc>
        <w:tc>
          <w:tcPr>
            <w:tcW w:type="dxa" w:w="4968"/>
            <w:vAlign w:val="center"/>
            <w:shd w:fill="F3F7F8"/>
          </w:tcPr>
          <w:p>
            <w:pPr>
              <w:spacing w:after="60"/>
            </w:pPr>
            <w:r/>
            <w:r>
              <w:rPr>
                <w:rFonts w:ascii="Aptos" w:hAnsi="Aptos"/>
                <w:b w:val="0"/>
                <w:color w:val="000000"/>
                <w:sz w:val="20"/>
              </w:rPr>
              <w:t>Recheck public figures, complete bibliography, document the generative-AI log, finalise the risk register and include reproducible commands.</w:t>
            </w:r>
          </w:p>
        </w:tc>
      </w:tr>
    </w:tbl>
    <w:p>
      <w:pPr>
        <w:spacing w:after="40"/>
      </w:pPr>
    </w:p>
    <w:p>
      <w:pPr>
        <w:pStyle w:val="Heading1"/>
        <w:keepNext/>
      </w:pPr>
      <w:r>
        <w:t>References and project documents</w:t>
      </w:r>
    </w:p>
    <w:p>
      <w:pPr>
        <w:pStyle w:val="ListBullet"/>
        <w:spacing w:after="60"/>
      </w:pPr>
      <w:r>
        <w:t>National Cyber Security Centre, Phishing scams: how to spot and report them: https://www.ncsc.gov.uk/collection/phishing-scams/spot-scams</w:t>
      </w:r>
    </w:p>
    <w:p>
      <w:pPr>
        <w:pStyle w:val="ListBullet"/>
        <w:spacing w:after="60"/>
      </w:pPr>
      <w:r>
        <w:t>Office for National Statistics, Fraud and computer misuse in England and Wales, year ending March 2025: https://www.ons.gov.uk/peoplepopulationandcommunity/crimeandjustice/articles/fraudandcomputermisuseinenglandandwales/yearendingmarch2025</w:t>
      </w:r>
    </w:p>
    <w:p>
      <w:pPr>
        <w:pStyle w:val="ListBullet"/>
        <w:spacing w:after="60"/>
      </w:pPr>
      <w:r>
        <w:t>Home Office, Fraud Strategy 2026 to 2029: https://www.gov.uk/government/publications/fraud-strategy-2026-to-2029</w:t>
      </w:r>
    </w:p>
    <w:p>
      <w:pPr>
        <w:pStyle w:val="ListBullet"/>
        <w:spacing w:after="60"/>
      </w:pPr>
      <w:r>
        <w:t>Project technical notes: docs/model_card.md, docs/evaluation_plan.md, docs/data_provenance.md, docs/multimodal_evidence_method.md and docs/ethics_and_scope.md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D8B"/>
        <w:sz w:val="16"/>
      </w:rPr>
      <w:t>Osita Michael  ·  Level 6 Production Project  ·  02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8F88"/>
        <w:sz w:val="16"/>
      </w:rPr>
      <w:t>SCAMSHIELD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B8F88"/>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