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19:51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rPr>
          <w:bCs/>
          <w:b/>
        </w:rP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- Exploring the influence of international and linguistic borders, with a particular focus on the modern history of Yugoslavia.</w:t>
      </w:r>
      <w:r>
        <w:br/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- Advocating for equitable access to education by presenting academic papers at conferences on the topics of educational and linguistic rights.</w:t>
      </w:r>
      <w:r>
        <w:br/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- Promoting the use of inclusive language in technical writing and focusing on individual capabilities over preconceived labels.</w:t>
      </w:r>
      <w:r>
        <w:br/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- 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2025-08-20T19:53:21Z</dcterms:created>
  <dcterms:modified xsi:type="dcterms:W3CDTF">2025-08-20T19:53:21Z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