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 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</w:p>
    <w:p>
      <w:pPr>
        <w:pStyle w:val="BodyText"/>
      </w:pPr>
      <w:r>
        <w:rPr>
          <w:iCs/>
          <w:i/>
        </w:rPr>
        <w:t xml:space="preserve">Last updated: 20 August 2025 at 14:30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Upper-Intermediate / 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 (including Markdown)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and focusing on individual capabilities over preconceived labels.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Mobility:</w:t>
      </w:r>
      <w:r>
        <w:t xml:space="preserve"> </w:t>
      </w:r>
      <w:r>
        <w:t xml:space="preserve">Holder of a full Category B driving licence and available for work-related travel as required.</w:t>
      </w:r>
    </w:p>
    <w:bookmarkEnd w:id="33"/>
    <w:bookmarkEnd w:id="34"/>
    <w:sectPr w:rsidR="00713DE4" w:rsidRPr="005966BF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797A10"/>
    <w:pPr>
      <w:pBdr>
        <w:bottom w:color="auto" w:space="1" w:sz="4" w:val="single"/>
      </w:pBdr>
      <w:spacing w:after="10pt" w:before="14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797A10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0139DA"/>
    <w:pPr>
      <w:numPr>
        <w:numId w:val="1"/>
      </w:numPr>
      <w:spacing w:after="0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2025-08-20T14:32:35Z</dcterms:created>
  <dcterms:modified xsi:type="dcterms:W3CDTF">2025-08-20T14:32:35Z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