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ichael-forbes"/>
    <w:p>
      <w:pPr>
        <w:pStyle w:val="Heading1"/>
      </w:pPr>
      <w:r>
        <w:t xml:space="preserve">Michael Forbes</w:t>
      </w:r>
    </w:p>
    <w:p>
      <w:pPr>
        <w:pStyle w:val="FirstParagraph"/>
      </w:pPr>
      <w:r>
        <w:rPr>
          <w:iCs/>
          <w:i/>
        </w:rPr>
        <w:t xml:space="preserve">Technical Communications &amp; Marketing Strategist</w:t>
      </w:r>
    </w:p>
    <w:p>
      <w:pPr>
        <w:pStyle w:val="BodyText"/>
      </w:pPr>
      <w:r>
        <w:t xml:space="preserve">Czernica, Wrocław County, Poland | +48 722 369 494 | m.forbes2008@gmail.com |</w:t>
      </w:r>
      <w:r>
        <w:t xml:space="preserve"> </w:t>
      </w:r>
      <w:hyperlink r:id="rId20">
        <w:r>
          <w:rPr>
            <w:rStyle w:val="Hyperlink"/>
          </w:rPr>
          <w:t xml:space="preserve">linkedin.com/in/1michaelforbes</w:t>
        </w:r>
      </w:hyperlink>
      <w:r>
        <w:t xml:space="preserve"> </w:t>
      </w:r>
      <w:r>
        <w:t xml:space="preserve">Portfolio: github.com/michaelforbes-open/public_CV</w:t>
      </w:r>
    </w:p>
    <w:p>
      <w:pPr>
        <w:pStyle w:val="BodyText"/>
      </w:pPr>
      <w:r>
        <w:rPr>
          <w:iCs/>
          <w:i/>
        </w:rPr>
        <w:t xml:space="preserve">Dual British &amp; Polish Citizen | Full right to work in the UK &amp; EU without restriction, work permit not needed or required</w:t>
      </w:r>
    </w:p>
    <w:p>
      <w:pPr>
        <w:pStyle w:val="BodyText"/>
      </w:pPr>
      <w:r>
        <w:rPr>
          <w:iCs/>
          <w:i/>
        </w:rPr>
        <w:t xml:space="preserve">Last updated: 21 August 2025 at 09:46 UTC</w:t>
      </w:r>
    </w:p>
    <w:p>
      <w:r>
        <w:pict>
          <v:rect style="width:0;height:1.5pt" o:hralign="center" o:hrstd="t" o:hr="t"/>
        </w:pict>
      </w:r>
    </w:p>
    <w:bookmarkStart w:id="2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A Technical Communications &amp; Marketing Strategist who drives revenue and investment by translating complex technical concepts into clear, compelling narratives. Proven success in authoring high-stakes documentation for major industry leaders for internal and external use, developing multi-million euro project proposals, and leading international market expansion. An expert liaison who ensures that engineering, sales, and leadership teams are perfectly aligned.</w:t>
      </w:r>
    </w:p>
    <w:p>
      <w:pPr>
        <w:pStyle w:val="BodyText"/>
      </w:pPr>
      <w:r>
        <w:rPr>
          <w:bCs/>
          <w:b/>
        </w:rPr>
        <w:t xml:space="preserve">Key Project Highlight: Tallinn Edutainment Attraction &amp; Linnahall Redevelopment</w:t>
      </w:r>
      <w:r>
        <w:br/>
      </w:r>
      <w:r>
        <w:t xml:space="preserve">- Led the conceptual design for a €150M edutainment attraction, incorporating a large oceanarium and a hotel on wasteland adjacent to the Port of Tallinn, integrating the redevelopment of the historic Linnahall.</w:t>
      </w:r>
      <w:r>
        <w:br/>
      </w:r>
      <w:r>
        <w:t xml:space="preserve">- Authored the complete project framework, from initial architectural concepts to a detailed investment plan, securing high-level interest with the official support of the Polish government.</w:t>
      </w:r>
      <w:r>
        <w:br/>
      </w:r>
      <w:r>
        <w:t xml:space="preserve">- Pioneered the project and secured foundational buy-in from the Estonian Government, the Port of Tallinn, and international investors, bringing the initiative to a successful hand-off point for formal negotiations.</w:t>
      </w:r>
    </w:p>
    <w:p>
      <w:r>
        <w:pict>
          <v:rect style="width:0;height:1.5pt" o:hralign="center" o:hrstd="t" o:hr="t"/>
        </w:pict>
      </w:r>
    </w:p>
    <w:bookmarkEnd w:id="21"/>
    <w:bookmarkStart w:id="27" w:name="work-experience"/>
    <w:p>
      <w:pPr>
        <w:pStyle w:val="Heading2"/>
      </w:pPr>
      <w:r>
        <w:t xml:space="preserve">Work Experience</w:t>
      </w:r>
    </w:p>
    <w:bookmarkStart w:id="22" w:name="X595afec9c7c4f62d31c4f8045d975cee75a3dcf"/>
    <w:p>
      <w:pPr>
        <w:pStyle w:val="Heading3"/>
      </w:pPr>
      <w:r>
        <w:rPr>
          <w:bCs/>
          <w:b/>
        </w:rPr>
        <w:t xml:space="preserve">Marketing Specialist</w:t>
      </w:r>
      <w:r>
        <w:t xml:space="preserve"> </w:t>
      </w:r>
      <w:r>
        <w:t xml:space="preserve">| Kiwee Software, Wrocław, Poland</w:t>
      </w:r>
    </w:p>
    <w:p>
      <w:pPr>
        <w:pStyle w:val="FirstParagraph"/>
      </w:pPr>
      <w:r>
        <w:rPr>
          <w:iCs/>
          <w:i/>
        </w:rPr>
        <w:t xml:space="preserve">April – July 2025</w:t>
      </w:r>
      <w:r>
        <w:br/>
      </w:r>
      <w:r>
        <w:t xml:space="preserve">- Drove a 50% increase in LinkedIn followers within six weeks through targeted content creation and engagement strategies.</w:t>
      </w:r>
      <w:r>
        <w:br/>
      </w:r>
      <w:r>
        <w:t xml:space="preserve">- Authored in-depth technical blog posts on complex software subjects to enhance the company’s content marketing efforts.</w:t>
      </w:r>
      <w:r>
        <w:br/>
      </w:r>
      <w:r>
        <w:t xml:space="preserve">- Proactively implemented and managed key analytics tools, including HotJar and Ahrefs, to generate actionable market and user behavior insights.</w:t>
      </w:r>
      <w:r>
        <w:br/>
      </w:r>
      <w:r>
        <w:t xml:space="preserve">- Identified and presented new market growth opportunities and potential client leads during strategic planning meetings.</w:t>
      </w:r>
    </w:p>
    <w:bookmarkEnd w:id="22"/>
    <w:bookmarkStart w:id="23" w:name="Xf3b5b178a013c63f9ddcdf568802ede1b4db782"/>
    <w:p>
      <w:pPr>
        <w:pStyle w:val="Heading3"/>
      </w:pPr>
      <w:r>
        <w:rPr>
          <w:bCs/>
          <w:b/>
        </w:rPr>
        <w:t xml:space="preserve">Technical Writer II</w:t>
      </w:r>
      <w:r>
        <w:t xml:space="preserve"> </w:t>
      </w:r>
      <w:r>
        <w:t xml:space="preserve">| Antmicro, Wrocław, Poland</w:t>
      </w:r>
    </w:p>
    <w:p>
      <w:pPr>
        <w:pStyle w:val="FirstParagraph"/>
      </w:pPr>
      <w:r>
        <w:rPr>
          <w:iCs/>
          <w:i/>
        </w:rPr>
        <w:t xml:space="preserve">November 2023 – March 2025</w:t>
      </w:r>
      <w:r>
        <w:br/>
      </w:r>
      <w:r>
        <w:t xml:space="preserve">- Authored a diverse range of highly technical content, from public-facing blog posts to in-depth documentation for prominent open-source software (Renode), open hardware baseboards, and confidential projects for internal and external use within the RISC-V ecosystem.</w:t>
      </w:r>
      <w:r>
        <w:br/>
      </w:r>
      <w:r>
        <w:t xml:space="preserve">- Collaborated effectively with cross-functional engineering teams (Software, Hardware, AI) to translate intricate technical concepts into clear and engaging content.</w:t>
      </w:r>
      <w:r>
        <w:br/>
      </w:r>
      <w:r>
        <w:t xml:space="preserve">- Demonstrated an ability for rapid learning by quickly mastering difficult subjects under tight deadlines, minimizing developer time and ensuring on-time delivery.</w:t>
      </w:r>
      <w:r>
        <w:br/>
      </w:r>
      <w:r>
        <w:t xml:space="preserve">- Forged a strong partnership with the sales department to align content strategy with business objectives, transforming technical blogs into effective sales enablement tools.</w:t>
      </w:r>
    </w:p>
    <w:bookmarkEnd w:id="23"/>
    <w:bookmarkStart w:id="24" w:name="Xbb559eb1278d3b848afe70c7dd76485eec83eed"/>
    <w:p>
      <w:pPr>
        <w:pStyle w:val="Heading3"/>
      </w:pPr>
      <w:r>
        <w:rPr>
          <w:bCs/>
          <w:b/>
        </w:rPr>
        <w:t xml:space="preserve">English Teacher</w:t>
      </w:r>
      <w:r>
        <w:t xml:space="preserve"> </w:t>
      </w:r>
      <w:r>
        <w:t xml:space="preserve">| Calineczka i Przyjaciele, Kamieniec Wrocławski, Poland</w:t>
      </w:r>
    </w:p>
    <w:p>
      <w:pPr>
        <w:pStyle w:val="FirstParagraph"/>
      </w:pPr>
      <w:r>
        <w:rPr>
          <w:iCs/>
          <w:i/>
        </w:rPr>
        <w:t xml:space="preserve">September 2020 – August 2023</w:t>
      </w:r>
      <w:r>
        <w:br/>
      </w:r>
      <w:r>
        <w:rPr>
          <w:iCs/>
          <w:i/>
        </w:rPr>
        <w:t xml:space="preserve">(Undertaken part-time to maintain teaching qualifications before transitioning to full-time)</w:t>
      </w:r>
      <w:r>
        <w:br/>
      </w:r>
      <w:r>
        <w:t xml:space="preserve">- Developed and customized educational content and learning frameworks for multiple groups.</w:t>
      </w:r>
      <w:r>
        <w:br/>
      </w:r>
      <w:r>
        <w:t xml:space="preserve">- Executed community marketing and public relations initiatives, representing the brand at public events to drive engagement and enrollment.</w:t>
      </w:r>
      <w:r>
        <w:br/>
      </w:r>
      <w:r>
        <w:t xml:space="preserve">- Managed international partnership projects through the eTwinning platform, fostering cross-cultural collaboration.</w:t>
      </w:r>
    </w:p>
    <w:bookmarkEnd w:id="24"/>
    <w:bookmarkStart w:id="25" w:name="X064f8f0c05f527b12fd85258a6d7fb9624ba365"/>
    <w:p>
      <w:pPr>
        <w:pStyle w:val="Heading3"/>
      </w:pPr>
      <w:r>
        <w:rPr>
          <w:bCs/>
          <w:b/>
        </w:rPr>
        <w:t xml:space="preserve">Key Account Manager &amp; Technical Writer</w:t>
      </w:r>
      <w:r>
        <w:t xml:space="preserve"> </w:t>
      </w:r>
      <w:r>
        <w:t xml:space="preserve">| PFI Global, Wrocław, Poland</w:t>
      </w:r>
    </w:p>
    <w:p>
      <w:pPr>
        <w:pStyle w:val="FirstParagraph"/>
      </w:pPr>
      <w:r>
        <w:rPr>
          <w:iCs/>
          <w:i/>
        </w:rPr>
        <w:t xml:space="preserve">March 2016 – September 2022</w:t>
      </w:r>
      <w:r>
        <w:br/>
      </w:r>
      <w:r>
        <w:t xml:space="preserve">- Translated high-level business and government objectives into tangible project proposals for edutainment attractions valued between €10M and €200M.</w:t>
      </w:r>
      <w:r>
        <w:br/>
      </w:r>
      <w:r>
        <w:t xml:space="preserve">- Spearheaded the launch of a tourism ticketing startup, acquiring nearly 100 international partners within three months of launch, and leading expansion into Germany and the Czech Republic by managing all English-language content and forging partnerships with regional tourism boards and key attractions.</w:t>
      </w:r>
      <w:r>
        <w:br/>
      </w:r>
      <w:r>
        <w:t xml:space="preserve">- Liaised and negotiated with high-level stakeholders, including international, provincial, and local government bodies throughout Europe.</w:t>
      </w:r>
      <w:r>
        <w:br/>
      </w:r>
      <w:r>
        <w:t xml:space="preserve">- Authored, translated, and localized a diverse range of technical and marketing materials from Polish to English to support business development efforts.</w:t>
      </w:r>
    </w:p>
    <w:bookmarkEnd w:id="25"/>
    <w:bookmarkStart w:id="26" w:name="X7bc92e8bbce3169f38d1acb5548df894796bc2d"/>
    <w:p>
      <w:pPr>
        <w:pStyle w:val="Heading3"/>
      </w:pPr>
      <w:r>
        <w:rPr>
          <w:bCs/>
          <w:b/>
        </w:rPr>
        <w:t xml:space="preserve">Head of English &amp; E-Learning Coordinator</w:t>
      </w:r>
      <w:r>
        <w:t xml:space="preserve"> </w:t>
      </w:r>
      <w:r>
        <w:t xml:space="preserve">| John Dewey School, Oborniki, Poland</w:t>
      </w:r>
    </w:p>
    <w:p>
      <w:pPr>
        <w:pStyle w:val="FirstParagraph"/>
      </w:pPr>
      <w:r>
        <w:rPr>
          <w:iCs/>
          <w:i/>
        </w:rPr>
        <w:t xml:space="preserve">September 2011 – March 2016</w:t>
      </w:r>
      <w:r>
        <w:br/>
      </w:r>
      <w:r>
        <w:t xml:space="preserve">- Played a key leadership role in a startup bilingual school, shaping the strategy and growth of the English department from the ground up.</w:t>
      </w:r>
      <w:r>
        <w:br/>
      </w:r>
      <w:r>
        <w:t xml:space="preserve">- Spearheaded the design and implementation of a school-wide Moodle e-learning platform, utilized by over 90% of students on a regular basis to improve engagement and access to resources.</w:t>
      </w:r>
      <w:r>
        <w:br/>
      </w:r>
      <w:r>
        <w:t xml:space="preserve">- Led and managed a diverse team of foreign language teachers (English, Spanish, and German), overseeing the full recruitment, onboarding, and professional development lifecycle.</w:t>
      </w:r>
      <w:r>
        <w:br/>
      </w:r>
      <w:r>
        <w:t xml:space="preserve">- Secured EU funding (eTwinning) to lead international teacher mobility and professional development projects, including study trips to Finland and the UK.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ducation"/>
    <w:p>
      <w:pPr>
        <w:pStyle w:val="Heading2"/>
      </w:pPr>
      <w:r>
        <w:t xml:space="preserve">Education</w:t>
      </w:r>
    </w:p>
    <w:bookmarkStart w:id="28" w:name="Xebb1f3f2b93a5f32a289dc3ee177e5bd15aaafc"/>
    <w:p>
      <w:pPr>
        <w:pStyle w:val="Heading3"/>
      </w:pPr>
      <w:r>
        <w:rPr>
          <w:bCs/>
          <w:b/>
        </w:rPr>
        <w:t xml:space="preserve">MA in English Philology (Pedagogy Specialism)</w:t>
      </w:r>
      <w:r>
        <w:t xml:space="preserve"> </w:t>
      </w:r>
      <w:r>
        <w:t xml:space="preserve">| Adam Mickiewicz University, Poznań, Poland</w:t>
      </w:r>
    </w:p>
    <w:p>
      <w:pPr>
        <w:pStyle w:val="FirstParagraph"/>
      </w:pPr>
      <w:r>
        <w:rPr>
          <w:iCs/>
          <w:i/>
        </w:rPr>
        <w:t xml:space="preserve">2021 – 2023</w:t>
      </w:r>
      <w:r>
        <w:br/>
      </w:r>
      <w:r>
        <w:t xml:space="preserve">- All coursework completed; degree to be conferred upon thesis defense.</w:t>
      </w:r>
    </w:p>
    <w:bookmarkEnd w:id="28"/>
    <w:bookmarkStart w:id="29" w:name="X1edd3800ac902f8b4cc1d1caefd88dcaa249461"/>
    <w:p>
      <w:pPr>
        <w:pStyle w:val="Heading3"/>
      </w:pPr>
      <w:r>
        <w:rPr>
          <w:bCs/>
          <w:b/>
        </w:rPr>
        <w:t xml:space="preserve">BA in English Philology (Pedagogy Specialism)</w:t>
      </w:r>
      <w:r>
        <w:t xml:space="preserve"> </w:t>
      </w:r>
      <w:r>
        <w:t xml:space="preserve">| Adam Mickiewicz University, Poznań, Poland</w:t>
      </w:r>
    </w:p>
    <w:p>
      <w:pPr>
        <w:pStyle w:val="FirstParagraph"/>
      </w:pPr>
      <w:r>
        <w:rPr>
          <w:iCs/>
          <w:i/>
        </w:rPr>
        <w:t xml:space="preserve">2016 – 2020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Languages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English:</w:t>
      </w:r>
      <w:r>
        <w:t xml:space="preserve"> </w:t>
      </w:r>
      <w:r>
        <w:t xml:space="preserve">Native / C2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Scots:</w:t>
      </w:r>
      <w:r>
        <w:t xml:space="preserve"> </w:t>
      </w:r>
      <w:r>
        <w:t xml:space="preserve">Native / C2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Polish:</w:t>
      </w:r>
      <w:r>
        <w:t xml:space="preserve"> </w:t>
      </w:r>
      <w:r>
        <w:t xml:space="preserve">Intermediate / B1-B2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Catalan:</w:t>
      </w:r>
      <w:r>
        <w:t xml:space="preserve"> </w:t>
      </w:r>
      <w:r>
        <w:t xml:space="preserve">Basic / A1</w:t>
      </w:r>
    </w:p>
    <w:p>
      <w:pPr>
        <w:pStyle w:val="BodyText"/>
      </w:pPr>
      <w:r>
        <w:rPr>
          <w:bCs/>
          <w:b/>
        </w:rPr>
        <w:t xml:space="preserve">Technical &amp; Marketing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Content &amp; Strategy:</w:t>
      </w:r>
      <w:r>
        <w:t xml:space="preserve"> </w:t>
      </w:r>
      <w:r>
        <w:t xml:space="preserve">Technical Writing, Content Strategy, Social Media Management, Sales Enablement, SEO, Copywriting &amp; Editing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Marketing &amp; Analytics Tools:</w:t>
      </w:r>
      <w:r>
        <w:t xml:space="preserve"> </w:t>
      </w:r>
      <w:r>
        <w:t xml:space="preserve">Google Analytics, Ahrefs, HotJar, Mailchimp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Developer &amp; IT Tools:</w:t>
      </w:r>
      <w:r>
        <w:t xml:space="preserve"> </w:t>
      </w:r>
      <w:r>
        <w:t xml:space="preserve">Linux (Debian-based), Git, Jira, VSCode (including Markdown)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Productivity Suites:</w:t>
      </w:r>
      <w:r>
        <w:t xml:space="preserve"> </w:t>
      </w:r>
      <w:r>
        <w:t xml:space="preserve">Google Workspace (including AI-powered task creation and automation with Gemini), Microsoft Office</w:t>
      </w:r>
    </w:p>
    <w:p>
      <w:pPr>
        <w:pStyle w:val="BodyText"/>
      </w:pPr>
      <w:r>
        <w:rPr>
          <w:bCs/>
          <w:b/>
        </w:rPr>
        <w:t xml:space="preserve">Core Competencies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Technical &amp; Stakeholder Communication:</w:t>
      </w:r>
      <w:r>
        <w:t xml:space="preserve"> </w:t>
      </w:r>
      <w:r>
        <w:t xml:space="preserve">Expertly translating complex technical information for non-technical audiences, including investors, government officials, and sales teams while accurately conveying business requirements to engineering teams.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Conceptual Project Development:</w:t>
      </w:r>
      <w:r>
        <w:t xml:space="preserve"> </w:t>
      </w:r>
      <w:r>
        <w:t xml:space="preserve">Designing complex, large-scale projects from initial concept through to a full investment proposal.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Stakeholder Engagement &amp; Management:</w:t>
      </w:r>
      <w:r>
        <w:t xml:space="preserve"> </w:t>
      </w:r>
      <w:r>
        <w:t xml:space="preserve">Building and maintaining relationships with diverse partners, including government bodies, investors, and technical teams.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Cross-Cultural Communication:</w:t>
      </w:r>
      <w:r>
        <w:t xml:space="preserve"> </w:t>
      </w:r>
      <w:r>
        <w:t xml:space="preserve">Leveraging exceptional intercultural skills to build rapport and facilitate negotiations with global partners.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Customer Education Strategy:</w:t>
      </w:r>
      <w:r>
        <w:t xml:space="preserve"> </w:t>
      </w:r>
      <w:r>
        <w:t xml:space="preserve">Framing marketing and technical content to inform and empower potential clients.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Public Speaking &amp; Presentation</w:t>
      </w:r>
    </w:p>
    <w:p>
      <w:r>
        <w:pict>
          <v:rect style="width:0;height:1.5pt" o:hralign="center" o:hrstd="t" o:hr="t"/>
        </w:pict>
      </w:r>
    </w:p>
    <w:bookmarkEnd w:id="31"/>
    <w:bookmarkStart w:id="32" w:name="interests-causes"/>
    <w:p>
      <w:pPr>
        <w:pStyle w:val="Heading2"/>
      </w:pPr>
      <w:r>
        <w:t xml:space="preserve">Interests &amp; Causes</w:t>
      </w:r>
    </w:p>
    <w:p>
      <w:pPr>
        <w:pStyle w:val="FirstParagraph"/>
      </w:pPr>
      <w:r>
        <w:rPr>
          <w:bCs/>
          <w:b/>
        </w:rPr>
        <w:t xml:space="preserve">Analysis and research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Cultural &amp; Historical Analysis:</w:t>
      </w:r>
      <w:r>
        <w:t xml:space="preserve"> </w:t>
      </w:r>
      <w:r>
        <w:t xml:space="preserve">Exploring the influence of international and linguistic borders, with a particular focus on the modern history of Yugoslavia.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Educational Equity &amp; Research:</w:t>
      </w:r>
      <w:r>
        <w:t xml:space="preserve"> </w:t>
      </w:r>
      <w:r>
        <w:t xml:space="preserve">Advocating for equitable access to education by presenting academic papers at conferences on the topics of educational and linguistic rights.</w:t>
      </w:r>
    </w:p>
    <w:p>
      <w:pPr>
        <w:pStyle w:val="BodyText"/>
      </w:pPr>
      <w:r>
        <w:rPr>
          <w:bCs/>
          <w:b/>
        </w:rPr>
        <w:t xml:space="preserve">Advocacy and volunteering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Neurodiversity &amp; Disability Advocacy:</w:t>
      </w:r>
      <w:r>
        <w:t xml:space="preserve"> </w:t>
      </w:r>
      <w:r>
        <w:t xml:space="preserve">Promoting the use of inclusive language in technical writing and focusing on individual capabilities over preconceived labels.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Endurance Cycling &amp; Community Tutoring:</w:t>
      </w:r>
      <w:r>
        <w:t xml:space="preserve"> </w:t>
      </w:r>
      <w:r>
        <w:t xml:space="preserve">Exploring off-the-beaten-path trails and volunteering as an English tutor for local children.</w:t>
      </w:r>
    </w:p>
    <w:p>
      <w:r>
        <w:pict>
          <v:rect style="width:0;height:1.5pt" o:hralign="center" o:hrstd="t" o:hr="t"/>
        </w:pict>
      </w:r>
    </w:p>
    <w:bookmarkEnd w:id="32"/>
    <w:bookmarkStart w:id="33" w:name="additional-information"/>
    <w:p>
      <w:pPr>
        <w:pStyle w:val="Heading2"/>
      </w:pPr>
      <w:r>
        <w:t xml:space="preserve">Additional Information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Mobility:</w:t>
      </w:r>
      <w:r>
        <w:t xml:space="preserve"> </w:t>
      </w:r>
      <w:r>
        <w:t xml:space="preserve">Holder of a full, clean Category B driving licence and available for work-related travel as required.</w:t>
      </w:r>
    </w:p>
    <w:bookmarkEnd w:id="33"/>
    <w:bookmarkEnd w:id="34"/>
    <w:sectPr w:rsidR="00713DE4" w:rsidRPr="005966BF">
      <w:pgSz w:h="841.90pt" w:w="595.30pt"/>
      <w:pgMar w:bottom="72pt" w:footer="35.40pt" w:gutter="0pt" w:header="35.40pt" w:left="72pt" w:right="72pt" w:top="72pt"/>
      <w:cols w:space="35.40pt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purl.oclc.org/ooxml/officeDocument/math" xmlns:mc="http://schemas.openxmlformats.org/markup-compatibility/2006" xmlns:o="urn:schemas-microsoft-com:office:office" xmlns:oel="http://schemas.microsoft.com/office/2019/extlst" xmlns:r="http://purl.oclc.org/ooxml/officeDocument/relationships" xmlns:v="urn:schemas-microsoft-com:vml" xmlns:w="http://purl.oclc.org/ooxml/wordprocessingml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purl.oclc.org/ooxml/drawingml/wordprocessingDrawing" xmlns:wp14="http://schemas.microsoft.com/office/word/2010/wordprocessingDrawing" xmlns:wpi="http://schemas.microsoft.com/office/word/2010/wordprocessingInk" mc:Ignorable="w14 w15 w16se w16cid w16 w16cex w16sdtdh w16sdtfl w16du wne wp14">
  <w:abstractNum w:abstractNumId="0" w15:restartNumberingAfterBreak="0">
    <w:nsid w:val="FFFFFF83"/>
    <w:multiLevelType w:val="singleLevel"/>
    <w:tmpl w:val="FD1A89EC"/>
    <w:lvl w:ilvl="0">
      <w:start w:val="1"/>
      <w:numFmt w:val="bullet"/>
      <w:pStyle w:val="ListBullet2"/>
      <w:lvlText w:val=""/>
      <w:lvlJc w:val="start"/>
      <w:pPr>
        <w:tabs>
          <w:tab w:pos="32.15pt" w:val="num"/>
        </w:tabs>
        <w:ind w:hanging="18pt" w:start="32.15pt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8662D81C"/>
    <w:lvl w:ilvl="0">
      <w:start w:val="1"/>
      <w:numFmt w:val="decimal"/>
      <w:pStyle w:val="ListNumber"/>
      <w:lvlText w:val="%1."/>
      <w:lvlJc w:val="start"/>
      <w:pPr>
        <w:tabs>
          <w:tab w:pos="18pt" w:val="num"/>
        </w:tabs>
        <w:ind w:hanging="18pt" w:start="18pt"/>
      </w:pPr>
    </w:lvl>
  </w:abstractNum>
  <w:abstractNum w:abstractNumId="2" w15:restartNumberingAfterBreak="0">
    <w:nsid w:val="FFFFFF89"/>
    <w:multiLevelType w:val="singleLevel"/>
    <w:tmpl w:val="3618B0A2"/>
    <w:lvl w:ilvl="0">
      <w:start w:val="1"/>
      <w:numFmt w:val="bullet"/>
      <w:pStyle w:val="ListBullet"/>
      <w:lvlText w:val=""/>
      <w:lvlJc w:val="start"/>
      <w:pPr>
        <w:tabs>
          <w:tab w:pos="18pt" w:val="num"/>
        </w:tabs>
        <w:ind w:hanging="18pt" w:start="18pt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45811164">
    <w:abstractNumId w:val="2"/>
  </w:num>
  <w:num w:numId="2" w16cid:durableId="1970476543">
    <w:abstractNumId w:val="0"/>
  </w:num>
  <w:num w:numId="3" w16cid:durableId="821123432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%"/>
  <w:proofState w:spelling="clean"/>
  <w:defaultTabStop w:val="36pt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decimalSymbol w:val="."/>
  <w:listSeparator w:val=",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en-GB"/>
        <w14:ligatures w14:val="standardContextual"/>
      </w:rPr>
    </w:rPrDefault>
    <w:pPrDefault>
      <w:pPr>
        <w:spacing w:after="8pt" w:line="12.95pt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C5CD4"/>
    <w:pPr>
      <w:spacing w:line="12pt" w:lineRule="auto"/>
    </w:pPr>
  </w:style>
  <w:style w:styleId="Heading1" w:type="paragraph">
    <w:name w:val="heading 1"/>
    <w:basedOn w:val="Normal"/>
    <w:next w:val="Normal"/>
    <w:link w:val="Heading1Char"/>
    <w:uiPriority w:val="9"/>
    <w:qFormat/>
    <w:rsid w:val="00797A10"/>
    <w:pPr>
      <w:keepNext/>
      <w:keepLines/>
      <w:spacing w:after="4pt" w:before="18pt"/>
      <w:jc w:val="center"/>
      <w:outlineLvl w:val="0"/>
    </w:pPr>
    <w:rPr>
      <w:rFonts w:asciiTheme="majorHAnsi" w:cstheme="majorBidi" w:eastAsiaTheme="majorEastAsia" w:hAnsiTheme="majorHAnsi"/>
      <w:sz w:val="48"/>
      <w:szCs w:val="40"/>
    </w:rPr>
  </w:style>
  <w:style w:styleId="Heading2" w:type="paragraph">
    <w:name w:val="heading 2"/>
    <w:basedOn w:val="Heading1"/>
    <w:next w:val="Normal"/>
    <w:link w:val="Heading2Char"/>
    <w:uiPriority w:val="9"/>
    <w:unhideWhenUsed/>
    <w:qFormat/>
    <w:rsid w:val="00797A10"/>
    <w:pPr>
      <w:pBdr>
        <w:bottom w:color="auto" w:space="1" w:sz="4" w:val="single"/>
      </w:pBdr>
      <w:spacing w:after="10pt" w:before="14pt"/>
      <w:outlineLvl w:val="1"/>
    </w:pPr>
    <w:rPr>
      <w:b/>
      <w:color w:themeColor="accent1" w:themeShade="80" w:val="1F3864"/>
      <w:sz w:val="32"/>
      <w:szCs w:val="32"/>
    </w:rPr>
  </w:style>
  <w:style w:styleId="Heading3" w:type="paragraph">
    <w:name w:val="heading 3"/>
    <w:basedOn w:val="Heading1"/>
    <w:next w:val="Normal"/>
    <w:link w:val="Heading3Char"/>
    <w:uiPriority w:val="9"/>
    <w:unhideWhenUsed/>
    <w:qFormat/>
    <w:rsid w:val="00797A10"/>
    <w:pPr>
      <w:spacing w:before="8pt"/>
      <w:outlineLvl w:val="2"/>
    </w:pPr>
    <w:rPr>
      <w:b/>
      <w:sz w:val="24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797A10"/>
    <w:pPr>
      <w:keepNext/>
      <w:keepLines/>
      <w:spacing w:after="2pt" w:before="4pt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797A10"/>
    <w:pPr>
      <w:keepNext/>
      <w:keepLines/>
      <w:spacing w:after="2pt" w:before="4pt"/>
      <w:outlineLvl w:val="4"/>
    </w:pPr>
    <w:rPr>
      <w:rFonts w:cstheme="majorBidi" w:eastAsiaTheme="majorEastAsia"/>
      <w:color w:themeColor="accent1" w:themeShade="BF" w:val="2F549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797A10"/>
    <w:pPr>
      <w:keepNext/>
      <w:keepLines/>
      <w:spacing w:after="0pt" w:before="2pt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797A10"/>
    <w:pPr>
      <w:keepNext/>
      <w:keepLines/>
      <w:spacing w:after="0pt" w:before="2pt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797A10"/>
    <w:pPr>
      <w:keepNext/>
      <w:keepLines/>
      <w:spacing w:after="0pt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797A10"/>
    <w:pPr>
      <w:keepNext/>
      <w:keepLines/>
      <w:spacing w:after="0pt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pt"/>
      <w:tblCellMar>
        <w:top w:type="dxa" w:w="0pt"/>
        <w:start w:type="dxa" w:w="5.40pt"/>
        <w:bottom w:type="dxa" w:w="0pt"/>
        <w:end w:type="dxa" w:w="5.40pt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97A10"/>
    <w:rPr>
      <w:rFonts w:asciiTheme="majorHAnsi" w:cstheme="majorBidi" w:eastAsiaTheme="majorEastAsia" w:hAnsiTheme="majorHAnsi"/>
      <w:sz w:val="4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797A10"/>
    <w:rPr>
      <w:rFonts w:asciiTheme="majorHAnsi" w:cstheme="majorBidi" w:eastAsiaTheme="majorEastAsia" w:hAnsiTheme="majorHAnsi"/>
      <w:b/>
      <w:color w:themeColor="accent1" w:themeShade="80"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797A10"/>
    <w:rPr>
      <w:rFonts w:asciiTheme="majorHAnsi" w:cstheme="majorBidi" w:eastAsiaTheme="majorEastAsia" w:hAnsiTheme="majorHAnsi"/>
      <w:b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797A10"/>
    <w:rPr>
      <w:rFonts w:cstheme="majorBidi" w:eastAsiaTheme="majorEastAsia"/>
      <w:i/>
      <w:iCs/>
      <w:color w:themeColor="accent1" w:themeShade="BF" w:val="2F549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797A10"/>
    <w:rPr>
      <w:rFonts w:cstheme="majorBidi" w:eastAsiaTheme="majorEastAsia"/>
      <w:color w:themeColor="accent1" w:themeShade="BF" w:val="2F549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797A10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797A10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797A10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797A10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797A10"/>
    <w:pPr>
      <w:spacing w:after="4pt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797A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797A10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797A10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797A10"/>
    <w:pPr>
      <w:spacing w:before="8pt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797A10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797A10"/>
    <w:pPr>
      <w:ind w:start="36pt"/>
      <w:contextualSpacing/>
    </w:pPr>
  </w:style>
  <w:style w:styleId="IntenseEmphasis" w:type="character">
    <w:name w:val="Intense Emphasis"/>
    <w:basedOn w:val="DefaultParagraphFont"/>
    <w:uiPriority w:val="21"/>
    <w:qFormat/>
    <w:rsid w:val="00797A10"/>
    <w:rPr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797A10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18pt" w:before="18pt"/>
      <w:ind w:end="43.20pt" w:start="43.20pt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797A10"/>
    <w:rPr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797A10"/>
    <w:rPr>
      <w:b/>
      <w:bCs/>
      <w:smallCaps/>
      <w:color w:themeColor="accent1" w:themeShade="BF" w:val="2F5496"/>
      <w:spacing w:val="5"/>
    </w:rPr>
  </w:style>
  <w:style w:styleId="ListBullet" w:type="paragraph">
    <w:name w:val="List Bullet"/>
    <w:basedOn w:val="ListBullet2"/>
    <w:uiPriority w:val="99"/>
    <w:unhideWhenUsed/>
    <w:rsid w:val="000139DA"/>
    <w:pPr>
      <w:numPr>
        <w:numId w:val="1"/>
      </w:numPr>
      <w:spacing w:after="0pt"/>
      <w:ind w:hanging="17.85pt" w:start="35.70pt"/>
      <w:contextualSpacing w:val="0"/>
    </w:pPr>
  </w:style>
  <w:style w:styleId="ListBullet2" w:type="paragraph">
    <w:name w:val="List Bullet 2"/>
    <w:basedOn w:val="Normal"/>
    <w:uiPriority w:val="99"/>
    <w:unhideWhenUsed/>
    <w:rsid w:val="00797A10"/>
    <w:pPr>
      <w:numPr>
        <w:numId w:val="2"/>
      </w:numPr>
      <w:contextualSpacing/>
    </w:pPr>
  </w:style>
  <w:style w:styleId="Hyperlink" w:type="character">
    <w:name w:val="Hyperlink"/>
    <w:basedOn w:val="DefaultParagraphFont"/>
    <w:uiPriority w:val="99"/>
    <w:unhideWhenUsed/>
    <w:rsid w:val="005966BF"/>
    <w:rPr>
      <w:color w:themeColor="background2" w:themeShade="80" w:val="767171"/>
      <w:u w:val="none"/>
    </w:rPr>
  </w:style>
  <w:style w:styleId="Emphasis" w:type="character">
    <w:name w:val="Emphasis"/>
    <w:basedOn w:val="DefaultParagraphFont"/>
    <w:uiPriority w:val="20"/>
    <w:qFormat/>
    <w:rsid w:val="005966BF"/>
    <w:rPr>
      <w:rFonts w:asciiTheme="minorHAnsi" w:hAnsiTheme="minorHAnsi"/>
      <w:i/>
      <w:iCs/>
      <w:sz w:val="22"/>
    </w:rPr>
  </w:style>
  <w:style w:styleId="Strong" w:type="character">
    <w:name w:val="Strong"/>
    <w:basedOn w:val="DefaultParagraphFont"/>
    <w:uiPriority w:val="22"/>
    <w:qFormat/>
    <w:rsid w:val="005966BF"/>
    <w:rPr>
      <w:rFonts w:asciiTheme="minorHAnsi" w:hAnsiTheme="minorHAnsi"/>
      <w:b/>
      <w:bCs/>
      <w:sz w:val="22"/>
    </w:rPr>
  </w:style>
  <w:style w:styleId="List" w:type="paragraph">
    <w:name w:val="List"/>
    <w:basedOn w:val="Normal"/>
    <w:uiPriority w:val="99"/>
    <w:unhideWhenUsed/>
    <w:rsid w:val="0015490E"/>
    <w:pPr>
      <w:ind w:hanging="14.15pt" w:start="14.15pt"/>
      <w:contextualSpacing/>
    </w:pPr>
  </w:style>
  <w:style w:styleId="ListNumber" w:type="paragraph">
    <w:name w:val="List Number"/>
    <w:basedOn w:val="Normal"/>
    <w:uiPriority w:val="99"/>
    <w:unhideWhenUsed/>
    <w:rsid w:val="00FF23BC"/>
    <w:pPr>
      <w:numPr>
        <w:numId w:val="3"/>
      </w:numPr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linkedin.com/in/1michaelforb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linkedin.com/in/1michaelforbes" TargetMode="External" /></Relationships>
</file>

<file path=word/theme/theme1.xml><?xml version="1.0" encoding="utf-8"?>
<a:theme xmlns:a="http://purl.oclc.org/ooxml/drawingml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2025-08-21T09:48:41Z</dcterms:created>
  <dcterms:modified xsi:type="dcterms:W3CDTF">2025-08-21T09:48:41Z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