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2B70A" w14:textId="6F922231" w:rsidR="00BF66F9" w:rsidRDefault="00BE3839">
      <w:bookmarkStart w:id="0" w:name="_GoBack"/>
      <w:bookmarkEnd w:id="0"/>
      <w:r>
        <w:t>Methods</w:t>
      </w:r>
    </w:p>
    <w:p w14:paraId="5436A0D8" w14:textId="73102B8D" w:rsidR="00BE3839" w:rsidRPr="007518C1" w:rsidRDefault="007518C1">
      <w:pPr>
        <w:rPr>
          <w:b/>
        </w:rPr>
      </w:pPr>
      <w:r w:rsidRPr="007518C1">
        <w:rPr>
          <w:b/>
        </w:rPr>
        <w:t>Study Area</w:t>
      </w:r>
    </w:p>
    <w:p w14:paraId="4E63B928" w14:textId="77777777" w:rsidR="007518C1" w:rsidRDefault="007518C1"/>
    <w:p w14:paraId="04F91371" w14:textId="4DF7CA55" w:rsidR="00BE3839" w:rsidRPr="007518C1" w:rsidRDefault="00BE3839">
      <w:pPr>
        <w:rPr>
          <w:b/>
        </w:rPr>
      </w:pPr>
      <w:r w:rsidRPr="007518C1">
        <w:rPr>
          <w:b/>
        </w:rPr>
        <w:t>Data</w:t>
      </w:r>
      <w:r w:rsidR="007518C1" w:rsidRPr="007518C1">
        <w:rPr>
          <w:b/>
        </w:rPr>
        <w:t xml:space="preserve"> Sources</w:t>
      </w:r>
    </w:p>
    <w:p w14:paraId="15ED8AF6" w14:textId="3FD7040F" w:rsidR="007518C1" w:rsidRDefault="00BE3839" w:rsidP="008340B8">
      <w:r>
        <w:tab/>
        <w:t xml:space="preserve">We acquired interpolated daily minimum and maximum temperature data covering the study area for the years 1980 - 2016 from the Daily Surface Weather And Climatological Summaries (DAYMET) project </w:t>
      </w:r>
      <w:r>
        <w:fldChar w:fldCharType="begin"/>
      </w:r>
      <w:r>
        <w:instrText xml:space="preserve"> ADDIN ZOTERO_ITEM CSL_CITATION {"citationID":"ajigh1fcmi","properties":{"formattedCitation":"(THORNTON et al., 2017)","plainCitation":"(THORNTON et al., 2017)","noteIndex":0},"citationItems":[{"id":3677,"uris":["http://zotero.org/users/2216187/items/9M5TKXZF"],"uri":["http://zotero.org/users/2216187/items/9M5TKXZF"],"itemData":{"id":3677,"type":"article-journal","title":"Daymet: Daily Surface Weather Data on a 1-km Grid for North America, Version 3","abstract":"This data set provides Daymet Version 3 model output data as gridded estimates of daily weather parameters for North America and Hawaii: including Canada, Mexico, the United States of America, Puerto Rico, and Bermuda. The island areas of Hawaii and Puerto Rico are available as files separate from the continental land mass. Daymet output variables include the following parameters: minimum temperature, maximum temperature, precipitation, shortwave radiation, vapor pressure, snow water equivalent, and day length. The data set covers the period from January 1, 1980 to December 31 of the most recent full calendar year. Each subsequent year is processed individually at the close of a calendar year. Daymet variables are continuous surfaces provided as individual files, by variable and year, at a 1-km x 1-km spatial resolution and a daily temporal resolution. Data are in a Lambert Conformal Conic projection for North America and are distributed in a netCDF file (version 1.6) format compliant to Climate and Forecast (CF) metadata conventions.","URL":"https://daymet.ornl.gov/","DOI":"10.3334/ornldaac/1328","author":[{"family":"THORNTON","given":"P.E."},{"family":"THORNTON","given":"M.M."},{"family":"MAYER","given":"B.W."},{"family":"WEI","given":"Y."},{"family":"DEVARAKONDA","given":"R."},{"family":"VOSE","given":"R.S."},{"family":"COOK","given":"R.B."}],"issued":{"date-parts":[["2017"]]}}}],"schema":"https://github.com/citation-style-language/schema/raw/master/csl-citation.json"} </w:instrText>
      </w:r>
      <w:r>
        <w:fldChar w:fldCharType="separate"/>
      </w:r>
      <w:r w:rsidR="00133E68" w:rsidRPr="00133E68">
        <w:rPr>
          <w:rFonts w:ascii="Calibri" w:hAnsi="Calibri" w:cs="Calibri"/>
        </w:rPr>
        <w:t>(THORNTON et al., 2017)</w:t>
      </w:r>
      <w:r>
        <w:fldChar w:fldCharType="end"/>
      </w:r>
      <w:r>
        <w:t>.  The DAYMET data sets are distributed as raster</w:t>
      </w:r>
      <w:r w:rsidR="007518C1">
        <w:t xml:space="preserve"> tiles in a </w:t>
      </w:r>
      <w:r w:rsidR="007518C1" w:rsidRPr="007518C1">
        <w:t>Lambert Conformal Conic projection</w:t>
      </w:r>
      <w:r w:rsidR="007518C1">
        <w:t xml:space="preserve"> with 1km x 1km grid cells.  </w:t>
      </w:r>
      <w:r w:rsidR="008340B8">
        <w:t xml:space="preserve">We retrieved </w:t>
      </w:r>
      <w:r w:rsidR="00FA54CA">
        <w:t xml:space="preserve">daily temperature </w:t>
      </w:r>
      <w:r w:rsidR="00133E68">
        <w:t>records</w:t>
      </w:r>
      <w:r w:rsidR="00FA54CA">
        <w:t xml:space="preserve"> for 8 weather stations in </w:t>
      </w:r>
      <w:r w:rsidR="00B65E7E">
        <w:t>I</w:t>
      </w:r>
      <w:r w:rsidR="00133E68">
        <w:t>daho (USA)</w:t>
      </w:r>
      <w:r w:rsidR="00B65E7E">
        <w:t xml:space="preserve"> from the National Oceanic and Atmospheric Administration </w:t>
      </w:r>
      <w:r w:rsidR="00B65E7E">
        <w:fldChar w:fldCharType="begin"/>
      </w:r>
      <w:r w:rsidR="00133E68">
        <w:instrText xml:space="preserve"> ADDIN ZOTERO_ITEM CSL_CITATION {"citationID":"a1dqb88pghd","properties":{"formattedCitation":"(National Oceanic and Atmospheric Administration, 2018)","plainCitation":"(National Oceanic and Atmospheric Administration, 2018)","noteIndex":0},"citationItems":[{"id":3678,"uris":["http://zotero.org/users/2216187/items/W2G3KYG9"],"uri":["http://zotero.org/users/2216187/items/W2G3KYG9"],"itemData":{"id":3678,"type":"article","title":"Climate Data Online","publisher":"National Centers for Environmental Information","URL":"https://www.ncdc.noaa.gov/cdo-web/","author":[{"family":"National Oceanic and Atmospheric Administration","given":""}],"issued":{"date-parts":[["2018"]]}}}],"schema":"https://github.com/citation-style-language/schema/raw/master/csl-citation.json"} </w:instrText>
      </w:r>
      <w:r w:rsidR="00B65E7E">
        <w:fldChar w:fldCharType="separate"/>
      </w:r>
      <w:r w:rsidR="00133E68" w:rsidRPr="00133E68">
        <w:rPr>
          <w:rFonts w:ascii="Calibri" w:hAnsi="Calibri" w:cs="Calibri"/>
        </w:rPr>
        <w:t>(2018</w:t>
      </w:r>
      <w:r w:rsidR="00133E68">
        <w:rPr>
          <w:rFonts w:ascii="Calibri" w:hAnsi="Calibri" w:cs="Calibri"/>
        </w:rPr>
        <w:t>; Table 1</w:t>
      </w:r>
      <w:r w:rsidR="00133E68" w:rsidRPr="00133E68">
        <w:rPr>
          <w:rFonts w:ascii="Calibri" w:hAnsi="Calibri" w:cs="Calibri"/>
        </w:rPr>
        <w:t>)</w:t>
      </w:r>
      <w:r w:rsidR="00B65E7E">
        <w:fldChar w:fldCharType="end"/>
      </w:r>
      <w:r w:rsidR="008340B8">
        <w:t xml:space="preserve"> for model verification.</w:t>
      </w:r>
    </w:p>
    <w:p w14:paraId="36C39A8D" w14:textId="46C1F2F5" w:rsidR="00EA47FF" w:rsidRDefault="00EA47FF" w:rsidP="008340B8">
      <w:r>
        <w:tab/>
        <w:t xml:space="preserve">For MPB tree mortality, we </w:t>
      </w:r>
      <w:r w:rsidR="002D787D">
        <w:t>retrieved raster data containing the estimated number of trees killed due to MPB in both ponderosa and lodgepole pines</w:t>
      </w:r>
      <w:r w:rsidR="005F0DB9">
        <w:t xml:space="preserve"> for the years 1997 - 2010</w:t>
      </w:r>
      <w:r w:rsidR="002D787D">
        <w:t xml:space="preserve"> </w:t>
      </w:r>
      <w:r w:rsidR="002D787D">
        <w:fldChar w:fldCharType="begin"/>
      </w:r>
      <w:r w:rsidR="002D787D">
        <w:instrText xml:space="preserve"> ADDIN ZOTERO_ITEM CSL_CITATION {"citationID":"a144r6o4r9f","properties":{"formattedCitation":"(Meddens and Hicke, 2014)","plainCitation":"(Meddens and Hicke, 2014)","noteIndex":0},"citationItems":[{"id":594,"uris":["http://zotero.org/users/2216187/items/CEBPTHF2"],"uri":["http://zotero.org/users/2216187/items/CEBPTHF2"],"itemData":{"id":594,"type":"article-journal","title":"Spatial and temporal patterns of Landsat-based detection of tree mortality caused by a mountain pine beetle outbreak in Colorado, USA","container-title":"Forest Ecology and Management","page":"78-88","volume":"322","source":"ScienceDirect","abstract":"Mountain pine beetles (Dendroctonus ponderosae Hopkins) have killed billions of trees in the United States and Canada in the last decades, thereby causing major alterations to forest ecosystems. Therefore, monitoring the extent and patterns of these major disturbance events are important for subsequent forest management. At 30-m spatial resolution, Landsat imagery affords the opportunity for quantifying spatial and temporal patterns of bark beetle outbreaks at plot to stand resolution. We developed a continuous measure of bark beetle-caused tree mortality using multi-temporal Landsat data (1996–2011) in the Rocky Mountains of northcentral Colorado. We report the year of detection of tree mortality, which is 1 year after attack by beetles. Two approaches were used to predict percent red stage tree mortality within a 30-m grid cell, multiple linear regression models and generalized additive models (GAM) with a nonlinear spatial term. Both models explained &amp;gt;75% of the variance using three Landsat spectral explanatory variables. We used the linear model to predict tree mortality across the entire study area and time series because of its simplicity, its capability for extrapolation beyond the training area, and similar performance compared with the GAM. From 1996 to 2011, cumulative tree mortality was 22% of forested areas within the Landsat scene, equivalent to 228 million mature lodgepole pine trees (range: 174–332 million trees using the 95% confidence interval of field-measured crown areas). Early in the outbreak, tree mortality was associated with expansion, whereas later in the outbreak, mortality was due to intensification (increase in mortality within areas already having beetle activity). We used three metrics (cumulative tree mortality, duration of tree mortality, and average rate of tree mortality) to investigate the temporal and spatial patterns of bark beetle-caused mortality using different grid cell resolutions within the Landsat scene. At the Landsat spatial resolution (900 m2), we estimated that grid cells within the outbreak experienced means of 60% mortality, a duration of 3–4 years, and an average rate of mortality of 20%/year. With coarser spatial resolution, cumulative tree morality and rate of tree mortality decreased whereas duration of tree mortality increased. Our results improve the understanding of spatial and temporal patterns of tree mortality caused by bark beetle outbreaks, and provide specific information for forest managers and scientists about a severe mountain pine beetle infestation in northcentral Colorado.","DOI":"10.1016/j.foreco.2014.02.037","ISSN":"0378-1127","journalAbbreviation":"Forest Ecology and Management","author":[{"family":"Meddens","given":"Arjan J. H."},{"family":"Hicke","given":"Jeffrey A."}],"issued":{"date-parts":[["2014",6,15]]}}}],"schema":"https://github.com/citation-style-language/schema/raw/master/csl-citation.json"} </w:instrText>
      </w:r>
      <w:r w:rsidR="002D787D">
        <w:fldChar w:fldCharType="separate"/>
      </w:r>
      <w:r w:rsidR="002D787D" w:rsidRPr="002D787D">
        <w:rPr>
          <w:rFonts w:ascii="Calibri" w:hAnsi="Calibri" w:cs="Calibri"/>
        </w:rPr>
        <w:t>(Meddens and Hicke, 2014)</w:t>
      </w:r>
      <w:r w:rsidR="002D787D">
        <w:fldChar w:fldCharType="end"/>
      </w:r>
      <w:r w:rsidR="002D787D">
        <w:t>. [Brief description of their datasets…]</w:t>
      </w:r>
      <w:r w:rsidR="005F0DB9">
        <w:t xml:space="preserve">.  </w:t>
      </w:r>
      <w:r w:rsidR="007B4BBF">
        <w:t xml:space="preserve">To determine which raster cells to use for analysis, we calculated the set of raster cells that had nonzero tree mortality in any of the sample years.  We then converted the retained raster cells to point data, each point associated with a vector of counts of MPB-associated tree mortality in each of the years.  </w:t>
      </w:r>
      <w:r w:rsidR="005F0DB9">
        <w:t xml:space="preserve"> </w:t>
      </w:r>
    </w:p>
    <w:p w14:paraId="1992766D" w14:textId="4A6F3AE9" w:rsidR="00056748" w:rsidRDefault="00056748" w:rsidP="008340B8">
      <w:r>
        <w:tab/>
        <w:t xml:space="preserve">Range maps for Pinus ponderosa and P. </w:t>
      </w:r>
      <w:proofErr w:type="spellStart"/>
      <w:r>
        <w:t>contorta</w:t>
      </w:r>
      <w:proofErr w:type="spellEnd"/>
      <w:r>
        <w:t xml:space="preserve"> were those in Little</w:t>
      </w:r>
      <w:r>
        <w:fldChar w:fldCharType="begin"/>
      </w:r>
      <w:r>
        <w:instrText xml:space="preserve"> ADDIN ZOTERO_ITEM CSL_CITATION {"citationID":"a1vfg755ta3","properties":{"formattedCitation":"(Little, 1971)","plainCitation":"(Little, 1971)","noteIndex":0},"citationItems":[{"id":748,"uris":["http://zotero.org/users/2216187/items/XFJE9U3B"],"uri":["http://zotero.org/users/2216187/items/XFJE9U3B"],"itemData":{"id":748,"type":"book","title":"Atlas of United States trees, conifers and important hardwoods","collection-title":"Miscellaneous Publication","collection-number":"1146","publisher":"US Department of Agriculture, Forest Service, Washington, DC","volume":"1","author":[{"family":"Little","given":"Elbert Luther","suffix":"Jr."}],"issued":{"date-parts":[["1971"]]}}}],"schema":"https://github.com/citation-style-language/schema/raw/master/csl-citation.json"} </w:instrText>
      </w:r>
      <w:r>
        <w:fldChar w:fldCharType="separate"/>
      </w:r>
      <w:r w:rsidRPr="00056748">
        <w:rPr>
          <w:rFonts w:ascii="Calibri" w:hAnsi="Calibri" w:cs="Calibri"/>
        </w:rPr>
        <w:t>(Little, 1971)</w:t>
      </w:r>
      <w:r>
        <w:fldChar w:fldCharType="end"/>
      </w:r>
      <w:r>
        <w:t>.</w:t>
      </w:r>
    </w:p>
    <w:p w14:paraId="037610EC" w14:textId="6373E5DB" w:rsidR="00056748" w:rsidRDefault="00056748" w:rsidP="008340B8"/>
    <w:p w14:paraId="7045DE45" w14:textId="77777777" w:rsidR="00056748" w:rsidRDefault="00056748" w:rsidP="008340B8"/>
    <w:p w14:paraId="604C2863" w14:textId="2CCD8B62" w:rsidR="00BE3839" w:rsidRPr="007518C1" w:rsidRDefault="007518C1">
      <w:pPr>
        <w:rPr>
          <w:b/>
        </w:rPr>
      </w:pPr>
      <w:r w:rsidRPr="007518C1">
        <w:rPr>
          <w:b/>
        </w:rPr>
        <w:t>MPB Survival Model</w:t>
      </w:r>
    </w:p>
    <w:p w14:paraId="12AE06BE" w14:textId="7B08EB2D" w:rsidR="00BE3839" w:rsidRPr="007518C1" w:rsidRDefault="00BE5728" w:rsidP="00792F74">
      <w:pPr>
        <w:ind w:firstLine="720"/>
      </w:pPr>
      <w:r>
        <w:t>To estimate the potential MPB overwinter survival rates, we</w:t>
      </w:r>
      <w:r w:rsidR="00BE3839">
        <w:t xml:space="preserve"> implemented</w:t>
      </w:r>
      <w:r w:rsidR="007518C1">
        <w:t xml:space="preserve"> an object-oriented version of the physiological </w:t>
      </w:r>
      <w:r w:rsidR="00BE3839">
        <w:t xml:space="preserve">process-based model of </w:t>
      </w:r>
      <w:r w:rsidR="007518C1">
        <w:t xml:space="preserve">MPB cold tolerance created by </w:t>
      </w:r>
      <w:proofErr w:type="spellStart"/>
      <w:r w:rsidR="007518C1">
        <w:t>Régniè</w:t>
      </w:r>
      <w:r w:rsidR="007518C1" w:rsidRPr="007518C1">
        <w:t>r</w:t>
      </w:r>
      <w:r w:rsidR="007518C1">
        <w:t>e</w:t>
      </w:r>
      <w:proofErr w:type="spellEnd"/>
      <w:r w:rsidR="007518C1">
        <w:t xml:space="preserve"> and Bentz </w:t>
      </w:r>
      <w:r w:rsidR="007518C1">
        <w:fldChar w:fldCharType="begin"/>
      </w:r>
      <w:r w:rsidR="007518C1">
        <w:instrText xml:space="preserve"> ADDIN ZOTERO_ITEM CSL_CITATION {"citationID":"afi0vud8sr","properties":{"formattedCitation":"(R\\uc0\\u233{}gni\\uc0\\u232{}re and Bentz, 2007)","plainCitation":"(Régnière and Bentz, 2007)","noteIndex":0},"citationItems":[{"id":1038,"uris":["http://zotero.org/users/2216187/items/S7XDI7V9"],"uri":["http://zotero.org/users/2216187/items/S7XDI7V9"],"itemData":{"id":1038,"type":"article-journal","title":"Modeling cold tolerance in the mountain pine beetle, Dendroctonus ponderosae","container-title":"Journal of Insect Physiology","page":"559-572","volume":"53","issue":"6","source":"ScienceDirect","abstract":"Cold-induced mortality is a key factor driving mountain pine beetle, Dendroctonus ponderosae, population dynamics. In this species, the supercooling point (SCP) is representative of mortality induced by acute cold exposure. Mountain pine beetle SCP and associated cold-induced mortality fluctuate throughout a generation, with the highest SCPs prior to and following winter. Using observed SCPs of field-collected D. ponderosae larvae throughout the developmental season and associated phloem temperatures, we developed a mechanistic model that describes the SCP distribution of a population as a function of daily changes in the temperature-dependent processes leading to gain and loss of cold tolerance. It is based on the changing proportion of individuals in three states: (1) a non cold-hardened, feeding state, (2) an intermediate state in which insects have ceased feeding, voided their gut content and eliminated as many ice-nucleating agents as possible from the body, and (3) a fully cold-hardened state where insects have accumulated a maximum concentration of cryoprotectants (e.g. glycerol). Shifts in the proportion of individuals in each state occur in response to the driving variables influencing the opposite rates of gain and loss of cold hardening. The level of cold-induced mortality predicted by the model and its relation to extreme winter temperature is in good agreement with a range of field and laboratory observations. Our model predicts that cold tolerance of D. ponderosae varies within a season, among seasons, and among geographic locations depending on local climate. This variability is an emergent property of the model, and has important implications for understanding the insect's response to seasonal fluctuations in temperature, as well as population response to climate change. Because cold-induced mortality is but one of several major influences of climate on D. ponderosae population dynamics, we suggest that this model be integrated with others simulating the insect's biology.","DOI":"10.1016/j.jinsphys.2007.02.007","ISSN":"0022-1910","journalAbbreviation":"Journal of Insect Physiology","author":[{"family":"Régnière","given":"Jacques"},{"family":"Bentz","given":"Barbara"}],"issued":{"date-parts":[["2007",6]]}}}],"schema":"https://github.com/citation-style-language/schema/raw/master/csl-citation.json"} </w:instrText>
      </w:r>
      <w:r w:rsidR="007518C1">
        <w:fldChar w:fldCharType="separate"/>
      </w:r>
      <w:r w:rsidR="00133E68" w:rsidRPr="00133E68">
        <w:rPr>
          <w:rFonts w:ascii="Calibri" w:hAnsi="Calibri" w:cs="Calibri"/>
          <w:szCs w:val="24"/>
        </w:rPr>
        <w:t>(Régnière and Bentz, 2007)</w:t>
      </w:r>
      <w:r w:rsidR="007518C1">
        <w:fldChar w:fldCharType="end"/>
      </w:r>
      <w:r w:rsidR="007518C1">
        <w:t xml:space="preserve"> in Java</w:t>
      </w:r>
      <w:r w:rsidR="00A205FD">
        <w:t xml:space="preserve"> (version 1.8)</w:t>
      </w:r>
      <w:r w:rsidR="007518C1">
        <w:t xml:space="preserve">. </w:t>
      </w:r>
      <w:r w:rsidR="00A205FD">
        <w:t>The</w:t>
      </w:r>
      <w:r w:rsidR="00AA5C09">
        <w:t>ir</w:t>
      </w:r>
      <w:r w:rsidR="00A205FD">
        <w:t xml:space="preserve"> model uses daily temperatures to track the proportions of MPB in </w:t>
      </w:r>
      <w:r w:rsidR="00AA5C09">
        <w:t>one of three physiological states</w:t>
      </w:r>
      <w:r>
        <w:t xml:space="preserve">.  The states </w:t>
      </w:r>
      <w:r w:rsidR="00AA5C09">
        <w:t>each represent</w:t>
      </w:r>
      <w:r>
        <w:t xml:space="preserve"> </w:t>
      </w:r>
      <w:r w:rsidR="00AA5C09">
        <w:t xml:space="preserve">different phases of </w:t>
      </w:r>
      <w:r>
        <w:t xml:space="preserve">individual beetles’ </w:t>
      </w:r>
      <w:r w:rsidR="00AA5C09">
        <w:t>cold hardening</w:t>
      </w:r>
      <w:r>
        <w:t xml:space="preserve"> processes.  The population-level cold hardening status (state variable C in </w:t>
      </w:r>
      <w:proofErr w:type="spellStart"/>
      <w:r w:rsidRPr="007518C1">
        <w:rPr>
          <w:rFonts w:ascii="Calibri" w:hAnsi="Calibri" w:cs="Calibri"/>
          <w:szCs w:val="24"/>
        </w:rPr>
        <w:t>Régnière</w:t>
      </w:r>
      <w:proofErr w:type="spellEnd"/>
      <w:r w:rsidRPr="007518C1">
        <w:rPr>
          <w:rFonts w:ascii="Calibri" w:hAnsi="Calibri" w:cs="Calibri"/>
          <w:szCs w:val="24"/>
        </w:rPr>
        <w:t xml:space="preserve"> and Bentz, 2007</w:t>
      </w:r>
      <w:r>
        <w:t xml:space="preserve">) status tracks the daily temperatures.  This allows for rapid drops in temperature to catch more beetles in a less cold-hardened state, resulting in </w:t>
      </w:r>
      <w:r w:rsidR="002D787D">
        <w:t>reduced</w:t>
      </w:r>
      <w:r>
        <w:t xml:space="preserve"> survival.  Slowly decreasing temperatures allow a greater proportion of the population to transition to the most cold-hardened state to better withstand cold temperatures.  </w:t>
      </w:r>
      <w:r w:rsidR="00356330">
        <w:t xml:space="preserve">To verify the correctness of our model implementation, we compared survival estimates using temperature data from the weather stations </w:t>
      </w:r>
      <w:r w:rsidR="00792F74">
        <w:t xml:space="preserve">to those </w:t>
      </w:r>
      <w:r w:rsidR="00356330">
        <w:t xml:space="preserve">found in Table 1 of </w:t>
      </w:r>
      <w:proofErr w:type="spellStart"/>
      <w:r w:rsidR="00356330" w:rsidRPr="007518C1">
        <w:rPr>
          <w:rFonts w:ascii="Calibri" w:hAnsi="Calibri" w:cs="Calibri"/>
          <w:szCs w:val="24"/>
        </w:rPr>
        <w:t>Régnière</w:t>
      </w:r>
      <w:proofErr w:type="spellEnd"/>
      <w:r w:rsidR="00356330" w:rsidRPr="007518C1">
        <w:rPr>
          <w:rFonts w:ascii="Calibri" w:hAnsi="Calibri" w:cs="Calibri"/>
          <w:szCs w:val="24"/>
        </w:rPr>
        <w:t xml:space="preserve"> and Bentz</w:t>
      </w:r>
      <w:r w:rsidR="00356330">
        <w:rPr>
          <w:rFonts w:ascii="Calibri" w:hAnsi="Calibri" w:cs="Calibri"/>
          <w:szCs w:val="24"/>
        </w:rPr>
        <w:t xml:space="preserve"> (</w:t>
      </w:r>
      <w:r w:rsidR="00356330" w:rsidRPr="007518C1">
        <w:rPr>
          <w:rFonts w:ascii="Calibri" w:hAnsi="Calibri" w:cs="Calibri"/>
          <w:szCs w:val="24"/>
        </w:rPr>
        <w:t>2007</w:t>
      </w:r>
      <w:r w:rsidR="00356330">
        <w:rPr>
          <w:rFonts w:ascii="Calibri" w:hAnsi="Calibri" w:cs="Calibri"/>
          <w:szCs w:val="24"/>
        </w:rPr>
        <w:t>)</w:t>
      </w:r>
    </w:p>
    <w:p w14:paraId="5D425229" w14:textId="406B1BD8" w:rsidR="007518C1" w:rsidRDefault="007518C1"/>
    <w:p w14:paraId="250B702C" w14:textId="4BB8AB85" w:rsidR="007518C1" w:rsidRPr="008340B8" w:rsidRDefault="008340B8">
      <w:proofErr w:type="spellStart"/>
      <w:r w:rsidRPr="008340B8">
        <w:t>Github</w:t>
      </w:r>
      <w:proofErr w:type="spellEnd"/>
      <w:r w:rsidRPr="008340B8">
        <w:t xml:space="preserve"> page for </w:t>
      </w:r>
      <w:r>
        <w:t>model code:</w:t>
      </w:r>
      <w:r w:rsidRPr="008340B8">
        <w:t xml:space="preserve"> </w:t>
      </w:r>
      <w:hyperlink r:id="rId7" w:history="1">
        <w:r w:rsidRPr="008340B8">
          <w:rPr>
            <w:rStyle w:val="Hyperlink"/>
          </w:rPr>
          <w:t>https://github.com/michaelfrancenelson/RegniereBentz_ColdTolerance.git</w:t>
        </w:r>
      </w:hyperlink>
    </w:p>
    <w:p w14:paraId="266AF66C" w14:textId="5CD390FE" w:rsidR="008340B8" w:rsidRDefault="008340B8" w:rsidP="008340B8">
      <w:pPr>
        <w:pStyle w:val="ListParagraph"/>
        <w:numPr>
          <w:ilvl w:val="0"/>
          <w:numId w:val="1"/>
        </w:numPr>
      </w:pPr>
      <w:r>
        <w:t>Repository is private for now, but when we publish I’ll create an official public release.</w:t>
      </w:r>
    </w:p>
    <w:p w14:paraId="38166C79" w14:textId="77777777" w:rsidR="007518C1" w:rsidRDefault="007518C1"/>
    <w:p w14:paraId="67A85B9F" w14:textId="3A49C107" w:rsidR="007518C1" w:rsidRPr="007518C1" w:rsidRDefault="005F0DB9">
      <w:pPr>
        <w:rPr>
          <w:b/>
        </w:rPr>
      </w:pPr>
      <w:r>
        <w:rPr>
          <w:b/>
        </w:rPr>
        <w:t>Time Lag</w:t>
      </w:r>
      <w:r w:rsidR="007518C1" w:rsidRPr="007518C1">
        <w:rPr>
          <w:b/>
        </w:rPr>
        <w:t xml:space="preserve"> Analysi</w:t>
      </w:r>
      <w:r w:rsidR="007B4BBF">
        <w:rPr>
          <w:b/>
        </w:rPr>
        <w:t>s</w:t>
      </w:r>
    </w:p>
    <w:p w14:paraId="258C33E8" w14:textId="1B710C65" w:rsidR="007518C1" w:rsidRDefault="007518C1">
      <w:r>
        <w:lastRenderedPageBreak/>
        <w:tab/>
      </w:r>
      <w:r w:rsidR="005F0DB9">
        <w:t xml:space="preserve">We used our model to calculate yearly MPB overwinter survival rates for each raster cell in the daily climate data to create a stack of yearly MPB overwinter survival </w:t>
      </w:r>
      <w:proofErr w:type="spellStart"/>
      <w:r w:rsidR="005F0DB9">
        <w:t>rasters</w:t>
      </w:r>
      <w:proofErr w:type="spellEnd"/>
      <w:r w:rsidR="005F0DB9">
        <w:t xml:space="preserve">.  For each point in the tree mortality data, we then extracted the MPB yearly survival values from the raster cell containing the point’s coordinates.  For each </w:t>
      </w:r>
      <w:r w:rsidR="007B4BBF">
        <w:t>of the years 1997 - 2010</w:t>
      </w:r>
      <w:r w:rsidR="005F0DB9">
        <w:t xml:space="preserve">, </w:t>
      </w:r>
      <w:r w:rsidR="007B4BBF">
        <w:t xml:space="preserve">we determined the set of points that had nonzero tree mortality.  Points with zero MPB tree mortality for the year were assumed to correspond to areas without MPB activity or missing data.  To perform the time lag </w:t>
      </w:r>
      <w:proofErr w:type="gramStart"/>
      <w:r w:rsidR="007B4BBF">
        <w:t>analysis</w:t>
      </w:r>
      <w:proofErr w:type="gramEnd"/>
      <w:r w:rsidR="007B4BBF">
        <w:t xml:space="preserve"> we compared the tree mortality count for the year to the modeled MPB overwinter survival for each of the years from four years before the tree mortality to five years after.  For example, tree mortality data from 2005 were compared to MPB overwinter survival for the years 2001 – 2010.</w:t>
      </w:r>
      <w:r w:rsidR="008C1A13">
        <w:t xml:space="preserve"> </w:t>
      </w:r>
      <w:r w:rsidR="00A25850">
        <w:t>(T</w:t>
      </w:r>
      <w:r w:rsidR="008C1A13">
        <w:t xml:space="preserve">his describes the </w:t>
      </w:r>
      <w:r w:rsidR="00A25850">
        <w:t>‘regular’ plots, the ‘delta’ plots had a slightly more complicated procedure.)</w:t>
      </w:r>
    </w:p>
    <w:p w14:paraId="366D37E0" w14:textId="2FE0973B" w:rsidR="008C1A13" w:rsidRDefault="008C1A13">
      <w:r>
        <w:t>[We’ll have to think about whether any statistics are possible for the time lags…]</w:t>
      </w:r>
    </w:p>
    <w:p w14:paraId="10C0839D" w14:textId="4485E451" w:rsidR="007518C1" w:rsidRDefault="007518C1"/>
    <w:tbl>
      <w:tblPr>
        <w:tblW w:w="8591" w:type="dxa"/>
        <w:tblLook w:val="04A0" w:firstRow="1" w:lastRow="0" w:firstColumn="1" w:lastColumn="0" w:noHBand="0" w:noVBand="1"/>
      </w:tblPr>
      <w:tblGrid>
        <w:gridCol w:w="1659"/>
        <w:gridCol w:w="791"/>
        <w:gridCol w:w="920"/>
        <w:gridCol w:w="1426"/>
        <w:gridCol w:w="1228"/>
        <w:gridCol w:w="1044"/>
        <w:gridCol w:w="851"/>
        <w:gridCol w:w="769"/>
      </w:tblGrid>
      <w:tr w:rsidR="00133E68" w:rsidRPr="00133E68" w14:paraId="208D6353" w14:textId="77777777" w:rsidTr="00133E68">
        <w:trPr>
          <w:trHeight w:val="288"/>
        </w:trPr>
        <w:tc>
          <w:tcPr>
            <w:tcW w:w="1659" w:type="dxa"/>
            <w:tcBorders>
              <w:top w:val="nil"/>
              <w:left w:val="nil"/>
              <w:bottom w:val="nil"/>
              <w:right w:val="nil"/>
            </w:tcBorders>
            <w:shd w:val="clear" w:color="auto" w:fill="auto"/>
            <w:noWrap/>
            <w:vAlign w:val="bottom"/>
            <w:hideMark/>
          </w:tcPr>
          <w:p w14:paraId="6D3920F6"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Station Name</w:t>
            </w:r>
          </w:p>
        </w:tc>
        <w:tc>
          <w:tcPr>
            <w:tcW w:w="791" w:type="dxa"/>
            <w:tcBorders>
              <w:top w:val="nil"/>
              <w:left w:val="nil"/>
              <w:bottom w:val="nil"/>
              <w:right w:val="nil"/>
            </w:tcBorders>
            <w:shd w:val="clear" w:color="auto" w:fill="auto"/>
            <w:noWrap/>
            <w:vAlign w:val="bottom"/>
            <w:hideMark/>
          </w:tcPr>
          <w:p w14:paraId="2FB0B0FF" w14:textId="3DFEA344" w:rsidR="00133E68" w:rsidRPr="00133E68" w:rsidRDefault="00792F74" w:rsidP="00133E68">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Lat</w:t>
            </w:r>
          </w:p>
        </w:tc>
        <w:tc>
          <w:tcPr>
            <w:tcW w:w="920" w:type="dxa"/>
            <w:tcBorders>
              <w:top w:val="nil"/>
              <w:left w:val="nil"/>
              <w:bottom w:val="nil"/>
              <w:right w:val="nil"/>
            </w:tcBorders>
            <w:shd w:val="clear" w:color="auto" w:fill="auto"/>
            <w:noWrap/>
            <w:vAlign w:val="bottom"/>
            <w:hideMark/>
          </w:tcPr>
          <w:p w14:paraId="2882F84F" w14:textId="6E0702F2" w:rsidR="00133E68" w:rsidRPr="00133E68" w:rsidRDefault="00792F74" w:rsidP="00133E68">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Lon</w:t>
            </w:r>
          </w:p>
        </w:tc>
        <w:tc>
          <w:tcPr>
            <w:tcW w:w="1382" w:type="dxa"/>
            <w:tcBorders>
              <w:top w:val="nil"/>
              <w:left w:val="nil"/>
              <w:bottom w:val="nil"/>
              <w:right w:val="nil"/>
            </w:tcBorders>
            <w:shd w:val="clear" w:color="auto" w:fill="auto"/>
            <w:noWrap/>
            <w:vAlign w:val="bottom"/>
            <w:hideMark/>
          </w:tcPr>
          <w:p w14:paraId="437CC817" w14:textId="5D451344" w:rsidR="00133E68" w:rsidRPr="00133E68" w:rsidRDefault="00792F74" w:rsidP="00133E68">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Station </w:t>
            </w:r>
            <w:r w:rsidR="00133E68" w:rsidRPr="00133E68">
              <w:rPr>
                <w:rFonts w:ascii="Calibri" w:eastAsia="Times New Roman" w:hAnsi="Calibri" w:cs="Calibri"/>
                <w:color w:val="000000"/>
                <w:sz w:val="20"/>
                <w:szCs w:val="20"/>
              </w:rPr>
              <w:t>ID</w:t>
            </w:r>
          </w:p>
        </w:tc>
        <w:tc>
          <w:tcPr>
            <w:tcW w:w="1228" w:type="dxa"/>
            <w:tcBorders>
              <w:top w:val="nil"/>
              <w:left w:val="nil"/>
              <w:bottom w:val="nil"/>
              <w:right w:val="nil"/>
            </w:tcBorders>
            <w:shd w:val="clear" w:color="auto" w:fill="auto"/>
            <w:noWrap/>
            <w:vAlign w:val="bottom"/>
            <w:hideMark/>
          </w:tcPr>
          <w:p w14:paraId="2514E895"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Date Range</w:t>
            </w:r>
          </w:p>
        </w:tc>
        <w:tc>
          <w:tcPr>
            <w:tcW w:w="1014" w:type="dxa"/>
            <w:tcBorders>
              <w:top w:val="nil"/>
              <w:left w:val="nil"/>
              <w:bottom w:val="nil"/>
              <w:right w:val="nil"/>
            </w:tcBorders>
            <w:shd w:val="clear" w:color="auto" w:fill="auto"/>
            <w:noWrap/>
            <w:vAlign w:val="bottom"/>
            <w:hideMark/>
          </w:tcPr>
          <w:p w14:paraId="2E2B67E2"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Reference Survival</w:t>
            </w:r>
          </w:p>
        </w:tc>
        <w:tc>
          <w:tcPr>
            <w:tcW w:w="828" w:type="dxa"/>
            <w:tcBorders>
              <w:top w:val="nil"/>
              <w:left w:val="nil"/>
              <w:bottom w:val="nil"/>
              <w:right w:val="nil"/>
            </w:tcBorders>
            <w:shd w:val="clear" w:color="auto" w:fill="auto"/>
            <w:noWrap/>
            <w:vAlign w:val="bottom"/>
            <w:hideMark/>
          </w:tcPr>
          <w:p w14:paraId="523D1514"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Survival</w:t>
            </w:r>
          </w:p>
        </w:tc>
        <w:tc>
          <w:tcPr>
            <w:tcW w:w="769" w:type="dxa"/>
            <w:tcBorders>
              <w:top w:val="nil"/>
              <w:left w:val="nil"/>
              <w:bottom w:val="nil"/>
              <w:right w:val="nil"/>
            </w:tcBorders>
            <w:shd w:val="clear" w:color="auto" w:fill="auto"/>
            <w:noWrap/>
            <w:vAlign w:val="bottom"/>
            <w:hideMark/>
          </w:tcPr>
          <w:p w14:paraId="0C5E8127" w14:textId="057D07CE"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Diff</w:t>
            </w:r>
          </w:p>
        </w:tc>
      </w:tr>
      <w:tr w:rsidR="00133E68" w:rsidRPr="00133E68" w14:paraId="6CA4AD97" w14:textId="77777777" w:rsidTr="00133E68">
        <w:trPr>
          <w:trHeight w:val="288"/>
        </w:trPr>
        <w:tc>
          <w:tcPr>
            <w:tcW w:w="1659" w:type="dxa"/>
            <w:tcBorders>
              <w:top w:val="nil"/>
              <w:left w:val="nil"/>
              <w:bottom w:val="nil"/>
              <w:right w:val="nil"/>
            </w:tcBorders>
            <w:shd w:val="clear" w:color="auto" w:fill="auto"/>
            <w:noWrap/>
            <w:vAlign w:val="bottom"/>
            <w:hideMark/>
          </w:tcPr>
          <w:p w14:paraId="6B283CCB"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Fairfield Ranger Station</w:t>
            </w:r>
          </w:p>
        </w:tc>
        <w:tc>
          <w:tcPr>
            <w:tcW w:w="791" w:type="dxa"/>
            <w:tcBorders>
              <w:top w:val="nil"/>
              <w:left w:val="nil"/>
              <w:bottom w:val="nil"/>
              <w:right w:val="nil"/>
            </w:tcBorders>
            <w:shd w:val="clear" w:color="auto" w:fill="auto"/>
            <w:noWrap/>
            <w:vAlign w:val="bottom"/>
            <w:hideMark/>
          </w:tcPr>
          <w:p w14:paraId="0485F095"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43.34</w:t>
            </w:r>
          </w:p>
        </w:tc>
        <w:tc>
          <w:tcPr>
            <w:tcW w:w="920" w:type="dxa"/>
            <w:tcBorders>
              <w:top w:val="nil"/>
              <w:left w:val="nil"/>
              <w:bottom w:val="nil"/>
              <w:right w:val="nil"/>
            </w:tcBorders>
            <w:shd w:val="clear" w:color="auto" w:fill="auto"/>
            <w:noWrap/>
            <w:vAlign w:val="bottom"/>
            <w:hideMark/>
          </w:tcPr>
          <w:p w14:paraId="216B24F4"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-114.79</w:t>
            </w:r>
          </w:p>
        </w:tc>
        <w:tc>
          <w:tcPr>
            <w:tcW w:w="1382" w:type="dxa"/>
            <w:tcBorders>
              <w:top w:val="nil"/>
              <w:left w:val="nil"/>
              <w:bottom w:val="nil"/>
              <w:right w:val="nil"/>
            </w:tcBorders>
            <w:shd w:val="clear" w:color="auto" w:fill="auto"/>
            <w:noWrap/>
            <w:vAlign w:val="bottom"/>
            <w:hideMark/>
          </w:tcPr>
          <w:p w14:paraId="26755E2E" w14:textId="28A11CA4"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USC00103108</w:t>
            </w:r>
          </w:p>
        </w:tc>
        <w:tc>
          <w:tcPr>
            <w:tcW w:w="1228" w:type="dxa"/>
            <w:tcBorders>
              <w:top w:val="nil"/>
              <w:left w:val="nil"/>
              <w:bottom w:val="nil"/>
              <w:right w:val="nil"/>
            </w:tcBorders>
            <w:shd w:val="clear" w:color="auto" w:fill="auto"/>
            <w:noWrap/>
            <w:vAlign w:val="bottom"/>
            <w:hideMark/>
          </w:tcPr>
          <w:p w14:paraId="7FAAC21E" w14:textId="0D66F83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1960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54E5F252"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0.353</w:t>
            </w:r>
          </w:p>
        </w:tc>
        <w:tc>
          <w:tcPr>
            <w:tcW w:w="828" w:type="dxa"/>
            <w:tcBorders>
              <w:top w:val="nil"/>
              <w:left w:val="nil"/>
              <w:bottom w:val="nil"/>
              <w:right w:val="nil"/>
            </w:tcBorders>
            <w:shd w:val="clear" w:color="auto" w:fill="auto"/>
            <w:noWrap/>
            <w:vAlign w:val="bottom"/>
            <w:hideMark/>
          </w:tcPr>
          <w:p w14:paraId="148E07F0"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0.408</w:t>
            </w:r>
          </w:p>
        </w:tc>
        <w:tc>
          <w:tcPr>
            <w:tcW w:w="769" w:type="dxa"/>
            <w:tcBorders>
              <w:top w:val="nil"/>
              <w:left w:val="nil"/>
              <w:bottom w:val="nil"/>
              <w:right w:val="nil"/>
            </w:tcBorders>
            <w:shd w:val="clear" w:color="auto" w:fill="auto"/>
            <w:noWrap/>
            <w:vAlign w:val="bottom"/>
            <w:hideMark/>
          </w:tcPr>
          <w:p w14:paraId="27D334FE"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0.055</w:t>
            </w:r>
          </w:p>
        </w:tc>
      </w:tr>
      <w:tr w:rsidR="00133E68" w:rsidRPr="00133E68" w14:paraId="030C7712" w14:textId="77777777" w:rsidTr="00133E68">
        <w:trPr>
          <w:trHeight w:val="288"/>
        </w:trPr>
        <w:tc>
          <w:tcPr>
            <w:tcW w:w="1659" w:type="dxa"/>
            <w:tcBorders>
              <w:top w:val="nil"/>
              <w:left w:val="nil"/>
              <w:bottom w:val="nil"/>
              <w:right w:val="nil"/>
            </w:tcBorders>
            <w:shd w:val="clear" w:color="auto" w:fill="auto"/>
            <w:noWrap/>
            <w:vAlign w:val="bottom"/>
            <w:hideMark/>
          </w:tcPr>
          <w:p w14:paraId="04A47857"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Ketchum Ranger Station</w:t>
            </w:r>
          </w:p>
        </w:tc>
        <w:tc>
          <w:tcPr>
            <w:tcW w:w="791" w:type="dxa"/>
            <w:tcBorders>
              <w:top w:val="nil"/>
              <w:left w:val="nil"/>
              <w:bottom w:val="nil"/>
              <w:right w:val="nil"/>
            </w:tcBorders>
            <w:shd w:val="clear" w:color="auto" w:fill="auto"/>
            <w:noWrap/>
            <w:vAlign w:val="bottom"/>
            <w:hideMark/>
          </w:tcPr>
          <w:p w14:paraId="5CF2F22A"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43.68</w:t>
            </w:r>
          </w:p>
        </w:tc>
        <w:tc>
          <w:tcPr>
            <w:tcW w:w="920" w:type="dxa"/>
            <w:tcBorders>
              <w:top w:val="nil"/>
              <w:left w:val="nil"/>
              <w:bottom w:val="nil"/>
              <w:right w:val="nil"/>
            </w:tcBorders>
            <w:shd w:val="clear" w:color="auto" w:fill="auto"/>
            <w:noWrap/>
            <w:vAlign w:val="bottom"/>
            <w:hideMark/>
          </w:tcPr>
          <w:p w14:paraId="6F41213A"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-114.36</w:t>
            </w:r>
          </w:p>
        </w:tc>
        <w:tc>
          <w:tcPr>
            <w:tcW w:w="1382" w:type="dxa"/>
            <w:tcBorders>
              <w:top w:val="nil"/>
              <w:left w:val="nil"/>
              <w:bottom w:val="nil"/>
              <w:right w:val="nil"/>
            </w:tcBorders>
            <w:shd w:val="clear" w:color="auto" w:fill="auto"/>
            <w:noWrap/>
            <w:vAlign w:val="bottom"/>
            <w:hideMark/>
          </w:tcPr>
          <w:p w14:paraId="30A4A475" w14:textId="47D478E6"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USC00104845</w:t>
            </w:r>
          </w:p>
        </w:tc>
        <w:tc>
          <w:tcPr>
            <w:tcW w:w="1228" w:type="dxa"/>
            <w:tcBorders>
              <w:top w:val="nil"/>
              <w:left w:val="nil"/>
              <w:bottom w:val="nil"/>
              <w:right w:val="nil"/>
            </w:tcBorders>
            <w:shd w:val="clear" w:color="auto" w:fill="auto"/>
            <w:noWrap/>
            <w:vAlign w:val="bottom"/>
            <w:hideMark/>
          </w:tcPr>
          <w:p w14:paraId="3745F60B" w14:textId="2330DF7E"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1974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11FCE029"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0.556</w:t>
            </w:r>
          </w:p>
        </w:tc>
        <w:tc>
          <w:tcPr>
            <w:tcW w:w="828" w:type="dxa"/>
            <w:tcBorders>
              <w:top w:val="nil"/>
              <w:left w:val="nil"/>
              <w:bottom w:val="nil"/>
              <w:right w:val="nil"/>
            </w:tcBorders>
            <w:shd w:val="clear" w:color="auto" w:fill="auto"/>
            <w:noWrap/>
            <w:vAlign w:val="bottom"/>
            <w:hideMark/>
          </w:tcPr>
          <w:p w14:paraId="2D304868" w14:textId="2589E2F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0.55</w:t>
            </w:r>
            <w:r w:rsidR="00710EA5">
              <w:rPr>
                <w:rFonts w:ascii="Calibri" w:eastAsia="Times New Roman" w:hAnsi="Calibri" w:cs="Calibri"/>
                <w:color w:val="000000"/>
                <w:sz w:val="20"/>
                <w:szCs w:val="20"/>
              </w:rPr>
              <w:t>0</w:t>
            </w:r>
          </w:p>
        </w:tc>
        <w:tc>
          <w:tcPr>
            <w:tcW w:w="769" w:type="dxa"/>
            <w:tcBorders>
              <w:top w:val="nil"/>
              <w:left w:val="nil"/>
              <w:bottom w:val="nil"/>
              <w:right w:val="nil"/>
            </w:tcBorders>
            <w:shd w:val="clear" w:color="auto" w:fill="auto"/>
            <w:noWrap/>
            <w:vAlign w:val="bottom"/>
            <w:hideMark/>
          </w:tcPr>
          <w:p w14:paraId="30568A82"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0.006</w:t>
            </w:r>
          </w:p>
        </w:tc>
      </w:tr>
      <w:tr w:rsidR="00133E68" w:rsidRPr="00133E68" w14:paraId="3CF00D18" w14:textId="77777777" w:rsidTr="00133E68">
        <w:trPr>
          <w:trHeight w:val="288"/>
        </w:trPr>
        <w:tc>
          <w:tcPr>
            <w:tcW w:w="1659" w:type="dxa"/>
            <w:tcBorders>
              <w:top w:val="nil"/>
              <w:left w:val="nil"/>
              <w:bottom w:val="nil"/>
              <w:right w:val="nil"/>
            </w:tcBorders>
            <w:shd w:val="clear" w:color="auto" w:fill="auto"/>
            <w:noWrap/>
            <w:vAlign w:val="bottom"/>
            <w:hideMark/>
          </w:tcPr>
          <w:p w14:paraId="104098DA"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Stanley</w:t>
            </w:r>
          </w:p>
        </w:tc>
        <w:tc>
          <w:tcPr>
            <w:tcW w:w="791" w:type="dxa"/>
            <w:tcBorders>
              <w:top w:val="nil"/>
              <w:left w:val="nil"/>
              <w:bottom w:val="nil"/>
              <w:right w:val="nil"/>
            </w:tcBorders>
            <w:shd w:val="clear" w:color="auto" w:fill="auto"/>
            <w:noWrap/>
            <w:vAlign w:val="bottom"/>
            <w:hideMark/>
          </w:tcPr>
          <w:p w14:paraId="1173EDF0"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44.17</w:t>
            </w:r>
          </w:p>
        </w:tc>
        <w:tc>
          <w:tcPr>
            <w:tcW w:w="920" w:type="dxa"/>
            <w:tcBorders>
              <w:top w:val="nil"/>
              <w:left w:val="nil"/>
              <w:bottom w:val="nil"/>
              <w:right w:val="nil"/>
            </w:tcBorders>
            <w:shd w:val="clear" w:color="auto" w:fill="auto"/>
            <w:noWrap/>
            <w:vAlign w:val="bottom"/>
            <w:hideMark/>
          </w:tcPr>
          <w:p w14:paraId="277BD2E0"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-114.93</w:t>
            </w:r>
          </w:p>
        </w:tc>
        <w:tc>
          <w:tcPr>
            <w:tcW w:w="1382" w:type="dxa"/>
            <w:tcBorders>
              <w:top w:val="nil"/>
              <w:left w:val="nil"/>
              <w:bottom w:val="nil"/>
              <w:right w:val="nil"/>
            </w:tcBorders>
            <w:shd w:val="clear" w:color="auto" w:fill="auto"/>
            <w:noWrap/>
            <w:vAlign w:val="bottom"/>
            <w:hideMark/>
          </w:tcPr>
          <w:p w14:paraId="5455A82D" w14:textId="3D2EE7AC"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USW00004112</w:t>
            </w:r>
          </w:p>
        </w:tc>
        <w:tc>
          <w:tcPr>
            <w:tcW w:w="1228" w:type="dxa"/>
            <w:tcBorders>
              <w:top w:val="nil"/>
              <w:left w:val="nil"/>
              <w:bottom w:val="nil"/>
              <w:right w:val="nil"/>
            </w:tcBorders>
            <w:shd w:val="clear" w:color="auto" w:fill="auto"/>
            <w:noWrap/>
            <w:vAlign w:val="bottom"/>
            <w:hideMark/>
          </w:tcPr>
          <w:p w14:paraId="7521A727" w14:textId="40899490"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1963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27167715"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0.184</w:t>
            </w:r>
          </w:p>
        </w:tc>
        <w:tc>
          <w:tcPr>
            <w:tcW w:w="828" w:type="dxa"/>
            <w:tcBorders>
              <w:top w:val="nil"/>
              <w:left w:val="nil"/>
              <w:bottom w:val="nil"/>
              <w:right w:val="nil"/>
            </w:tcBorders>
            <w:shd w:val="clear" w:color="auto" w:fill="auto"/>
            <w:noWrap/>
            <w:vAlign w:val="bottom"/>
            <w:hideMark/>
          </w:tcPr>
          <w:p w14:paraId="23E33A78"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0.205</w:t>
            </w:r>
          </w:p>
        </w:tc>
        <w:tc>
          <w:tcPr>
            <w:tcW w:w="769" w:type="dxa"/>
            <w:tcBorders>
              <w:top w:val="nil"/>
              <w:left w:val="nil"/>
              <w:bottom w:val="nil"/>
              <w:right w:val="nil"/>
            </w:tcBorders>
            <w:shd w:val="clear" w:color="auto" w:fill="auto"/>
            <w:noWrap/>
            <w:vAlign w:val="bottom"/>
            <w:hideMark/>
          </w:tcPr>
          <w:p w14:paraId="5F46DF44"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0.021</w:t>
            </w:r>
          </w:p>
        </w:tc>
      </w:tr>
      <w:tr w:rsidR="00133E68" w:rsidRPr="00133E68" w14:paraId="3447B3D0" w14:textId="77777777" w:rsidTr="00133E68">
        <w:trPr>
          <w:trHeight w:val="288"/>
        </w:trPr>
        <w:tc>
          <w:tcPr>
            <w:tcW w:w="1659" w:type="dxa"/>
            <w:tcBorders>
              <w:top w:val="nil"/>
              <w:left w:val="nil"/>
              <w:bottom w:val="nil"/>
              <w:right w:val="nil"/>
            </w:tcBorders>
            <w:shd w:val="clear" w:color="auto" w:fill="auto"/>
            <w:noWrap/>
            <w:vAlign w:val="bottom"/>
            <w:hideMark/>
          </w:tcPr>
          <w:p w14:paraId="60331FF1"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Banner Summit</w:t>
            </w:r>
          </w:p>
        </w:tc>
        <w:tc>
          <w:tcPr>
            <w:tcW w:w="791" w:type="dxa"/>
            <w:tcBorders>
              <w:top w:val="nil"/>
              <w:left w:val="nil"/>
              <w:bottom w:val="nil"/>
              <w:right w:val="nil"/>
            </w:tcBorders>
            <w:shd w:val="clear" w:color="auto" w:fill="auto"/>
            <w:noWrap/>
            <w:vAlign w:val="bottom"/>
            <w:hideMark/>
          </w:tcPr>
          <w:p w14:paraId="2B39361A" w14:textId="1E08DDC0"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44.3</w:t>
            </w:r>
            <w:r w:rsidR="00792F74">
              <w:rPr>
                <w:rFonts w:ascii="Calibri" w:eastAsia="Times New Roman" w:hAnsi="Calibri" w:cs="Calibri"/>
                <w:color w:val="000000"/>
                <w:sz w:val="20"/>
                <w:szCs w:val="20"/>
              </w:rPr>
              <w:t>0</w:t>
            </w:r>
          </w:p>
        </w:tc>
        <w:tc>
          <w:tcPr>
            <w:tcW w:w="920" w:type="dxa"/>
            <w:tcBorders>
              <w:top w:val="nil"/>
              <w:left w:val="nil"/>
              <w:bottom w:val="nil"/>
              <w:right w:val="nil"/>
            </w:tcBorders>
            <w:shd w:val="clear" w:color="auto" w:fill="auto"/>
            <w:noWrap/>
            <w:vAlign w:val="bottom"/>
            <w:hideMark/>
          </w:tcPr>
          <w:p w14:paraId="4CDD3DF7"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-115.23</w:t>
            </w:r>
          </w:p>
        </w:tc>
        <w:tc>
          <w:tcPr>
            <w:tcW w:w="1382" w:type="dxa"/>
            <w:tcBorders>
              <w:top w:val="nil"/>
              <w:left w:val="nil"/>
              <w:bottom w:val="nil"/>
              <w:right w:val="nil"/>
            </w:tcBorders>
            <w:shd w:val="clear" w:color="auto" w:fill="auto"/>
            <w:noWrap/>
            <w:vAlign w:val="bottom"/>
            <w:hideMark/>
          </w:tcPr>
          <w:p w14:paraId="5E9F013F" w14:textId="4B7A7C56"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USS0015E11S</w:t>
            </w:r>
          </w:p>
        </w:tc>
        <w:tc>
          <w:tcPr>
            <w:tcW w:w="1228" w:type="dxa"/>
            <w:tcBorders>
              <w:top w:val="nil"/>
              <w:left w:val="nil"/>
              <w:bottom w:val="nil"/>
              <w:right w:val="nil"/>
            </w:tcBorders>
            <w:shd w:val="clear" w:color="auto" w:fill="auto"/>
            <w:noWrap/>
            <w:vAlign w:val="bottom"/>
            <w:hideMark/>
          </w:tcPr>
          <w:p w14:paraId="14FFC9E5" w14:textId="3E03AA66"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1980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33F12145" w14:textId="3E010972"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0.51</w:t>
            </w:r>
            <w:r w:rsidR="00792F74">
              <w:rPr>
                <w:rFonts w:ascii="Calibri" w:eastAsia="Times New Roman" w:hAnsi="Calibri" w:cs="Calibri"/>
                <w:color w:val="000000"/>
                <w:sz w:val="20"/>
                <w:szCs w:val="20"/>
              </w:rPr>
              <w:t>0</w:t>
            </w:r>
          </w:p>
        </w:tc>
        <w:tc>
          <w:tcPr>
            <w:tcW w:w="828" w:type="dxa"/>
            <w:tcBorders>
              <w:top w:val="nil"/>
              <w:left w:val="nil"/>
              <w:bottom w:val="nil"/>
              <w:right w:val="nil"/>
            </w:tcBorders>
            <w:shd w:val="clear" w:color="auto" w:fill="auto"/>
            <w:noWrap/>
            <w:vAlign w:val="bottom"/>
            <w:hideMark/>
          </w:tcPr>
          <w:p w14:paraId="44962E0E"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0.602</w:t>
            </w:r>
          </w:p>
        </w:tc>
        <w:tc>
          <w:tcPr>
            <w:tcW w:w="769" w:type="dxa"/>
            <w:tcBorders>
              <w:top w:val="nil"/>
              <w:left w:val="nil"/>
              <w:bottom w:val="nil"/>
              <w:right w:val="nil"/>
            </w:tcBorders>
            <w:shd w:val="clear" w:color="auto" w:fill="auto"/>
            <w:noWrap/>
            <w:vAlign w:val="bottom"/>
            <w:hideMark/>
          </w:tcPr>
          <w:p w14:paraId="5071AEB2"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0.092</w:t>
            </w:r>
          </w:p>
        </w:tc>
      </w:tr>
      <w:tr w:rsidR="00133E68" w:rsidRPr="00133E68" w14:paraId="4651BA2F" w14:textId="77777777" w:rsidTr="00133E68">
        <w:trPr>
          <w:trHeight w:val="288"/>
        </w:trPr>
        <w:tc>
          <w:tcPr>
            <w:tcW w:w="1659" w:type="dxa"/>
            <w:tcBorders>
              <w:top w:val="nil"/>
              <w:left w:val="nil"/>
              <w:bottom w:val="nil"/>
              <w:right w:val="nil"/>
            </w:tcBorders>
            <w:shd w:val="clear" w:color="auto" w:fill="auto"/>
            <w:noWrap/>
            <w:vAlign w:val="bottom"/>
            <w:hideMark/>
          </w:tcPr>
          <w:p w14:paraId="3DCA018A"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Galena</w:t>
            </w:r>
          </w:p>
        </w:tc>
        <w:tc>
          <w:tcPr>
            <w:tcW w:w="791" w:type="dxa"/>
            <w:tcBorders>
              <w:top w:val="nil"/>
              <w:left w:val="nil"/>
              <w:bottom w:val="nil"/>
              <w:right w:val="nil"/>
            </w:tcBorders>
            <w:shd w:val="clear" w:color="auto" w:fill="auto"/>
            <w:noWrap/>
            <w:vAlign w:val="bottom"/>
            <w:hideMark/>
          </w:tcPr>
          <w:p w14:paraId="52975A99"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43.88</w:t>
            </w:r>
          </w:p>
        </w:tc>
        <w:tc>
          <w:tcPr>
            <w:tcW w:w="920" w:type="dxa"/>
            <w:tcBorders>
              <w:top w:val="nil"/>
              <w:left w:val="nil"/>
              <w:bottom w:val="nil"/>
              <w:right w:val="nil"/>
            </w:tcBorders>
            <w:shd w:val="clear" w:color="auto" w:fill="auto"/>
            <w:noWrap/>
            <w:vAlign w:val="bottom"/>
            <w:hideMark/>
          </w:tcPr>
          <w:p w14:paraId="137B8437"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-114.67</w:t>
            </w:r>
          </w:p>
        </w:tc>
        <w:tc>
          <w:tcPr>
            <w:tcW w:w="1382" w:type="dxa"/>
            <w:tcBorders>
              <w:top w:val="nil"/>
              <w:left w:val="nil"/>
              <w:bottom w:val="nil"/>
              <w:right w:val="nil"/>
            </w:tcBorders>
            <w:shd w:val="clear" w:color="auto" w:fill="auto"/>
            <w:noWrap/>
            <w:vAlign w:val="bottom"/>
            <w:hideMark/>
          </w:tcPr>
          <w:p w14:paraId="048BE34A" w14:textId="3500DAB1"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USS0014F17S</w:t>
            </w:r>
          </w:p>
        </w:tc>
        <w:tc>
          <w:tcPr>
            <w:tcW w:w="1228" w:type="dxa"/>
            <w:tcBorders>
              <w:top w:val="nil"/>
              <w:left w:val="nil"/>
              <w:bottom w:val="nil"/>
              <w:right w:val="nil"/>
            </w:tcBorders>
            <w:shd w:val="clear" w:color="auto" w:fill="auto"/>
            <w:noWrap/>
            <w:vAlign w:val="bottom"/>
            <w:hideMark/>
          </w:tcPr>
          <w:p w14:paraId="059B2EEE" w14:textId="5DB06D08"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1988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2D6417E9"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0.547</w:t>
            </w:r>
          </w:p>
        </w:tc>
        <w:tc>
          <w:tcPr>
            <w:tcW w:w="828" w:type="dxa"/>
            <w:tcBorders>
              <w:top w:val="nil"/>
              <w:left w:val="nil"/>
              <w:bottom w:val="nil"/>
              <w:right w:val="nil"/>
            </w:tcBorders>
            <w:shd w:val="clear" w:color="auto" w:fill="auto"/>
            <w:noWrap/>
            <w:vAlign w:val="bottom"/>
            <w:hideMark/>
          </w:tcPr>
          <w:p w14:paraId="73F60901"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0.533</w:t>
            </w:r>
          </w:p>
        </w:tc>
        <w:tc>
          <w:tcPr>
            <w:tcW w:w="769" w:type="dxa"/>
            <w:tcBorders>
              <w:top w:val="nil"/>
              <w:left w:val="nil"/>
              <w:bottom w:val="nil"/>
              <w:right w:val="nil"/>
            </w:tcBorders>
            <w:shd w:val="clear" w:color="auto" w:fill="auto"/>
            <w:noWrap/>
            <w:vAlign w:val="bottom"/>
            <w:hideMark/>
          </w:tcPr>
          <w:p w14:paraId="40C45084"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0.014</w:t>
            </w:r>
          </w:p>
        </w:tc>
      </w:tr>
      <w:tr w:rsidR="00133E68" w:rsidRPr="00133E68" w14:paraId="21298787" w14:textId="77777777" w:rsidTr="00133E68">
        <w:trPr>
          <w:trHeight w:val="288"/>
        </w:trPr>
        <w:tc>
          <w:tcPr>
            <w:tcW w:w="1659" w:type="dxa"/>
            <w:tcBorders>
              <w:top w:val="nil"/>
              <w:left w:val="nil"/>
              <w:bottom w:val="nil"/>
              <w:right w:val="nil"/>
            </w:tcBorders>
            <w:shd w:val="clear" w:color="auto" w:fill="auto"/>
            <w:noWrap/>
            <w:vAlign w:val="bottom"/>
            <w:hideMark/>
          </w:tcPr>
          <w:p w14:paraId="48607BEF" w14:textId="77777777" w:rsidR="00133E68" w:rsidRPr="00133E68" w:rsidRDefault="00133E68" w:rsidP="00133E68">
            <w:pPr>
              <w:spacing w:after="0" w:line="240" w:lineRule="auto"/>
              <w:rPr>
                <w:rFonts w:ascii="Calibri" w:eastAsia="Times New Roman" w:hAnsi="Calibri" w:cs="Calibri"/>
                <w:color w:val="000000"/>
                <w:sz w:val="20"/>
                <w:szCs w:val="20"/>
              </w:rPr>
            </w:pPr>
            <w:proofErr w:type="spellStart"/>
            <w:r w:rsidRPr="00133E68">
              <w:rPr>
                <w:rFonts w:ascii="Calibri" w:eastAsia="Times New Roman" w:hAnsi="Calibri" w:cs="Calibri"/>
                <w:color w:val="000000"/>
                <w:sz w:val="20"/>
                <w:szCs w:val="20"/>
              </w:rPr>
              <w:t>Dollarhide</w:t>
            </w:r>
            <w:proofErr w:type="spellEnd"/>
            <w:r w:rsidRPr="00133E68">
              <w:rPr>
                <w:rFonts w:ascii="Calibri" w:eastAsia="Times New Roman" w:hAnsi="Calibri" w:cs="Calibri"/>
                <w:color w:val="000000"/>
                <w:sz w:val="20"/>
                <w:szCs w:val="20"/>
              </w:rPr>
              <w:t xml:space="preserve"> Summit</w:t>
            </w:r>
          </w:p>
        </w:tc>
        <w:tc>
          <w:tcPr>
            <w:tcW w:w="791" w:type="dxa"/>
            <w:tcBorders>
              <w:top w:val="nil"/>
              <w:left w:val="nil"/>
              <w:bottom w:val="nil"/>
              <w:right w:val="nil"/>
            </w:tcBorders>
            <w:shd w:val="clear" w:color="auto" w:fill="auto"/>
            <w:noWrap/>
            <w:vAlign w:val="bottom"/>
            <w:hideMark/>
          </w:tcPr>
          <w:p w14:paraId="08606347" w14:textId="552FCE83"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43.6</w:t>
            </w:r>
            <w:r w:rsidR="00792F74">
              <w:rPr>
                <w:rFonts w:ascii="Calibri" w:eastAsia="Times New Roman" w:hAnsi="Calibri" w:cs="Calibri"/>
                <w:color w:val="000000"/>
                <w:sz w:val="20"/>
                <w:szCs w:val="20"/>
              </w:rPr>
              <w:t>0</w:t>
            </w:r>
          </w:p>
        </w:tc>
        <w:tc>
          <w:tcPr>
            <w:tcW w:w="920" w:type="dxa"/>
            <w:tcBorders>
              <w:top w:val="nil"/>
              <w:left w:val="nil"/>
              <w:bottom w:val="nil"/>
              <w:right w:val="nil"/>
            </w:tcBorders>
            <w:shd w:val="clear" w:color="auto" w:fill="auto"/>
            <w:noWrap/>
            <w:vAlign w:val="bottom"/>
            <w:hideMark/>
          </w:tcPr>
          <w:p w14:paraId="74CD5BC1"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-114.67</w:t>
            </w:r>
          </w:p>
        </w:tc>
        <w:tc>
          <w:tcPr>
            <w:tcW w:w="1382" w:type="dxa"/>
            <w:tcBorders>
              <w:top w:val="nil"/>
              <w:left w:val="nil"/>
              <w:bottom w:val="nil"/>
              <w:right w:val="nil"/>
            </w:tcBorders>
            <w:shd w:val="clear" w:color="auto" w:fill="auto"/>
            <w:noWrap/>
            <w:vAlign w:val="bottom"/>
            <w:hideMark/>
          </w:tcPr>
          <w:p w14:paraId="0545E777" w14:textId="7CD27DE8"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USS0014F08S</w:t>
            </w:r>
          </w:p>
        </w:tc>
        <w:tc>
          <w:tcPr>
            <w:tcW w:w="1228" w:type="dxa"/>
            <w:tcBorders>
              <w:top w:val="nil"/>
              <w:left w:val="nil"/>
              <w:bottom w:val="nil"/>
              <w:right w:val="nil"/>
            </w:tcBorders>
            <w:shd w:val="clear" w:color="auto" w:fill="auto"/>
            <w:noWrap/>
            <w:vAlign w:val="bottom"/>
            <w:hideMark/>
          </w:tcPr>
          <w:p w14:paraId="65CD6684" w14:textId="2CC76B7C"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1988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13E2CF31"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0.698</w:t>
            </w:r>
          </w:p>
        </w:tc>
        <w:tc>
          <w:tcPr>
            <w:tcW w:w="828" w:type="dxa"/>
            <w:tcBorders>
              <w:top w:val="nil"/>
              <w:left w:val="nil"/>
              <w:bottom w:val="nil"/>
              <w:right w:val="nil"/>
            </w:tcBorders>
            <w:shd w:val="clear" w:color="auto" w:fill="auto"/>
            <w:noWrap/>
            <w:vAlign w:val="bottom"/>
            <w:hideMark/>
          </w:tcPr>
          <w:p w14:paraId="7F333A3A"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0.777</w:t>
            </w:r>
          </w:p>
        </w:tc>
        <w:tc>
          <w:tcPr>
            <w:tcW w:w="769" w:type="dxa"/>
            <w:tcBorders>
              <w:top w:val="nil"/>
              <w:left w:val="nil"/>
              <w:bottom w:val="nil"/>
              <w:right w:val="nil"/>
            </w:tcBorders>
            <w:shd w:val="clear" w:color="auto" w:fill="auto"/>
            <w:noWrap/>
            <w:vAlign w:val="bottom"/>
            <w:hideMark/>
          </w:tcPr>
          <w:p w14:paraId="6B4DC272"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0.079</w:t>
            </w:r>
          </w:p>
        </w:tc>
      </w:tr>
      <w:tr w:rsidR="00133E68" w:rsidRPr="00133E68" w14:paraId="3C046C87" w14:textId="77777777" w:rsidTr="00133E68">
        <w:trPr>
          <w:trHeight w:val="288"/>
        </w:trPr>
        <w:tc>
          <w:tcPr>
            <w:tcW w:w="1659" w:type="dxa"/>
            <w:tcBorders>
              <w:top w:val="nil"/>
              <w:left w:val="nil"/>
              <w:bottom w:val="nil"/>
              <w:right w:val="nil"/>
            </w:tcBorders>
            <w:shd w:val="clear" w:color="auto" w:fill="auto"/>
            <w:noWrap/>
            <w:vAlign w:val="bottom"/>
            <w:hideMark/>
          </w:tcPr>
          <w:p w14:paraId="5141001D"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Galena Summit</w:t>
            </w:r>
          </w:p>
        </w:tc>
        <w:tc>
          <w:tcPr>
            <w:tcW w:w="791" w:type="dxa"/>
            <w:tcBorders>
              <w:top w:val="nil"/>
              <w:left w:val="nil"/>
              <w:bottom w:val="nil"/>
              <w:right w:val="nil"/>
            </w:tcBorders>
            <w:shd w:val="clear" w:color="auto" w:fill="auto"/>
            <w:noWrap/>
            <w:vAlign w:val="bottom"/>
            <w:hideMark/>
          </w:tcPr>
          <w:p w14:paraId="457F0DAE"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43.87</w:t>
            </w:r>
          </w:p>
        </w:tc>
        <w:tc>
          <w:tcPr>
            <w:tcW w:w="920" w:type="dxa"/>
            <w:tcBorders>
              <w:top w:val="nil"/>
              <w:left w:val="nil"/>
              <w:bottom w:val="nil"/>
              <w:right w:val="nil"/>
            </w:tcBorders>
            <w:shd w:val="clear" w:color="auto" w:fill="auto"/>
            <w:noWrap/>
            <w:vAlign w:val="bottom"/>
            <w:hideMark/>
          </w:tcPr>
          <w:p w14:paraId="363C950B"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-114.71</w:t>
            </w:r>
          </w:p>
        </w:tc>
        <w:tc>
          <w:tcPr>
            <w:tcW w:w="1382" w:type="dxa"/>
            <w:tcBorders>
              <w:top w:val="nil"/>
              <w:left w:val="nil"/>
              <w:bottom w:val="nil"/>
              <w:right w:val="nil"/>
            </w:tcBorders>
            <w:shd w:val="clear" w:color="auto" w:fill="auto"/>
            <w:noWrap/>
            <w:vAlign w:val="bottom"/>
            <w:hideMark/>
          </w:tcPr>
          <w:p w14:paraId="4D2E8FC0" w14:textId="323523AB"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USS0014F12S</w:t>
            </w:r>
          </w:p>
        </w:tc>
        <w:tc>
          <w:tcPr>
            <w:tcW w:w="1228" w:type="dxa"/>
            <w:tcBorders>
              <w:top w:val="nil"/>
              <w:left w:val="nil"/>
              <w:bottom w:val="nil"/>
              <w:right w:val="nil"/>
            </w:tcBorders>
            <w:shd w:val="clear" w:color="auto" w:fill="auto"/>
            <w:noWrap/>
            <w:vAlign w:val="bottom"/>
            <w:hideMark/>
          </w:tcPr>
          <w:p w14:paraId="0E4DA0E7" w14:textId="5585E5E6"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 xml:space="preserve">1988 </w:t>
            </w:r>
            <w:r w:rsidR="00A25850">
              <w:rPr>
                <w:rFonts w:ascii="Calibri" w:eastAsia="Times New Roman" w:hAnsi="Calibri" w:cs="Calibri"/>
                <w:color w:val="000000"/>
                <w:sz w:val="20"/>
                <w:szCs w:val="20"/>
              </w:rPr>
              <w:t>–</w:t>
            </w:r>
            <w:r w:rsidRPr="00133E68">
              <w:rPr>
                <w:rFonts w:ascii="Calibri" w:eastAsia="Times New Roman" w:hAnsi="Calibri" w:cs="Calibri"/>
                <w:color w:val="000000"/>
                <w:sz w:val="20"/>
                <w:szCs w:val="20"/>
              </w:rPr>
              <w:t xml:space="preserve"> 2017</w:t>
            </w:r>
          </w:p>
        </w:tc>
        <w:tc>
          <w:tcPr>
            <w:tcW w:w="1014" w:type="dxa"/>
            <w:tcBorders>
              <w:top w:val="nil"/>
              <w:left w:val="nil"/>
              <w:bottom w:val="nil"/>
              <w:right w:val="nil"/>
            </w:tcBorders>
            <w:shd w:val="clear" w:color="auto" w:fill="auto"/>
            <w:noWrap/>
            <w:vAlign w:val="bottom"/>
            <w:hideMark/>
          </w:tcPr>
          <w:p w14:paraId="532283D3"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0.613</w:t>
            </w:r>
          </w:p>
        </w:tc>
        <w:tc>
          <w:tcPr>
            <w:tcW w:w="828" w:type="dxa"/>
            <w:tcBorders>
              <w:top w:val="nil"/>
              <w:left w:val="nil"/>
              <w:bottom w:val="nil"/>
              <w:right w:val="nil"/>
            </w:tcBorders>
            <w:shd w:val="clear" w:color="auto" w:fill="auto"/>
            <w:noWrap/>
            <w:vAlign w:val="bottom"/>
            <w:hideMark/>
          </w:tcPr>
          <w:p w14:paraId="6E28218C"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0.652</w:t>
            </w:r>
          </w:p>
        </w:tc>
        <w:tc>
          <w:tcPr>
            <w:tcW w:w="769" w:type="dxa"/>
            <w:tcBorders>
              <w:top w:val="nil"/>
              <w:left w:val="nil"/>
              <w:bottom w:val="nil"/>
              <w:right w:val="nil"/>
            </w:tcBorders>
            <w:shd w:val="clear" w:color="auto" w:fill="auto"/>
            <w:noWrap/>
            <w:vAlign w:val="bottom"/>
            <w:hideMark/>
          </w:tcPr>
          <w:p w14:paraId="149BE748"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0.039</w:t>
            </w:r>
          </w:p>
        </w:tc>
      </w:tr>
      <w:tr w:rsidR="00133E68" w:rsidRPr="00133E68" w14:paraId="56C85282" w14:textId="77777777" w:rsidTr="00133E68">
        <w:trPr>
          <w:trHeight w:val="288"/>
        </w:trPr>
        <w:tc>
          <w:tcPr>
            <w:tcW w:w="1659" w:type="dxa"/>
            <w:tcBorders>
              <w:top w:val="nil"/>
              <w:left w:val="nil"/>
              <w:bottom w:val="nil"/>
              <w:right w:val="nil"/>
            </w:tcBorders>
            <w:shd w:val="clear" w:color="auto" w:fill="auto"/>
            <w:noWrap/>
            <w:vAlign w:val="bottom"/>
            <w:hideMark/>
          </w:tcPr>
          <w:p w14:paraId="10C459CD"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Vienna Mine</w:t>
            </w:r>
          </w:p>
        </w:tc>
        <w:tc>
          <w:tcPr>
            <w:tcW w:w="791" w:type="dxa"/>
            <w:tcBorders>
              <w:top w:val="nil"/>
              <w:left w:val="nil"/>
              <w:bottom w:val="nil"/>
              <w:right w:val="nil"/>
            </w:tcBorders>
            <w:shd w:val="clear" w:color="auto" w:fill="auto"/>
            <w:noWrap/>
            <w:vAlign w:val="bottom"/>
            <w:hideMark/>
          </w:tcPr>
          <w:p w14:paraId="7508214E" w14:textId="26126789"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43.8</w:t>
            </w:r>
            <w:r w:rsidR="00792F74">
              <w:rPr>
                <w:rFonts w:ascii="Calibri" w:eastAsia="Times New Roman" w:hAnsi="Calibri" w:cs="Calibri"/>
                <w:color w:val="000000"/>
                <w:sz w:val="20"/>
                <w:szCs w:val="20"/>
              </w:rPr>
              <w:t>0</w:t>
            </w:r>
          </w:p>
        </w:tc>
        <w:tc>
          <w:tcPr>
            <w:tcW w:w="920" w:type="dxa"/>
            <w:tcBorders>
              <w:top w:val="nil"/>
              <w:left w:val="nil"/>
              <w:bottom w:val="nil"/>
              <w:right w:val="nil"/>
            </w:tcBorders>
            <w:shd w:val="clear" w:color="auto" w:fill="auto"/>
            <w:noWrap/>
            <w:vAlign w:val="bottom"/>
            <w:hideMark/>
          </w:tcPr>
          <w:p w14:paraId="53F2A824"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-114.85</w:t>
            </w:r>
          </w:p>
        </w:tc>
        <w:tc>
          <w:tcPr>
            <w:tcW w:w="1382" w:type="dxa"/>
            <w:tcBorders>
              <w:top w:val="nil"/>
              <w:left w:val="nil"/>
              <w:bottom w:val="nil"/>
              <w:right w:val="nil"/>
            </w:tcBorders>
            <w:shd w:val="clear" w:color="auto" w:fill="auto"/>
            <w:noWrap/>
            <w:vAlign w:val="bottom"/>
            <w:hideMark/>
          </w:tcPr>
          <w:p w14:paraId="1F296232" w14:textId="3BA630A9"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USS0014F04S</w:t>
            </w:r>
          </w:p>
        </w:tc>
        <w:tc>
          <w:tcPr>
            <w:tcW w:w="1228" w:type="dxa"/>
            <w:tcBorders>
              <w:top w:val="nil"/>
              <w:left w:val="nil"/>
              <w:bottom w:val="nil"/>
              <w:right w:val="nil"/>
            </w:tcBorders>
            <w:shd w:val="clear" w:color="auto" w:fill="auto"/>
            <w:noWrap/>
            <w:vAlign w:val="bottom"/>
            <w:hideMark/>
          </w:tcPr>
          <w:p w14:paraId="11A8C7F9" w14:textId="77777777" w:rsidR="00133E68" w:rsidRPr="00133E68" w:rsidRDefault="00133E68" w:rsidP="00133E68">
            <w:pPr>
              <w:spacing w:after="0" w:line="240" w:lineRule="auto"/>
              <w:rPr>
                <w:rFonts w:ascii="Calibri" w:eastAsia="Times New Roman" w:hAnsi="Calibri" w:cs="Calibri"/>
                <w:color w:val="000000"/>
                <w:sz w:val="20"/>
                <w:szCs w:val="20"/>
              </w:rPr>
            </w:pPr>
            <w:r w:rsidRPr="00133E68">
              <w:rPr>
                <w:rFonts w:ascii="Calibri" w:eastAsia="Times New Roman" w:hAnsi="Calibri" w:cs="Calibri"/>
                <w:color w:val="000000"/>
                <w:sz w:val="20"/>
                <w:szCs w:val="20"/>
              </w:rPr>
              <w:t>1988 - 2017</w:t>
            </w:r>
          </w:p>
        </w:tc>
        <w:tc>
          <w:tcPr>
            <w:tcW w:w="1014" w:type="dxa"/>
            <w:tcBorders>
              <w:top w:val="nil"/>
              <w:left w:val="nil"/>
              <w:bottom w:val="nil"/>
              <w:right w:val="nil"/>
            </w:tcBorders>
            <w:shd w:val="clear" w:color="auto" w:fill="auto"/>
            <w:noWrap/>
            <w:vAlign w:val="bottom"/>
            <w:hideMark/>
          </w:tcPr>
          <w:p w14:paraId="130C4A97" w14:textId="35D4E23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0.61</w:t>
            </w:r>
            <w:r w:rsidR="00710EA5">
              <w:rPr>
                <w:rFonts w:ascii="Calibri" w:eastAsia="Times New Roman" w:hAnsi="Calibri" w:cs="Calibri"/>
                <w:color w:val="000000"/>
                <w:sz w:val="20"/>
                <w:szCs w:val="20"/>
              </w:rPr>
              <w:t>0</w:t>
            </w:r>
          </w:p>
        </w:tc>
        <w:tc>
          <w:tcPr>
            <w:tcW w:w="828" w:type="dxa"/>
            <w:tcBorders>
              <w:top w:val="nil"/>
              <w:left w:val="nil"/>
              <w:bottom w:val="nil"/>
              <w:right w:val="nil"/>
            </w:tcBorders>
            <w:shd w:val="clear" w:color="auto" w:fill="auto"/>
            <w:noWrap/>
            <w:vAlign w:val="bottom"/>
            <w:hideMark/>
          </w:tcPr>
          <w:p w14:paraId="59963FFF"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0.623</w:t>
            </w:r>
          </w:p>
        </w:tc>
        <w:tc>
          <w:tcPr>
            <w:tcW w:w="769" w:type="dxa"/>
            <w:tcBorders>
              <w:top w:val="nil"/>
              <w:left w:val="nil"/>
              <w:bottom w:val="nil"/>
              <w:right w:val="nil"/>
            </w:tcBorders>
            <w:shd w:val="clear" w:color="auto" w:fill="auto"/>
            <w:noWrap/>
            <w:vAlign w:val="bottom"/>
            <w:hideMark/>
          </w:tcPr>
          <w:p w14:paraId="7421FBDD" w14:textId="77777777" w:rsidR="00133E68" w:rsidRPr="00133E68" w:rsidRDefault="00133E68" w:rsidP="00133E68">
            <w:pPr>
              <w:spacing w:after="0" w:line="240" w:lineRule="auto"/>
              <w:jc w:val="right"/>
              <w:rPr>
                <w:rFonts w:ascii="Calibri" w:eastAsia="Times New Roman" w:hAnsi="Calibri" w:cs="Calibri"/>
                <w:color w:val="000000"/>
                <w:sz w:val="20"/>
                <w:szCs w:val="20"/>
              </w:rPr>
            </w:pPr>
            <w:r w:rsidRPr="00133E68">
              <w:rPr>
                <w:rFonts w:ascii="Calibri" w:eastAsia="Times New Roman" w:hAnsi="Calibri" w:cs="Calibri"/>
                <w:color w:val="000000"/>
                <w:sz w:val="20"/>
                <w:szCs w:val="20"/>
              </w:rPr>
              <w:t>0.013</w:t>
            </w:r>
          </w:p>
        </w:tc>
      </w:tr>
    </w:tbl>
    <w:p w14:paraId="5F94DFCD" w14:textId="6D5A9649" w:rsidR="007518C1" w:rsidRDefault="007518C1"/>
    <w:p w14:paraId="47444E0E" w14:textId="29E56923" w:rsidR="007518C1" w:rsidRDefault="00133E68">
      <w:r>
        <w:t>Table 1: Model verification</w:t>
      </w:r>
      <w:r w:rsidR="002D787D">
        <w:t>:  The Reference Survival column are the</w:t>
      </w:r>
      <w:r w:rsidR="00710EA5">
        <w:t xml:space="preserve"> mean</w:t>
      </w:r>
      <w:r w:rsidR="002D787D">
        <w:t xml:space="preserve"> survival values </w:t>
      </w:r>
      <w:r w:rsidR="00710EA5">
        <w:t>obtained from simulated weather created using the 30-year normal climate average data at the locations (from Table 1 in</w:t>
      </w:r>
      <w:r w:rsidR="002D787D">
        <w:t xml:space="preserve"> </w:t>
      </w:r>
      <w:proofErr w:type="spellStart"/>
      <w:r w:rsidR="002D787D">
        <w:t>Regniere</w:t>
      </w:r>
      <w:proofErr w:type="spellEnd"/>
      <w:r w:rsidR="002D787D">
        <w:t xml:space="preserve"> and Bentz</w:t>
      </w:r>
      <w:r w:rsidR="00710EA5">
        <w:t xml:space="preserve">, </w:t>
      </w:r>
      <w:r w:rsidR="002D787D">
        <w:t>2007)</w:t>
      </w:r>
      <w:r w:rsidR="00710EA5">
        <w:t>.  The Survival column is the</w:t>
      </w:r>
      <w:r w:rsidR="00792F74">
        <w:t xml:space="preserve"> mean of the estimated MPB survival</w:t>
      </w:r>
      <w:r w:rsidR="00710EA5">
        <w:t xml:space="preserve"> output</w:t>
      </w:r>
      <w:r w:rsidR="00792F74">
        <w:t>s</w:t>
      </w:r>
      <w:r w:rsidR="00710EA5">
        <w:t xml:space="preserve"> of our model implementation using daily temperature data from the stations</w:t>
      </w:r>
      <w:r w:rsidR="00792F74">
        <w:t xml:space="preserve"> during the date ranges shown.</w:t>
      </w:r>
      <w:r w:rsidR="00710EA5">
        <w:t xml:space="preserve">  The Diff column is the magnitude of discrepancy between the two estimates.</w:t>
      </w:r>
    </w:p>
    <w:sectPr w:rsidR="007518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79CDB" w14:textId="77777777" w:rsidR="00550B0C" w:rsidRDefault="00550B0C" w:rsidP="00BE3839">
      <w:pPr>
        <w:spacing w:after="0" w:line="240" w:lineRule="auto"/>
      </w:pPr>
      <w:r>
        <w:separator/>
      </w:r>
    </w:p>
  </w:endnote>
  <w:endnote w:type="continuationSeparator" w:id="0">
    <w:p w14:paraId="224D6A17" w14:textId="77777777" w:rsidR="00550B0C" w:rsidRDefault="00550B0C" w:rsidP="00BE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F641A" w14:textId="77777777" w:rsidR="00550B0C" w:rsidRDefault="00550B0C" w:rsidP="00BE3839">
      <w:pPr>
        <w:spacing w:after="0" w:line="240" w:lineRule="auto"/>
      </w:pPr>
      <w:r>
        <w:separator/>
      </w:r>
    </w:p>
  </w:footnote>
  <w:footnote w:type="continuationSeparator" w:id="0">
    <w:p w14:paraId="3A4EC655" w14:textId="77777777" w:rsidR="00550B0C" w:rsidRDefault="00550B0C" w:rsidP="00BE3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42138"/>
    <w:multiLevelType w:val="hybridMultilevel"/>
    <w:tmpl w:val="47C6E630"/>
    <w:lvl w:ilvl="0" w:tplc="674E7C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18"/>
    <w:rsid w:val="00050C5B"/>
    <w:rsid w:val="00056748"/>
    <w:rsid w:val="00133E68"/>
    <w:rsid w:val="00274A2D"/>
    <w:rsid w:val="002D787D"/>
    <w:rsid w:val="002F11FD"/>
    <w:rsid w:val="00356330"/>
    <w:rsid w:val="00406F55"/>
    <w:rsid w:val="00453818"/>
    <w:rsid w:val="004A27F3"/>
    <w:rsid w:val="00550B0C"/>
    <w:rsid w:val="005F0DB9"/>
    <w:rsid w:val="00710EA5"/>
    <w:rsid w:val="007518C1"/>
    <w:rsid w:val="00792F74"/>
    <w:rsid w:val="007B4BBF"/>
    <w:rsid w:val="008340B8"/>
    <w:rsid w:val="008C1A13"/>
    <w:rsid w:val="008C2953"/>
    <w:rsid w:val="008F02E9"/>
    <w:rsid w:val="00935E65"/>
    <w:rsid w:val="00A205FD"/>
    <w:rsid w:val="00A25850"/>
    <w:rsid w:val="00A87242"/>
    <w:rsid w:val="00AA5C09"/>
    <w:rsid w:val="00B65E7E"/>
    <w:rsid w:val="00BE3839"/>
    <w:rsid w:val="00BE5728"/>
    <w:rsid w:val="00BF66F9"/>
    <w:rsid w:val="00D76CC3"/>
    <w:rsid w:val="00EA47FF"/>
    <w:rsid w:val="00F26F23"/>
    <w:rsid w:val="00FA54CA"/>
    <w:rsid w:val="00FB1AD0"/>
    <w:rsid w:val="00FB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4872"/>
  <w15:chartTrackingRefBased/>
  <w15:docId w15:val="{09E883FC-9D3C-46F2-B489-81D61DA69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38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839"/>
    <w:rPr>
      <w:sz w:val="20"/>
      <w:szCs w:val="20"/>
    </w:rPr>
  </w:style>
  <w:style w:type="character" w:styleId="FootnoteReference">
    <w:name w:val="footnote reference"/>
    <w:basedOn w:val="DefaultParagraphFont"/>
    <w:uiPriority w:val="99"/>
    <w:semiHidden/>
    <w:unhideWhenUsed/>
    <w:rsid w:val="00BE3839"/>
    <w:rPr>
      <w:vertAlign w:val="superscript"/>
    </w:rPr>
  </w:style>
  <w:style w:type="character" w:styleId="Hyperlink">
    <w:name w:val="Hyperlink"/>
    <w:basedOn w:val="DefaultParagraphFont"/>
    <w:uiPriority w:val="99"/>
    <w:unhideWhenUsed/>
    <w:rsid w:val="008340B8"/>
    <w:rPr>
      <w:color w:val="0563C1" w:themeColor="hyperlink"/>
      <w:u w:val="single"/>
    </w:rPr>
  </w:style>
  <w:style w:type="character" w:styleId="UnresolvedMention">
    <w:name w:val="Unresolved Mention"/>
    <w:basedOn w:val="DefaultParagraphFont"/>
    <w:uiPriority w:val="99"/>
    <w:semiHidden/>
    <w:unhideWhenUsed/>
    <w:rsid w:val="008340B8"/>
    <w:rPr>
      <w:color w:val="808080"/>
      <w:shd w:val="clear" w:color="auto" w:fill="E6E6E6"/>
    </w:rPr>
  </w:style>
  <w:style w:type="paragraph" w:styleId="ListParagraph">
    <w:name w:val="List Paragraph"/>
    <w:basedOn w:val="Normal"/>
    <w:uiPriority w:val="34"/>
    <w:qFormat/>
    <w:rsid w:val="00834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1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haelfrancenelson/RegniereBentz_ColdToleran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Account</dc:creator>
  <cp:keywords/>
  <dc:description/>
  <cp:lastModifiedBy>Home Account</cp:lastModifiedBy>
  <cp:revision>2</cp:revision>
  <dcterms:created xsi:type="dcterms:W3CDTF">2018-08-27T14:27:00Z</dcterms:created>
  <dcterms:modified xsi:type="dcterms:W3CDTF">2018-08-27T14:27:00Z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id="AWLBKfXi"/&gt;&lt;style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