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317" w:rsidRPr="00E76317" w:rsidRDefault="00E76317" w:rsidP="00E76317">
      <w:pPr>
        <w:pStyle w:val="Heading1"/>
      </w:pPr>
      <w:r w:rsidRPr="00E76317">
        <w:t>Autonomous Vehicle</w:t>
      </w:r>
      <w:r>
        <w:t xml:space="preserve"> Policy</w:t>
      </w:r>
      <w:r w:rsidRPr="00E76317">
        <w:t xml:space="preserve">: </w:t>
      </w:r>
      <w:r w:rsidR="00891CAC">
        <w:br/>
      </w:r>
      <w:r w:rsidRPr="00E76317">
        <w:t xml:space="preserve">A </w:t>
      </w:r>
      <w:r w:rsidR="00555046">
        <w:t>Survey</w:t>
      </w:r>
      <w:r w:rsidRPr="00E76317">
        <w:t xml:space="preserve"> </w:t>
      </w:r>
      <w:r>
        <w:t>of</w:t>
      </w:r>
      <w:r w:rsidRPr="00E76317">
        <w:t xml:space="preserve"> all US State Legislation (2012-2019)</w:t>
      </w:r>
    </w:p>
    <w:p w:rsidR="00E76317" w:rsidRDefault="00E76317" w:rsidP="00E76317">
      <w:pPr>
        <w:pStyle w:val="Heading2"/>
      </w:pPr>
      <w:r>
        <w:t>Authored by: Michael Gaunt</w:t>
      </w:r>
    </w:p>
    <w:p w:rsidR="00E76317" w:rsidRPr="00E76317" w:rsidRDefault="00E76317" w:rsidP="00E76317">
      <w:pPr>
        <w:pStyle w:val="Heading2"/>
        <w:pBdr>
          <w:bottom w:val="single" w:sz="4" w:space="1" w:color="auto"/>
        </w:pBdr>
      </w:pPr>
      <w:r>
        <w:t>University of California Davis</w:t>
      </w: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793ACC" w:rsidRDefault="00793ACC" w:rsidP="004C56DF">
      <w:pPr>
        <w:pStyle w:val="Heading2"/>
      </w:pPr>
    </w:p>
    <w:p w:rsidR="004C56DF" w:rsidRDefault="00E76317" w:rsidP="00EB3A35">
      <w:pPr>
        <w:pStyle w:val="Heading1"/>
        <w:spacing w:line="480" w:lineRule="auto"/>
      </w:pPr>
      <w:r>
        <w:lastRenderedPageBreak/>
        <w:t>Introduction</w:t>
      </w:r>
    </w:p>
    <w:p w:rsidR="000043E9" w:rsidRDefault="000043E9" w:rsidP="00EB3A35">
      <w:pPr>
        <w:spacing w:line="480" w:lineRule="auto"/>
        <w:ind w:firstLine="720"/>
      </w:pPr>
      <w:r w:rsidRPr="000043E9">
        <w:t xml:space="preserve">Autonomous Vehicles (AVs) </w:t>
      </w:r>
      <w:r w:rsidR="00E76317">
        <w:t>have become the focus of</w:t>
      </w:r>
      <w:r w:rsidRPr="000043E9">
        <w:t xml:space="preserve"> culture, tech, and transportation</w:t>
      </w:r>
      <w:r w:rsidR="007A3629">
        <w:t xml:space="preserve"> research</w:t>
      </w:r>
      <w:r w:rsidRPr="000043E9">
        <w:t>. The</w:t>
      </w:r>
      <w:r w:rsidR="00E76317">
        <w:t xml:space="preserve"> </w:t>
      </w:r>
      <w:r w:rsidRPr="000043E9">
        <w:t>implementation of this technology has captured the imagination of the masses</w:t>
      </w:r>
      <w:r w:rsidR="00E76317">
        <w:t>, financial speculators,</w:t>
      </w:r>
      <w:r w:rsidRPr="000043E9">
        <w:t xml:space="preserve"> </w:t>
      </w:r>
      <w:r w:rsidR="00E76317">
        <w:t xml:space="preserve">and the </w:t>
      </w:r>
      <w:r w:rsidRPr="000043E9">
        <w:t>tech and automotive industries while</w:t>
      </w:r>
      <w:r w:rsidR="007A3629">
        <w:t xml:space="preserve"> jointly</w:t>
      </w:r>
      <w:r w:rsidRPr="000043E9">
        <w:t xml:space="preserve"> piquing the attention of regulators. Despite a real demonstration of technical maturity</w:t>
      </w:r>
      <w:r w:rsidR="00E76317">
        <w:t xml:space="preserve"> at scale</w:t>
      </w:r>
      <w:r w:rsidRPr="000043E9">
        <w:t xml:space="preserve"> or understanding AVs</w:t>
      </w:r>
      <w:r w:rsidR="00E76317">
        <w:t xml:space="preserve"> </w:t>
      </w:r>
      <w:r w:rsidR="00E76317" w:rsidRPr="000043E9">
        <w:t>legacy system</w:t>
      </w:r>
      <w:r w:rsidRPr="000043E9">
        <w:t xml:space="preserve"> compatibility, </w:t>
      </w:r>
      <w:r w:rsidR="00662989">
        <w:t>claims</w:t>
      </w:r>
      <w:r w:rsidR="007A3629">
        <w:t xml:space="preserve"> exist </w:t>
      </w:r>
      <w:r w:rsidR="00E76317">
        <w:t>professing</w:t>
      </w:r>
      <w:r w:rsidRPr="000043E9">
        <w:t xml:space="preserve"> the benefits of </w:t>
      </w:r>
      <w:r w:rsidRPr="007A3629">
        <w:rPr>
          <w:i/>
        </w:rPr>
        <w:t>A</w:t>
      </w:r>
      <w:r w:rsidR="00E76317" w:rsidRPr="007A3629">
        <w:rPr>
          <w:i/>
        </w:rPr>
        <w:t>Vs with respect to making transportation better</w:t>
      </w:r>
      <w:r w:rsidRPr="000043E9">
        <w:t>. Regardless of the truthfulness of these claims, one thing is for sure, every day more and more actors are entering this sector</w:t>
      </w:r>
      <w:r w:rsidR="00E76317">
        <w:t xml:space="preserve">, each with their own </w:t>
      </w:r>
      <w:r w:rsidRPr="000043E9">
        <w:t>goals</w:t>
      </w:r>
      <w:r w:rsidR="00E76317">
        <w:t>,</w:t>
      </w:r>
      <w:r w:rsidRPr="000043E9">
        <w:t xml:space="preserve"> incentive structures</w:t>
      </w:r>
      <w:r w:rsidR="00E76317">
        <w:t>, and time tables.</w:t>
      </w:r>
    </w:p>
    <w:p w:rsidR="005E40AE" w:rsidRDefault="00585E5F" w:rsidP="00EB3A35">
      <w:pPr>
        <w:spacing w:line="480" w:lineRule="auto"/>
        <w:ind w:firstLine="720"/>
        <w:rPr>
          <w:b/>
        </w:rPr>
      </w:pPr>
      <w:r>
        <w:t xml:space="preserve">With massive financial gains at stake, tech and automotive companies are clamoring to be first-movers in the AV industry. </w:t>
      </w:r>
      <w:r w:rsidR="007A3629">
        <w:t>From autonomous delivery services to sensor OEMs and everything in between, b</w:t>
      </w:r>
      <w:r>
        <w:t xml:space="preserve">ets are already being </w:t>
      </w:r>
      <w:r w:rsidR="0075614D">
        <w:t>placed</w:t>
      </w:r>
      <w:r>
        <w:t xml:space="preserve"> as massive amounts of money are </w:t>
      </w:r>
      <w:r w:rsidR="0075614D">
        <w:t>being pumped</w:t>
      </w:r>
      <w:r>
        <w:t xml:space="preserve"> into </w:t>
      </w:r>
      <w:r w:rsidR="00E76317">
        <w:t>“</w:t>
      </w:r>
      <w:r>
        <w:t>AV companies</w:t>
      </w:r>
      <w:r w:rsidR="00E76317">
        <w:t>”</w:t>
      </w:r>
      <w:r>
        <w:t xml:space="preserve"> </w:t>
      </w:r>
      <w:r w:rsidR="004A572F">
        <w:fldChar w:fldCharType="begin" w:fldLock="1"/>
      </w:r>
      <w:r w:rsidR="004A572F">
        <w:instrText>ADDIN CSL_CITATION {"citationItems":[{"id":"ITEM-1","itemData":{"URL":"https://hackernoon.com/competition-in-the-autonomous-vehicle-industry-is-heating-up-22524d71ca5","accessed":{"date-parts":[["2019","5","21"]]},"author":[{"dropping-particle":"","family":"Sergeenkov","given":"Andrey","non-dropping-particle":"","parse-names":false,"suffix":""}],"container-title":"Hackernoon","id":"ITEM-1","issued":{"date-parts":[["2019"]]},"title":"Competition in the Autonomous Vehicle Industry is Heating Up","type":"webpage"},"uris":["http://www.mendeley.com/documents/?uuid=8f618fbb-d165-38fe-9fbc-9364d868d181"]}],"mendeley":{"formattedCitation":"(Sergeenkov 2019)","plainTextFormattedCitation":"(Sergeenkov 2019)","previouslyFormattedCitation":"(Sergeenkov 2019)"},"properties":{"noteIndex":0},"schema":"https://github.com/citation-style-language/schema/raw/master/csl-citation.json"}</w:instrText>
      </w:r>
      <w:r w:rsidR="004A572F">
        <w:fldChar w:fldCharType="separate"/>
      </w:r>
      <w:r w:rsidR="004A572F" w:rsidRPr="004A572F">
        <w:rPr>
          <w:noProof/>
        </w:rPr>
        <w:t>(Sergeenkov 2019)</w:t>
      </w:r>
      <w:r w:rsidR="004A572F">
        <w:fldChar w:fldCharType="end"/>
      </w:r>
      <w:r w:rsidRPr="00BC4740">
        <w:rPr>
          <w:b/>
        </w:rPr>
        <w:t xml:space="preserve">. </w:t>
      </w:r>
      <w:r>
        <w:t xml:space="preserve">Given </w:t>
      </w:r>
      <w:r w:rsidR="00E76317">
        <w:t>the</w:t>
      </w:r>
      <w:r>
        <w:t xml:space="preserve"> perceived “winner take all” </w:t>
      </w:r>
      <w:r w:rsidR="00E76317">
        <w:t>stakes</w:t>
      </w:r>
      <w:r>
        <w:t xml:space="preserve"> </w:t>
      </w:r>
      <w:r w:rsidR="009A4FF0">
        <w:t>and the coincidence</w:t>
      </w:r>
      <w:r>
        <w:t xml:space="preserve"> </w:t>
      </w:r>
      <w:r w:rsidR="009A4FF0">
        <w:t>of</w:t>
      </w:r>
      <w:r>
        <w:t xml:space="preserve"> </w:t>
      </w:r>
      <w:r w:rsidR="009A4FF0">
        <w:t>maturing</w:t>
      </w:r>
      <w:r w:rsidR="00F71245">
        <w:t xml:space="preserve"> AV technology</w:t>
      </w:r>
      <w:r>
        <w:t>,</w:t>
      </w:r>
      <w:r w:rsidR="00F71245">
        <w:t xml:space="preserve"> developers </w:t>
      </w:r>
      <w:r>
        <w:t>have taken to the</w:t>
      </w:r>
      <w:r w:rsidR="00BC4740">
        <w:t xml:space="preserve"> streets </w:t>
      </w:r>
      <w:r w:rsidR="009A4FF0">
        <w:t xml:space="preserve">in droves </w:t>
      </w:r>
      <w:r w:rsidR="00BC4740">
        <w:t xml:space="preserve">to test their products. In 2018, </w:t>
      </w:r>
      <w:r w:rsidR="00BC4740" w:rsidRPr="00BC4740">
        <w:t xml:space="preserve">Waymo, the </w:t>
      </w:r>
      <w:r w:rsidR="00BC4740">
        <w:t>AV arm of</w:t>
      </w:r>
      <w:r w:rsidR="00BC4740" w:rsidRPr="00BC4740">
        <w:t xml:space="preserve"> Google’s parent company, Alphabet,</w:t>
      </w:r>
      <w:r w:rsidR="00BC4740">
        <w:t xml:space="preserve"> tested over 1.2 million miles </w:t>
      </w:r>
      <w:r w:rsidR="005E40AE">
        <w:t xml:space="preserve">in </w:t>
      </w:r>
      <w:r w:rsidR="00BC4740">
        <w:t>California</w:t>
      </w:r>
      <w:r w:rsidR="005E40AE">
        <w:t xml:space="preserve"> alone (Arizona </w:t>
      </w:r>
      <w:r w:rsidR="0075614D">
        <w:t>being its</w:t>
      </w:r>
      <w:r w:rsidR="005E40AE">
        <w:t xml:space="preserve"> </w:t>
      </w:r>
      <w:r w:rsidR="0075614D">
        <w:t>main</w:t>
      </w:r>
      <w:r w:rsidR="005E40AE">
        <w:t xml:space="preserve"> </w:t>
      </w:r>
      <w:r w:rsidR="0075614D">
        <w:t>testing location</w:t>
      </w:r>
      <w:r w:rsidR="005E40AE">
        <w:t>)</w:t>
      </w:r>
      <w:r w:rsidR="00BC4740">
        <w:t xml:space="preserve"> with competitors following suit </w:t>
      </w:r>
      <w:r w:rsidR="004A572F">
        <w:fldChar w:fldCharType="begin" w:fldLock="1"/>
      </w:r>
      <w:r w:rsidR="004A572F">
        <w:instrText>ADDIN CSL_CITATION {"citationItems":[{"id":"ITEM-1","itemData":{"URL":"https://www.theatlantic.com/technology/archive/2019/02/the-latest-self-driving-car-statistics-from-california/582763/","accessed":{"date-parts":[["2019","5","20"]]},"author":[{"dropping-particle":"","family":"MADRIGAL","given":"ALEXIS C.","non-dropping-particle":"","parse-names":false,"suffix":""}],"container-title":"The Atlantic","id":"ITEM-1","issued":{"date-parts":[["2019"]]},"title":"The Latest Self-Driving-Car Statistics From California - The Atlantic","type":"webpage"},"uris":["http://www.mendeley.com/documents/?uuid=1e1c5348-1a31-3995-8d4e-91b488a2a36c"]}],"mendeley":{"formattedCitation":"(MADRIGAL 2019)","plainTextFormattedCitation":"(MADRIGAL 2019)","previouslyFormattedCitation":"(MADRIGAL 2019)"},"properties":{"noteIndex":0},"schema":"https://github.com/citation-style-language/schema/raw/master/csl-citation.json"}</w:instrText>
      </w:r>
      <w:r w:rsidR="004A572F">
        <w:fldChar w:fldCharType="separate"/>
      </w:r>
      <w:r w:rsidR="004A572F" w:rsidRPr="004A572F">
        <w:rPr>
          <w:noProof/>
        </w:rPr>
        <w:t>(MADRIGAL 2019)</w:t>
      </w:r>
      <w:r w:rsidR="004A572F">
        <w:fldChar w:fldCharType="end"/>
      </w:r>
      <w:r w:rsidR="00BC4740" w:rsidRPr="009A4FF0">
        <w:rPr>
          <w:b/>
        </w:rPr>
        <w:t xml:space="preserve">. </w:t>
      </w:r>
    </w:p>
    <w:p w:rsidR="00BC4740" w:rsidRDefault="00793ACC" w:rsidP="00EB3A35">
      <w:pPr>
        <w:spacing w:line="480" w:lineRule="auto"/>
        <w:ind w:firstLine="720"/>
      </w:pPr>
      <w:r>
        <w:t>While some actors have focused on testing, others</w:t>
      </w:r>
      <w:r w:rsidR="00314294" w:rsidRPr="00A13659">
        <w:t xml:space="preserve"> already </w:t>
      </w:r>
      <w:r>
        <w:t xml:space="preserve">have their sights on </w:t>
      </w:r>
      <w:r w:rsidR="00314294" w:rsidRPr="00A13659">
        <w:t>clear</w:t>
      </w:r>
      <w:r>
        <w:t xml:space="preserve"> </w:t>
      </w:r>
      <w:r w:rsidR="00314294" w:rsidRPr="00A13659">
        <w:t>go</w:t>
      </w:r>
      <w:r>
        <w:t>-</w:t>
      </w:r>
      <w:r w:rsidR="00314294" w:rsidRPr="00A13659">
        <w:t>to</w:t>
      </w:r>
      <w:r>
        <w:t>-</w:t>
      </w:r>
      <w:r w:rsidR="005E40AE" w:rsidRPr="00A13659">
        <w:t>market</w:t>
      </w:r>
      <w:r w:rsidR="00314294" w:rsidRPr="00A13659">
        <w:t xml:space="preserve"> </w:t>
      </w:r>
      <w:r w:rsidR="005E40AE" w:rsidRPr="00A13659">
        <w:t>strategies</w:t>
      </w:r>
      <w:r w:rsidR="00314294" w:rsidRPr="00A13659">
        <w:t xml:space="preserve">. </w:t>
      </w:r>
      <w:r w:rsidR="00A13659" w:rsidRPr="00A13659">
        <w:t xml:space="preserve">Very recently, UBER </w:t>
      </w:r>
      <w:r w:rsidR="00555046">
        <w:t>successfully</w:t>
      </w:r>
      <w:r w:rsidR="00A13659" w:rsidRPr="00A13659">
        <w:t xml:space="preserve"> lobbied the state of Florida to allow for the </w:t>
      </w:r>
      <w:r w:rsidR="005E40AE" w:rsidRPr="00A13659">
        <w:t>operation</w:t>
      </w:r>
      <w:r w:rsidR="00A13659" w:rsidRPr="00A13659">
        <w:t xml:space="preserve"> </w:t>
      </w:r>
      <w:r w:rsidR="005E40AE" w:rsidRPr="00A13659">
        <w:t>autonomous</w:t>
      </w:r>
      <w:r w:rsidR="00A13659" w:rsidRPr="00A13659">
        <w:t xml:space="preserve"> </w:t>
      </w:r>
      <w:r w:rsidR="005E40AE" w:rsidRPr="00A13659">
        <w:t>vehicle</w:t>
      </w:r>
      <w:r w:rsidR="00A13659" w:rsidRPr="00A13659">
        <w:t xml:space="preserve"> fleets</w:t>
      </w:r>
      <w:r w:rsidR="00A13659">
        <w:rPr>
          <w:b/>
        </w:rPr>
        <w:t xml:space="preserve"> </w:t>
      </w:r>
      <w:r w:rsidR="004A572F">
        <w:rPr>
          <w:b/>
        </w:rPr>
        <w:fldChar w:fldCharType="begin" w:fldLock="1"/>
      </w:r>
      <w:r w:rsidR="004A572F">
        <w:rPr>
          <w:b/>
        </w:rPr>
        <w:instrText>ADDIN CSL_CITATION {"citationItems":[{"id":"ITEM-1","itemData":{"URL":"https://www.miaminewtimes.com/news/florida-legislature-passes-bill-legalizing-self-driving-uber-cars-11161818","accessed":{"date-parts":[["2019","5","20"]]},"author":[{"dropping-particle":"","family":"Iannelli","given":"Jerry","non-dropping-particle":"","parse-names":false,"suffix":""}],"container-title":"Miami New Times","id":"ITEM-1","issued":{"date-parts":[["2019"]]},"title":"Florida Legislature Passes Bill Legalizing Self-Driving Uber Cars | Miami New Times","type":"webpage"},"uris":["http://www.mendeley.com/documents/?uuid=5e136b97-e9b0-362a-840b-e1a203106ea0"]}],"mendeley":{"formattedCitation":"(Iannelli 2019)","plainTextFormattedCitation":"(Iannelli 2019)","previouslyFormattedCitation":"(Iannelli 2019)"},"properties":{"noteIndex":0},"schema":"https://github.com/citation-style-language/schema/raw/master/csl-citation.json"}</w:instrText>
      </w:r>
      <w:r w:rsidR="004A572F">
        <w:rPr>
          <w:b/>
        </w:rPr>
        <w:fldChar w:fldCharType="separate"/>
      </w:r>
      <w:r w:rsidR="004A572F" w:rsidRPr="004A572F">
        <w:rPr>
          <w:noProof/>
        </w:rPr>
        <w:t>(Iannelli 2019)</w:t>
      </w:r>
      <w:r w:rsidR="004A572F">
        <w:rPr>
          <w:b/>
        </w:rPr>
        <w:fldChar w:fldCharType="end"/>
      </w:r>
      <w:r w:rsidR="004A572F">
        <w:t>.</w:t>
      </w:r>
      <w:r w:rsidR="005E40AE" w:rsidRPr="005E40AE">
        <w:t xml:space="preserve">This is a notable </w:t>
      </w:r>
      <w:r w:rsidR="0075614D">
        <w:t>departure</w:t>
      </w:r>
      <w:r w:rsidR="005E40AE" w:rsidRPr="005E40AE">
        <w:t xml:space="preserve"> in AV policy as </w:t>
      </w:r>
      <w:r w:rsidR="0075614D">
        <w:t>previous</w:t>
      </w:r>
      <w:r w:rsidR="005E40AE" w:rsidRPr="005E40AE">
        <w:t xml:space="preserve"> legislation focused on the allowance of testing rather than operation of an entire fleet network for business.</w:t>
      </w:r>
      <w:r w:rsidR="0075614D">
        <w:t xml:space="preserve"> Yet, d</w:t>
      </w:r>
      <w:r w:rsidR="009A4FF0">
        <w:t xml:space="preserve">espite </w:t>
      </w:r>
      <w:r w:rsidR="005E40AE">
        <w:t>the efforts of the private sector</w:t>
      </w:r>
      <w:r w:rsidR="0075614D">
        <w:t>, i</w:t>
      </w:r>
      <w:r w:rsidR="009A4FF0">
        <w:t>t remains to be seen what the impact of autonomous vehicles will be</w:t>
      </w:r>
      <w:r w:rsidR="00BC4740">
        <w:t xml:space="preserve"> at the network level</w:t>
      </w:r>
      <w:r w:rsidR="009A4FF0">
        <w:t xml:space="preserve"> </w:t>
      </w:r>
      <w:r w:rsidR="005E40AE">
        <w:t>when the market is saturated – good or bad</w:t>
      </w:r>
      <w:r w:rsidR="009A4FF0">
        <w:t xml:space="preserve">. </w:t>
      </w:r>
    </w:p>
    <w:p w:rsidR="004769D3" w:rsidRDefault="005E40AE" w:rsidP="00EB3A35">
      <w:pPr>
        <w:spacing w:line="480" w:lineRule="auto"/>
        <w:ind w:firstLine="720"/>
      </w:pPr>
      <w:r>
        <w:t xml:space="preserve">For example, </w:t>
      </w:r>
      <w:r w:rsidR="00E44E6B">
        <w:t xml:space="preserve">AVs will have sensing, communication, and action speeds which will </w:t>
      </w:r>
      <w:r w:rsidR="0075614D">
        <w:t>allow for</w:t>
      </w:r>
      <w:r w:rsidR="00E44E6B">
        <w:t xml:space="preserve"> the forming of</w:t>
      </w:r>
      <w:r w:rsidR="001801F9">
        <w:t xml:space="preserve"> platoons – densely packed, connected vehicle groups. </w:t>
      </w:r>
      <w:r w:rsidR="00E44E6B">
        <w:t>D</w:t>
      </w:r>
      <w:r w:rsidR="001801F9">
        <w:t>enser packing</w:t>
      </w:r>
      <w:r w:rsidR="00E44E6B">
        <w:t>s</w:t>
      </w:r>
      <w:r w:rsidR="001801F9">
        <w:t xml:space="preserve"> of vehicles mean less </w:t>
      </w:r>
      <w:r w:rsidR="00E44E6B">
        <w:lastRenderedPageBreak/>
        <w:t>road space</w:t>
      </w:r>
      <w:r w:rsidR="001801F9">
        <w:t xml:space="preserve"> for </w:t>
      </w:r>
      <w:r w:rsidR="00E44E6B">
        <w:t xml:space="preserve">an equivalent number of </w:t>
      </w:r>
      <w:r w:rsidR="004769D3">
        <w:t>vehicles, lead</w:t>
      </w:r>
      <w:r w:rsidR="00314294">
        <w:t>ing</w:t>
      </w:r>
      <w:r w:rsidR="004769D3">
        <w:t xml:space="preserve"> to faster traffic flows</w:t>
      </w:r>
      <w:r w:rsidR="00314294">
        <w:t>,</w:t>
      </w:r>
      <w:r w:rsidR="004769D3">
        <w:t xml:space="preserve"> less congestion</w:t>
      </w:r>
      <w:r w:rsidR="00314294">
        <w:t>, and less greenhouse gas (GHG) emissions</w:t>
      </w:r>
      <w:r w:rsidR="004769D3">
        <w:t xml:space="preserve"> </w:t>
      </w:r>
      <w:r w:rsidR="004A572F">
        <w:fldChar w:fldCharType="begin" w:fldLock="1"/>
      </w:r>
      <w:r w:rsidR="00FE0ADB">
        <w:instrText>ADDIN CSL_CITATION {"citationItems":[{"id":"ITEM-1","itemData":{"author":[{"dropping-particle":"","family":"Thorpe","given":"Chuck","non-dropping-particle":"","parse-names":false,"suffix":""},{"dropping-particle":"","family":"Jochem","given":"Todd","non-dropping-particle":"","parse-names":false,"suffix":""},{"dropping-particle":"","family":"Pomerleau","given":"Dean","non-dropping-particle":"","parse-names":false,"suffix":""}],"id":"ITEM-1","issued":{"date-parts":[["0"]]},"title":"Automated Highways And The Free Agent Demonstration","type":"report"},"uris":["http://www.mendeley.com/documents/?uuid=a4dd2954-8da0-3987-a01d-76a6864cf4c8"]}],"mendeley":{"formattedCitation":"(Thorpe, Jochem, and Pomerleau n.d.)","plainTextFormattedCitation":"(Thorpe, Jochem, and Pomerleau n.d.)","previouslyFormattedCitation":"(Thorpe, Jochem, and Pomerleau n.d.)"},"properties":{"noteIndex":0},"schema":"https://github.com/citation-style-language/schema/raw/master/csl-citation.json"}</w:instrText>
      </w:r>
      <w:r w:rsidR="004A572F">
        <w:fldChar w:fldCharType="separate"/>
      </w:r>
      <w:r w:rsidR="004A572F" w:rsidRPr="004A572F">
        <w:rPr>
          <w:noProof/>
        </w:rPr>
        <w:t>(Thorpe, Jochem, and Pomerleau n.d.)</w:t>
      </w:r>
      <w:r w:rsidR="004A572F">
        <w:fldChar w:fldCharType="end"/>
      </w:r>
      <w:r w:rsidR="004A572F">
        <w:t xml:space="preserve"> </w:t>
      </w:r>
      <w:r w:rsidRPr="00B82C2F">
        <w:t>– a good</w:t>
      </w:r>
      <w:r w:rsidR="00B82C2F" w:rsidRPr="00B82C2F">
        <w:t xml:space="preserve"> outcome</w:t>
      </w:r>
      <w:r w:rsidRPr="00B82C2F">
        <w:t xml:space="preserve">. </w:t>
      </w:r>
      <w:r w:rsidR="00B82C2F" w:rsidRPr="00B82C2F">
        <w:t>Alternatively</w:t>
      </w:r>
      <w:r>
        <w:t>, to</w:t>
      </w:r>
      <w:r w:rsidR="004769D3">
        <w:t xml:space="preserve"> avoid steep parking </w:t>
      </w:r>
      <w:r w:rsidR="003373BA">
        <w:t>costs</w:t>
      </w:r>
      <w:r w:rsidR="00294972">
        <w:t xml:space="preserve"> </w:t>
      </w:r>
      <w:r w:rsidR="004769D3">
        <w:t>AVs could drop-off their owners at an activity location and continue to circulate in traffic with no occupant (deadheading)</w:t>
      </w:r>
      <w:r w:rsidR="00394685">
        <w:t xml:space="preserve"> </w:t>
      </w:r>
      <w:r w:rsidR="004A572F">
        <w:fldChar w:fldCharType="begin" w:fldLock="1"/>
      </w:r>
      <w:r w:rsidR="004A572F">
        <w:instrText>ADDIN CSL_CITATION {"citationItems":[{"id":"ITEM-1","itemData":{"DOI":"10.1016/j.tranpol.2019.01.003","ISSN":"1879310X","abstract":"Autonomous vehicles (AVs) have no need to park close to their destination, or even to park at all. Instead, AVs can seek out free on-street parking, return home, or cruise (circle around). Because cruising is less costly at lower speeds, a game theoretic framework shows that AVs also have the incentive to implicitly coordinate with each other in order to generate congestion. Using a traffic microsimulation model and data from downtown San Francisco, this paper suggests that AVs could more than double vehicle travel to, from and within dense, urban cores. New vehicle trips are generated by a 90% reduction in effective parking costs, while existing trips become longer because of driving to more distant parking spaces and cruising. One potential policy response—subsidized peripheral parking—would likely exacerbate congestion through further reducing the cost of driving. Instead, this paper argues that the rise of AVs provides the opportunity and the imperative to implement congestion pricing in urban centers. Because the ability of AVs to cruise blurs the boundary between parking and travel, congestion pricing programs should include two complementary prices—a time-based charge for occupying the public right-of-way, whether parked or in motion, and a distance- or energy-based charge that internalizes other externalities from driving.","author":[{"dropping-particle":"","family":"Millard-Ball","given":"Adam","non-dropping-particle":"","parse-names":false,"suffix":""}],"container-title":"Transport Policy","id":"ITEM-1","issued":{"date-parts":[["2019"]]},"title":"The autonomous vehicle parking problem","type":"article-journal"},"uris":["http://www.mendeley.com/documents/?uuid=bc990a60-7f77-31cd-a048-78eaebb107df"]}],"mendeley":{"formattedCitation":"(Millard-Ball 2019)","plainTextFormattedCitation":"(Millard-Ball 2019)","previouslyFormattedCitation":"(Millard-Ball 2019)"},"properties":{"noteIndex":0},"schema":"https://github.com/citation-style-language/schema/raw/master/csl-citation.json"}</w:instrText>
      </w:r>
      <w:r w:rsidR="004A572F">
        <w:fldChar w:fldCharType="separate"/>
      </w:r>
      <w:r w:rsidR="004A572F" w:rsidRPr="004A572F">
        <w:rPr>
          <w:noProof/>
        </w:rPr>
        <w:t>(Millard-Ball 2019)</w:t>
      </w:r>
      <w:r w:rsidR="004A572F">
        <w:fldChar w:fldCharType="end"/>
      </w:r>
      <w:r w:rsidR="004A572F">
        <w:rPr>
          <w:b/>
        </w:rPr>
        <w:t xml:space="preserve">. </w:t>
      </w:r>
      <w:r w:rsidR="002C2883" w:rsidRPr="002C2883">
        <w:t xml:space="preserve">Pricing as a tool </w:t>
      </w:r>
      <w:r w:rsidR="002C2883">
        <w:t>for</w:t>
      </w:r>
      <w:r w:rsidR="002C2883">
        <w:rPr>
          <w:b/>
        </w:rPr>
        <w:t xml:space="preserve"> </w:t>
      </w:r>
      <w:r w:rsidR="002C2883">
        <w:t>p</w:t>
      </w:r>
      <w:r w:rsidR="00294972">
        <w:t>arking</w:t>
      </w:r>
      <w:r w:rsidR="002C2883">
        <w:t xml:space="preserve"> demand</w:t>
      </w:r>
      <w:r w:rsidR="00294972">
        <w:t xml:space="preserve"> </w:t>
      </w:r>
      <w:r w:rsidR="002C2883">
        <w:t xml:space="preserve">management would </w:t>
      </w:r>
      <w:r w:rsidR="00294972">
        <w:t>become useless, as h</w:t>
      </w:r>
      <w:r w:rsidR="004769D3">
        <w:t xml:space="preserve">undreds of vehicles which would normally be out of the stream of traffic </w:t>
      </w:r>
      <w:r w:rsidR="0075614D">
        <w:t>would flood the network, leading</w:t>
      </w:r>
      <w:r w:rsidR="00294972">
        <w:t xml:space="preserve"> to i</w:t>
      </w:r>
      <w:r w:rsidR="004769D3">
        <w:t>ncreased congestion, lower levels of service, and higher emissions</w:t>
      </w:r>
      <w:r w:rsidR="00B82C2F" w:rsidRPr="00B82C2F">
        <w:t xml:space="preserve"> – a bad outcome.</w:t>
      </w:r>
      <w:r w:rsidR="0075614D">
        <w:t xml:space="preserve"> Boundless examples exist which hypothesize the utopian or dystopian effects of large-scale AV use, but the true impacts of AVs will likely not be known until actualization.</w:t>
      </w:r>
    </w:p>
    <w:p w:rsidR="003373BA" w:rsidRDefault="00157EC3" w:rsidP="00EB3A35">
      <w:pPr>
        <w:spacing w:line="480" w:lineRule="auto"/>
        <w:ind w:firstLine="720"/>
      </w:pPr>
      <w:r>
        <w:t xml:space="preserve">In response </w:t>
      </w:r>
      <w:r w:rsidR="0075614D">
        <w:t xml:space="preserve">to </w:t>
      </w:r>
      <w:r>
        <w:t>the dissonance among the research</w:t>
      </w:r>
      <w:r w:rsidR="007A3629">
        <w:t xml:space="preserve"> and private sector</w:t>
      </w:r>
      <w:r w:rsidR="0075614D">
        <w:t xml:space="preserve"> fervor</w:t>
      </w:r>
      <w:r>
        <w:t>, states have stepped into a regulatory role</w:t>
      </w:r>
      <w:r w:rsidR="007A3629">
        <w:t>. As early as 2012</w:t>
      </w:r>
      <w:r>
        <w:t xml:space="preserve">, </w:t>
      </w:r>
      <w:r w:rsidR="007A3629">
        <w:t>states have been</w:t>
      </w:r>
      <w:r>
        <w:t xml:space="preserve"> enact</w:t>
      </w:r>
      <w:r w:rsidR="007A3629">
        <w:t>ing</w:t>
      </w:r>
      <w:r>
        <w:t xml:space="preserve"> legislation which either advocates for or blocks AV technology on their roadways</w:t>
      </w:r>
      <w:r w:rsidR="007A3629">
        <w:t>.</w:t>
      </w:r>
      <w:r>
        <w:t xml:space="preserve"> </w:t>
      </w:r>
      <w:r w:rsidR="007A3629">
        <w:t xml:space="preserve">Over the course of the last eight years, more and more states have become legislatively </w:t>
      </w:r>
      <w:r>
        <w:t xml:space="preserve">active while already engaged states are expanding </w:t>
      </w:r>
      <w:r w:rsidR="0075614D">
        <w:t xml:space="preserve">upon </w:t>
      </w:r>
      <w:r>
        <w:t xml:space="preserve">their already large bodies of legislation. </w:t>
      </w:r>
      <w:r w:rsidR="007A3629">
        <w:t xml:space="preserve">Despite the increased </w:t>
      </w:r>
      <w:r w:rsidR="00AA057C">
        <w:t xml:space="preserve">state-level </w:t>
      </w:r>
      <w:r w:rsidR="007A3629">
        <w:t>political activity</w:t>
      </w:r>
      <w:r w:rsidR="00AA057C">
        <w:t xml:space="preserve"> t</w:t>
      </w:r>
      <w:r w:rsidR="007A3629">
        <w:t xml:space="preserve">here remains a lack of federal leadership. </w:t>
      </w:r>
      <w:r w:rsidR="003373BA">
        <w:t xml:space="preserve">Both the </w:t>
      </w:r>
      <w:r w:rsidR="003373BA" w:rsidRPr="003373BA">
        <w:t>SELF DRIVE Act</w:t>
      </w:r>
      <w:r w:rsidR="003373BA">
        <w:t xml:space="preserve"> </w:t>
      </w:r>
      <w:r w:rsidR="00FE0ADB">
        <w:fldChar w:fldCharType="begin" w:fldLock="1"/>
      </w:r>
      <w:r w:rsidR="00FE0ADB">
        <w:instrText>ADDIN CSL_CITATION {"citationItems":[{"id":"ITEM-1","itemData":{"author":[{"dropping-particle":"","family":"Latta","given":"Robert E.","non-dropping-particle":"","parse-names":false,"suffix":""}],"id":"ITEM-1","issued":{"date-parts":[["2017"]]},"title":"H.R.3388 - 115th Congress (2017-2018): SELF DRIVE Act","type":"article-journal"},"uris":["http://www.mendeley.com/documents/?uuid=bf34b5a0-b5d1-34e4-a7cd-64ec4e4b4eec"]}],"mendeley":{"formattedCitation":"(Latta 2017)","plainTextFormattedCitation":"(Latta 2017)","previouslyFormattedCitation":"(Latta 2017)"},"properties":{"noteIndex":0},"schema":"https://github.com/citation-style-language/schema/raw/master/csl-citation.json"}</w:instrText>
      </w:r>
      <w:r w:rsidR="00FE0ADB">
        <w:fldChar w:fldCharType="separate"/>
      </w:r>
      <w:r w:rsidR="00FE0ADB" w:rsidRPr="00FE0ADB">
        <w:rPr>
          <w:noProof/>
        </w:rPr>
        <w:t>(Latta 2017)</w:t>
      </w:r>
      <w:r w:rsidR="00FE0ADB">
        <w:fldChar w:fldCharType="end"/>
      </w:r>
      <w:r w:rsidR="00FE0ADB">
        <w:t xml:space="preserve"> </w:t>
      </w:r>
      <w:r w:rsidR="003373BA">
        <w:t xml:space="preserve">and AV START Act </w:t>
      </w:r>
      <w:r w:rsidR="00FE0ADB">
        <w:fldChar w:fldCharType="begin" w:fldLock="1"/>
      </w:r>
      <w:r w:rsidR="00FE0ADB">
        <w:instrText>ADDIN CSL_CITATION {"citationItems":[{"id":"ITEM-1","itemData":{"author":[{"dropping-particle":"","family":"Thune","given":"John","non-dropping-particle":"","parse-names":false,"suffix":""}],"id":"ITEM-1","issued":{"date-parts":[["2017"]]},"title":"S.1885 - 115th Congress (2017-2018): AV START Act","type":"article-journal"},"uris":["http://www.mendeley.com/documents/?uuid=ff745f9a-27e7-39e5-9877-bab1b426643e"]}],"mendeley":{"formattedCitation":"(Thune 2017)","plainTextFormattedCitation":"(Thune 2017)","previouslyFormattedCitation":"(Thune 2017)"},"properties":{"noteIndex":0},"schema":"https://github.com/citation-style-language/schema/raw/master/csl-citation.json"}</w:instrText>
      </w:r>
      <w:r w:rsidR="00FE0ADB">
        <w:fldChar w:fldCharType="separate"/>
      </w:r>
      <w:r w:rsidR="00FE0ADB" w:rsidRPr="00FE0ADB">
        <w:rPr>
          <w:noProof/>
        </w:rPr>
        <w:t>(Thune 2017)</w:t>
      </w:r>
      <w:r w:rsidR="00FE0ADB">
        <w:fldChar w:fldCharType="end"/>
      </w:r>
      <w:r w:rsidR="00FE0ADB">
        <w:t xml:space="preserve">, </w:t>
      </w:r>
      <w:r w:rsidR="00AE577D">
        <w:t>two</w:t>
      </w:r>
      <w:r w:rsidR="003373BA">
        <w:t xml:space="preserve"> attempts at the federal level to provide legislative leadership and oversight of AV technology, were met with failure</w:t>
      </w:r>
      <w:r w:rsidR="00AA057C">
        <w:t xml:space="preserve"> </w:t>
      </w:r>
      <w:r w:rsidR="00FE0ADB">
        <w:rPr>
          <w:b/>
        </w:rPr>
        <w:fldChar w:fldCharType="begin" w:fldLock="1"/>
      </w:r>
      <w:r w:rsidR="00CF48BC">
        <w:rPr>
          <w:b/>
        </w:rPr>
        <w:instrText>ADDIN CSL_CITATION {"citationItems":[{"id":"ITEM-1","itemData":{"URL":"https://www.natlawreview.com/article/autonomous-vehicle-federal-regulation","accessed":{"date-parts":[["2019","5","21"]]},"author":[{"dropping-particle":"","family":"Nelson","given":"Katrina","non-dropping-particle":"","parse-names":false,"suffix":""}],"container-title":"The National Law Review","id":"ITEM-1","issued":{"date-parts":[["2019"]]},"title":"The Federal Regulations Governing Autonomous Vehicles","type":"webpage"},"uris":["http://www.mendeley.com/documents/?uuid=c4d8cf70-cf2f-3b8e-ac18-554bfb457a88"]}],"mendeley":{"formattedCitation":"(Nelson 2019)","plainTextFormattedCitation":"(Nelson 2019)","previouslyFormattedCitation":"(Nelson 2019)"},"properties":{"noteIndex":0},"schema":"https://github.com/citation-style-language/schema/raw/master/csl-citation.json"}</w:instrText>
      </w:r>
      <w:r w:rsidR="00FE0ADB">
        <w:rPr>
          <w:b/>
        </w:rPr>
        <w:fldChar w:fldCharType="separate"/>
      </w:r>
      <w:r w:rsidR="00FE0ADB" w:rsidRPr="00FE0ADB">
        <w:rPr>
          <w:noProof/>
        </w:rPr>
        <w:t>(Nelson 2019)</w:t>
      </w:r>
      <w:r w:rsidR="00FE0ADB">
        <w:rPr>
          <w:b/>
        </w:rPr>
        <w:fldChar w:fldCharType="end"/>
      </w:r>
      <w:r w:rsidR="00FE0ADB">
        <w:rPr>
          <w:b/>
        </w:rPr>
        <w:t xml:space="preserve">. </w:t>
      </w:r>
      <w:r w:rsidR="00AE577D">
        <w:t>In comparison, other</w:t>
      </w:r>
      <w:r w:rsidR="003373BA">
        <w:t xml:space="preserve"> </w:t>
      </w:r>
      <w:r w:rsidR="00AE577D">
        <w:t xml:space="preserve">AV </w:t>
      </w:r>
      <w:r w:rsidR="003373BA">
        <w:t xml:space="preserve">legislation such as the </w:t>
      </w:r>
      <w:r w:rsidR="00AE577D" w:rsidRPr="00AE577D">
        <w:t>Secure 5G and Beyond Act</w:t>
      </w:r>
      <w:r w:rsidR="00FE0ADB">
        <w:t xml:space="preserve"> </w:t>
      </w:r>
      <w:r w:rsidR="00FE0ADB">
        <w:fldChar w:fldCharType="begin" w:fldLock="1"/>
      </w:r>
      <w:r w:rsidR="00FE0ADB">
        <w:instrText>ADDIN CSL_CITATION {"citationItems":[{"id":"ITEM-1","itemData":{"author":[{"dropping-particle":"","family":"Cornyn","given":"John","non-dropping-particle":"","parse-names":false,"suffix":""}],"id":"ITEM-1","issued":{"date-parts":[["2019"]]},"title":"Text - S.893 - 116th Congress (2019-2020): Secure 5G and Beyond Act of 2019","type":"article-journal"},"uris":["http://www.mendeley.com/documents/?uuid=275413bf-7906-3dea-a3c7-1fd089d836b7"]}],"mendeley":{"formattedCitation":"(Cornyn 2019)","plainTextFormattedCitation":"(Cornyn 2019)","previouslyFormattedCitation":"(Cornyn 2019)"},"properties":{"noteIndex":0},"schema":"https://github.com/citation-style-language/schema/raw/master/csl-citation.json"}</w:instrText>
      </w:r>
      <w:r w:rsidR="00FE0ADB">
        <w:fldChar w:fldCharType="separate"/>
      </w:r>
      <w:r w:rsidR="00FE0ADB" w:rsidRPr="00FE0ADB">
        <w:rPr>
          <w:noProof/>
        </w:rPr>
        <w:t>(Cornyn 2019)</w:t>
      </w:r>
      <w:r w:rsidR="00FE0ADB">
        <w:fldChar w:fldCharType="end"/>
      </w:r>
      <w:r w:rsidR="003373BA">
        <w:t xml:space="preserve">, </w:t>
      </w:r>
      <w:r w:rsidR="00AE577D">
        <w:t>which prevents the nationalization of</w:t>
      </w:r>
      <w:r w:rsidR="00AA057C">
        <w:t xml:space="preserve"> </w:t>
      </w:r>
      <w:r w:rsidR="00AE577D">
        <w:t>5G network</w:t>
      </w:r>
      <w:r w:rsidR="00AA057C">
        <w:t>s</w:t>
      </w:r>
      <w:r w:rsidR="003373BA">
        <w:t xml:space="preserve">, </w:t>
      </w:r>
      <w:r w:rsidR="00AE577D">
        <w:t xml:space="preserve">a </w:t>
      </w:r>
      <w:r w:rsidR="003373BA">
        <w:t>technology vital to vehicle-to-</w:t>
      </w:r>
      <w:r w:rsidR="00AE577D">
        <w:t>vehicle</w:t>
      </w:r>
      <w:r w:rsidR="003373BA">
        <w:t xml:space="preserve"> communications</w:t>
      </w:r>
      <w:r w:rsidR="00AE577D">
        <w:t xml:space="preserve"> in AVs, and protects telecom </w:t>
      </w:r>
      <w:r w:rsidR="007A3629">
        <w:t>company’s</w:t>
      </w:r>
      <w:r w:rsidR="00AE577D">
        <w:t xml:space="preserve"> privatization of these utilities, will likely be enacted this year. </w:t>
      </w:r>
    </w:p>
    <w:p w:rsidR="00317CE7" w:rsidRDefault="00D2419D" w:rsidP="00EB3A35">
      <w:pPr>
        <w:spacing w:line="480" w:lineRule="auto"/>
        <w:ind w:firstLine="720"/>
      </w:pPr>
      <w:r>
        <w:t xml:space="preserve">Due to these complications, the </w:t>
      </w:r>
      <w:r w:rsidR="00793ACC">
        <w:t>infancy</w:t>
      </w:r>
      <w:r>
        <w:t xml:space="preserve"> of the AV industry</w:t>
      </w:r>
      <w:r w:rsidR="00793ACC">
        <w:t xml:space="preserve"> and the </w:t>
      </w:r>
      <w:r w:rsidR="00035C46">
        <w:t>technology</w:t>
      </w:r>
      <w:r>
        <w:t xml:space="preserve">, and the general </w:t>
      </w:r>
      <w:r w:rsidR="00793ACC">
        <w:t xml:space="preserve">political </w:t>
      </w:r>
      <w:r>
        <w:t xml:space="preserve">discord </w:t>
      </w:r>
      <w:r w:rsidR="009952DC">
        <w:t>which exists today</w:t>
      </w:r>
      <w:r>
        <w:t>, it is</w:t>
      </w:r>
      <w:r w:rsidR="00257233">
        <w:t xml:space="preserve"> very</w:t>
      </w:r>
      <w:r>
        <w:t xml:space="preserve"> unlikely </w:t>
      </w:r>
      <w:r w:rsidR="00257233">
        <w:t xml:space="preserve">any </w:t>
      </w:r>
      <w:r>
        <w:t xml:space="preserve">legislative leadership at the </w:t>
      </w:r>
      <w:r w:rsidR="001B40A7">
        <w:t>federal level</w:t>
      </w:r>
      <w:r>
        <w:t xml:space="preserve"> regarding AVs. However, without a unified, centralized power prescribing mandates and policies, it then </w:t>
      </w:r>
      <w:r>
        <w:lastRenderedPageBreak/>
        <w:t xml:space="preserve">falls to the states to define the operation, testing, and form of AVs. Likely see uncoordinated policies and a patchwork of </w:t>
      </w:r>
      <w:r w:rsidR="00CD5E64">
        <w:t>legislation that tech</w:t>
      </w:r>
      <w:r w:rsidR="002856DD">
        <w:t xml:space="preserve"> </w:t>
      </w:r>
      <w:r w:rsidR="00504866">
        <w:t>and automotive</w:t>
      </w:r>
      <w:r w:rsidR="00CD5E64">
        <w:t xml:space="preserve"> </w:t>
      </w:r>
      <w:r w:rsidR="00504866">
        <w:t>companies</w:t>
      </w:r>
      <w:bookmarkStart w:id="0" w:name="_GoBack"/>
      <w:bookmarkEnd w:id="0"/>
      <w:r w:rsidR="00CD5E64">
        <w:t xml:space="preserve"> will have to </w:t>
      </w:r>
      <w:r w:rsidR="00E44E6B">
        <w:t>navigate</w:t>
      </w:r>
      <w:r w:rsidR="002856DD">
        <w:t>.</w:t>
      </w:r>
    </w:p>
    <w:p w:rsidR="003B3E1D" w:rsidRDefault="00E76317" w:rsidP="00591301">
      <w:pPr>
        <w:pStyle w:val="Heading1"/>
        <w:pBdr>
          <w:bottom w:val="single" w:sz="4" w:space="1" w:color="auto"/>
        </w:pBdr>
        <w:spacing w:line="276" w:lineRule="auto"/>
      </w:pPr>
      <w:r>
        <w:t xml:space="preserve">Analysis </w:t>
      </w:r>
    </w:p>
    <w:p w:rsidR="0034278C" w:rsidRDefault="0034278C" w:rsidP="00591301">
      <w:pPr>
        <w:pStyle w:val="Heading2"/>
        <w:spacing w:line="276" w:lineRule="auto"/>
      </w:pPr>
      <w:r>
        <w:t xml:space="preserve">Overview </w:t>
      </w:r>
    </w:p>
    <w:p w:rsidR="002C2883" w:rsidRDefault="001B40A7" w:rsidP="00EB3A35">
      <w:pPr>
        <w:spacing w:line="480" w:lineRule="auto"/>
        <w:ind w:firstLine="720"/>
        <w:rPr>
          <w:noProof/>
        </w:rPr>
      </w:pPr>
      <w:r>
        <w:t xml:space="preserve">As previously asserted, the policy environment resulting from state lead efforts will likely be fragmented and patchwork. This research attempts to highlight regulatory discontinuities which currently exist by examining all </w:t>
      </w:r>
      <w:r w:rsidR="00661E53">
        <w:t>proposed state legislation regarding AVs starting in 2012 to current day.</w:t>
      </w:r>
      <w:r>
        <w:t xml:space="preserve"> </w:t>
      </w:r>
      <w:r w:rsidR="00661E53">
        <w:t xml:space="preserve">This was done by processing the full body of legislation with a natural language processing script written in the statistical language “R”. Through this analysis, actionable data – word counts, term frequency, and topics – </w:t>
      </w:r>
      <w:r w:rsidR="00E44E6B">
        <w:t>were</w:t>
      </w:r>
      <w:r w:rsidR="00661E53">
        <w:t xml:space="preserve"> extracted from the text body. Predominant themes in the bills were highlighted by the identification of uncommon words or a high occurrence of commonly associated words e.g. words associated with safety: failsafe, redundant, crash, etc. </w:t>
      </w:r>
      <w:r w:rsidR="002C2883">
        <w:t xml:space="preserve">The workflow used in this analysis is depicted in the below image. </w:t>
      </w:r>
    </w:p>
    <w:p w:rsidR="001B40A7" w:rsidRDefault="002C2883" w:rsidP="00EB3A35">
      <w:pPr>
        <w:spacing w:line="480" w:lineRule="auto"/>
      </w:pPr>
      <w:r>
        <w:rPr>
          <w:noProof/>
        </w:rPr>
        <w:drawing>
          <wp:inline distT="0" distB="0" distL="0" distR="0" wp14:anchorId="1EEDA4A6" wp14:editId="1DD24754">
            <wp:extent cx="5554456" cy="128905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5110" cy="1307768"/>
                    </a:xfrm>
                    <a:prstGeom prst="rect">
                      <a:avLst/>
                    </a:prstGeom>
                    <a:noFill/>
                  </pic:spPr>
                </pic:pic>
              </a:graphicData>
            </a:graphic>
          </wp:inline>
        </w:drawing>
      </w:r>
    </w:p>
    <w:p w:rsidR="00ED57B1" w:rsidRDefault="00C95A33" w:rsidP="00EB3A35">
      <w:pPr>
        <w:spacing w:line="480" w:lineRule="auto"/>
        <w:ind w:firstLine="720"/>
      </w:pPr>
      <w:r>
        <w:t xml:space="preserve">The analytical framework which guided this research can be seen below. </w:t>
      </w:r>
      <w:r w:rsidR="003B3E1D">
        <w:t>First, general descriptive of the data were quantified such as identifying legislatively “active” states, legislatively “consistent” states, enaction vs. proposed bill rates per states, and word counts per state and per bill.</w:t>
      </w:r>
      <w:r w:rsidR="002C2883">
        <w:t xml:space="preserve"> </w:t>
      </w:r>
      <w:r>
        <w:t xml:space="preserve">twofold; </w:t>
      </w:r>
      <w:r w:rsidR="002C2883">
        <w:t>to prod</w:t>
      </w:r>
      <w:r>
        <w:t xml:space="preserve">uce general descriptives of the data and. Second, </w:t>
      </w:r>
      <w:r w:rsidR="003B3E1D">
        <w:t xml:space="preserve">the research wanted </w:t>
      </w:r>
      <w:r>
        <w:t>to determine if there were prevalent topics in the policies</w:t>
      </w:r>
      <w:r w:rsidR="003B3E1D">
        <w:t xml:space="preserve">. Given various typological and text analysis techniques, topics </w:t>
      </w:r>
      <w:r w:rsidR="003B3E1D">
        <w:lastRenderedPageBreak/>
        <w:t xml:space="preserve">could be compared between bills, states, over time series, and by their enacted, failed, or pending status. </w:t>
      </w:r>
    </w:p>
    <w:p w:rsidR="0034278C" w:rsidRPr="0034278C" w:rsidRDefault="00C95A33" w:rsidP="00EB3A35">
      <w:pPr>
        <w:spacing w:line="480" w:lineRule="auto"/>
        <w:jc w:val="center"/>
      </w:pPr>
      <w:r w:rsidRPr="00C95A33">
        <w:rPr>
          <w:noProof/>
        </w:rPr>
        <w:drawing>
          <wp:inline distT="0" distB="0" distL="0" distR="0">
            <wp:extent cx="4540250" cy="1564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1564640"/>
                    </a:xfrm>
                    <a:prstGeom prst="rect">
                      <a:avLst/>
                    </a:prstGeom>
                    <a:noFill/>
                    <a:ln>
                      <a:noFill/>
                    </a:ln>
                  </pic:spPr>
                </pic:pic>
              </a:graphicData>
            </a:graphic>
          </wp:inline>
        </w:drawing>
      </w:r>
    </w:p>
    <w:p w:rsidR="00317CE7" w:rsidRPr="00C95A33" w:rsidRDefault="00317CE7" w:rsidP="00EB3A35">
      <w:pPr>
        <w:pStyle w:val="Heading2"/>
        <w:spacing w:line="480" w:lineRule="auto"/>
        <w:rPr>
          <w:b/>
        </w:rPr>
      </w:pPr>
      <w:r>
        <w:t xml:space="preserve">Data </w:t>
      </w:r>
      <w:r w:rsidR="00823AC3">
        <w:t>and Tidying</w:t>
      </w:r>
    </w:p>
    <w:p w:rsidR="00317CE7" w:rsidRDefault="006927A4" w:rsidP="00EB3A35">
      <w:pPr>
        <w:spacing w:line="480" w:lineRule="auto"/>
      </w:pPr>
      <w:r>
        <w:t xml:space="preserve">The data used for this research was provided by National Conference of State Legislatures (NCSL). The NCSL is non-partisan origination which collects data on a </w:t>
      </w:r>
      <w:r w:rsidR="00AD3B80">
        <w:t>wide range</w:t>
      </w:r>
      <w:r>
        <w:t xml:space="preserve"> of subjects </w:t>
      </w:r>
      <w:r w:rsidR="00AD3B80">
        <w:t>meant for policy development</w:t>
      </w:r>
      <w:r>
        <w:t xml:space="preserve">. </w:t>
      </w:r>
      <w:r w:rsidR="00AD3B80">
        <w:t>Since 2012, the</w:t>
      </w:r>
      <w:r>
        <w:t xml:space="preserve"> NCSL </w:t>
      </w:r>
      <w:r w:rsidR="00AD3B80">
        <w:t>has maintained</w:t>
      </w:r>
      <w:r>
        <w:t xml:space="preserve"> </w:t>
      </w:r>
      <w:r w:rsidR="00AD3B80">
        <w:t xml:space="preserve">a </w:t>
      </w:r>
      <w:r>
        <w:t>database of</w:t>
      </w:r>
      <w:r w:rsidR="00AD3B80">
        <w:t xml:space="preserve"> all</w:t>
      </w:r>
      <w:r w:rsidR="00CD6B11">
        <w:t xml:space="preserve"> proposed</w:t>
      </w:r>
      <w:r w:rsidR="00AD3B80">
        <w:t xml:space="preserve"> US </w:t>
      </w:r>
      <w:r>
        <w:t xml:space="preserve">state bills pertaining to Autonomous Vehicles. The data is primarily in text format and </w:t>
      </w:r>
      <w:r w:rsidR="00CD6B11">
        <w:t>was</w:t>
      </w:r>
      <w:r>
        <w:t xml:space="preserve"> analyzed using text analysis techniques via R. </w:t>
      </w:r>
    </w:p>
    <w:p w:rsidR="00321DF1" w:rsidRDefault="00B05187" w:rsidP="00EB3A35">
      <w:pPr>
        <w:spacing w:line="480" w:lineRule="auto"/>
        <w:ind w:firstLine="720"/>
      </w:pPr>
      <w:r>
        <w:t xml:space="preserve">The data in their original </w:t>
      </w:r>
      <w:r w:rsidR="00CD6B11">
        <w:t>formats</w:t>
      </w:r>
      <w:r>
        <w:t xml:space="preserve"> varied drastically, both in content and from. Legislation </w:t>
      </w:r>
      <w:r w:rsidR="00CD6B11">
        <w:t xml:space="preserve">dating </w:t>
      </w:r>
      <w:r>
        <w:t xml:space="preserve">from 2012 to 2016 were in separate files and legislation from 2017 to 2019 was contained in a single file. Text analysis and computation convention requires all data to conform to a single format, thus all files were “tidied” and restructured </w:t>
      </w:r>
      <w:r w:rsidR="00CD6B11">
        <w:t>to conform with “Tidy Data” standards as defined by</w:t>
      </w:r>
      <w:r>
        <w:t xml:space="preserve"> Hadley Wickham</w:t>
      </w:r>
      <w:r w:rsidR="00CD6B11">
        <w:t xml:space="preserve"> </w:t>
      </w:r>
      <w:r w:rsidR="00CF48BC">
        <w:fldChar w:fldCharType="begin" w:fldLock="1"/>
      </w:r>
      <w:r w:rsidR="00CF48BC">
        <w:instrText>ADDIN CSL_CITATION {"citationItems":[{"id":"ITEM-1","itemData":{"DOI":"10.18637/jss.v059.i10","ISBN":"9780387781662","ISSN":"1548-7660","PMID":"18291371","abstract":"In this paper we present the R package gRain for propagation in graphical indepen- dence networks (for which Bayesian networks is a special instance). The paper includes a description of the theory behind the computations. The main part of the paper is an illustration of how to use the package. The paper also illustrates how to turn a graphical model and data into an independence network.","author":[{"dropping-particle":"","family":"Wickham","given":"Hadley","non-dropping-particle":"","parse-names":false,"suffix":""}],"container-title":"Journal of Statistical Software","id":"ITEM-1","issued":{"date-parts":[["2015"]]},"title":"Tidy Data","type":"article-journal"},"uris":["http://www.mendeley.com/documents/?uuid=d1653ba4-8425-3875-a9f7-9f5c2cef4a11"]}],"mendeley":{"formattedCitation":"(Wickham 2015)","plainTextFormattedCitation":"(Wickham 2015)"},"properties":{"noteIndex":0},"schema":"https://github.com/citation-style-language/schema/raw/master/csl-citation.json"}</w:instrText>
      </w:r>
      <w:r w:rsidR="00CF48BC">
        <w:fldChar w:fldCharType="separate"/>
      </w:r>
      <w:r w:rsidR="00CF48BC" w:rsidRPr="00CF48BC">
        <w:rPr>
          <w:noProof/>
        </w:rPr>
        <w:t>(Wickham 2015)</w:t>
      </w:r>
      <w:r w:rsidR="00CF48BC">
        <w:fldChar w:fldCharType="end"/>
      </w:r>
      <w:r w:rsidR="00CD6B11">
        <w:t>.</w:t>
      </w:r>
      <w:r>
        <w:rPr>
          <w:rFonts w:ascii="Calibri" w:hAnsi="Calibri" w:cs="Calibri"/>
        </w:rPr>
        <w:t xml:space="preserve"> </w:t>
      </w:r>
      <w:r>
        <w:t>Given the great degree of variance among the 2012</w:t>
      </w:r>
      <w:r w:rsidR="00CD6B11">
        <w:t>/</w:t>
      </w:r>
      <w:r>
        <w:t xml:space="preserve">2016 files and </w:t>
      </w:r>
      <w:r w:rsidR="00CD6B11">
        <w:t xml:space="preserve">the </w:t>
      </w:r>
      <w:r>
        <w:t xml:space="preserve">complexity of </w:t>
      </w:r>
      <w:r w:rsidR="00CD6B11">
        <w:t>developing an</w:t>
      </w:r>
      <w:r>
        <w:t xml:space="preserve"> R script </w:t>
      </w:r>
      <w:r w:rsidR="00CD6B11">
        <w:t>robust enough</w:t>
      </w:r>
      <w:r>
        <w:t xml:space="preserve"> to perform this </w:t>
      </w:r>
      <w:r w:rsidR="00CD6B11">
        <w:t>task</w:t>
      </w:r>
      <w:r>
        <w:t>, these files</w:t>
      </w:r>
      <w:r w:rsidR="00CD6B11">
        <w:t xml:space="preserve"> were restructured</w:t>
      </w:r>
      <w:r>
        <w:t xml:space="preserve"> by hand in Excel. Alternatively, the 2017</w:t>
      </w:r>
      <w:r w:rsidR="00CD6B11">
        <w:t>/</w:t>
      </w:r>
      <w:r>
        <w:t>2019 data</w:t>
      </w:r>
      <w:r w:rsidR="00CD6B11">
        <w:t xml:space="preserve"> required segmentation which was performed in R</w:t>
      </w:r>
      <w:r>
        <w:t>.</w:t>
      </w:r>
      <w:r w:rsidR="00CD6B11">
        <w:t xml:space="preserve"> Individual bills were identified and restructured in a way were bill texts were paired with the appropriate meta-data.</w:t>
      </w:r>
      <w:r>
        <w:t xml:space="preserve"> </w:t>
      </w:r>
    </w:p>
    <w:p w:rsidR="00B201B4" w:rsidRDefault="00E71293" w:rsidP="00EB3A35">
      <w:pPr>
        <w:spacing w:line="480" w:lineRule="auto"/>
        <w:ind w:firstLine="720"/>
      </w:pPr>
      <w:r>
        <w:lastRenderedPageBreak/>
        <w:t xml:space="preserve">Once in a consistent form, all data streams were merged into a single data frame table (corpus). </w:t>
      </w:r>
      <w:r w:rsidR="00B05187">
        <w:t xml:space="preserve">The policy corpus </w:t>
      </w:r>
      <w:r w:rsidR="00CD6B11">
        <w:t>records each individual bill’s summary text and accompanying meta-data – bill name, state, status, and date it was introduced</w:t>
      </w:r>
      <w:r w:rsidR="00B05187">
        <w:t xml:space="preserve">. Each bill summary text required additional pre-processing in standard text analysis fashion before analysis could be carried out. </w:t>
      </w:r>
    </w:p>
    <w:p w:rsidR="00B05187" w:rsidRDefault="00B05187" w:rsidP="00EB3A35">
      <w:pPr>
        <w:spacing w:line="480" w:lineRule="auto"/>
        <w:ind w:firstLine="720"/>
      </w:pPr>
      <w:r>
        <w:t xml:space="preserve">The texts were stripped of all punctuation and numerical symbols. Common English stopwords were removed to reduce the overall dimensionality of the corpus as well preventing extraneous findings </w:t>
      </w:r>
      <w:r w:rsidR="00E71293">
        <w:t>e.g.</w:t>
      </w:r>
      <w:r>
        <w:t xml:space="preserve"> </w:t>
      </w:r>
      <w:r w:rsidR="00E71293">
        <w:t xml:space="preserve">counting </w:t>
      </w:r>
      <w:r>
        <w:t xml:space="preserve">“the” </w:t>
      </w:r>
      <w:r w:rsidR="00E71293">
        <w:t xml:space="preserve">would </w:t>
      </w:r>
      <w:r>
        <w:t>ske</w:t>
      </w:r>
      <w:r w:rsidR="00E71293">
        <w:t>w the</w:t>
      </w:r>
      <w:r>
        <w:t xml:space="preserve"> word count</w:t>
      </w:r>
      <w:r w:rsidR="00E71293">
        <w:t xml:space="preserve"> totals</w:t>
      </w:r>
      <w:r>
        <w:t>. Further efforts were required to ensure frequently grouped words with specific</w:t>
      </w:r>
      <w:r w:rsidR="00E71293">
        <w:t xml:space="preserve"> meanings </w:t>
      </w:r>
      <w:r>
        <w:t xml:space="preserve">be properly identify.  For example, the survey texts revealed twenty-four different ways to refer to an autonomous vehicle e.g. </w:t>
      </w:r>
      <w:r w:rsidRPr="00B05187">
        <w:t>automated motor vehicle</w:t>
      </w:r>
      <w:r>
        <w:t xml:space="preserve"> vs. </w:t>
      </w:r>
      <w:r w:rsidRPr="00B05187">
        <w:t>self</w:t>
      </w:r>
      <w:r>
        <w:t>-</w:t>
      </w:r>
      <w:r w:rsidRPr="00B05187">
        <w:t>driving vehicle</w:t>
      </w:r>
      <w:r>
        <w:t xml:space="preserve"> vs.</w:t>
      </w:r>
      <w:r w:rsidRPr="00B05187">
        <w:t xml:space="preserve"> driverless vehicle</w:t>
      </w:r>
      <w:r>
        <w:t xml:space="preserve">. Grouped words like </w:t>
      </w:r>
      <w:r w:rsidR="00E71293">
        <w:t>these</w:t>
      </w:r>
      <w:r>
        <w:t xml:space="preserve"> were either reduced to a singular abbreviation or compounded together</w:t>
      </w:r>
      <w:r w:rsidR="00E71293">
        <w:t xml:space="preserve"> entirely</w:t>
      </w:r>
      <w:r>
        <w:t xml:space="preserve">. Finally, singularization was applied to the texts </w:t>
      </w:r>
      <w:r w:rsidR="0003658D">
        <w:t>to</w:t>
      </w:r>
      <w:r>
        <w:t xml:space="preserve"> stem the plural versions of words to the singular version making it </w:t>
      </w:r>
      <w:r w:rsidR="0003658D">
        <w:t xml:space="preserve">easier for </w:t>
      </w:r>
      <w:r>
        <w:t xml:space="preserve">important words </w:t>
      </w:r>
      <w:r w:rsidR="00823AC3">
        <w:t>to be evident in the total word counts.</w:t>
      </w:r>
    </w:p>
    <w:p w:rsidR="00317CE7" w:rsidRDefault="006F5FAF" w:rsidP="00EB3A35">
      <w:pPr>
        <w:pStyle w:val="Heading2"/>
        <w:spacing w:line="480" w:lineRule="auto"/>
      </w:pPr>
      <w:r>
        <w:t>Topic Analysis</w:t>
      </w:r>
    </w:p>
    <w:p w:rsidR="00E508B9" w:rsidRDefault="006927A4" w:rsidP="00B57656">
      <w:pPr>
        <w:spacing w:line="480" w:lineRule="auto"/>
        <w:ind w:firstLine="720"/>
      </w:pPr>
      <w:r>
        <w:t xml:space="preserve">A focus of this analysis was </w:t>
      </w:r>
      <w:r w:rsidR="001B40A7">
        <w:t>to identify</w:t>
      </w:r>
      <w:r>
        <w:t xml:space="preserve"> overarching themes or topics existent in policy text. Framework </w:t>
      </w:r>
      <w:r w:rsidR="00830241">
        <w:t xml:space="preserve">for topic identification was developed based upon </w:t>
      </w:r>
      <w:r>
        <w:t>reoccurring patterns</w:t>
      </w:r>
      <w:r w:rsidR="00823AC3">
        <w:t>/words</w:t>
      </w:r>
      <w:r>
        <w:t xml:space="preserve"> </w:t>
      </w:r>
      <w:r w:rsidR="00E508B9">
        <w:t>in</w:t>
      </w:r>
      <w:r>
        <w:t xml:space="preserve"> the policy</w:t>
      </w:r>
      <w:r w:rsidR="00E508B9">
        <w:t xml:space="preserve"> corpus</w:t>
      </w:r>
      <w:r w:rsidR="00830241">
        <w:t>.</w:t>
      </w:r>
      <w:r w:rsidR="00E508B9">
        <w:t xml:space="preserve"> NLP based analysis could reveal deeper insights than performing simple categorization/topic assignment. For instance, this analysis reveals the specific parties who are prescribed authority over AVs. This is a powerful analytical tool, as it can highlight the fractur</w:t>
      </w:r>
      <w:r w:rsidR="00D2419D">
        <w:t xml:space="preserve">ed landscape of state AV policy. </w:t>
      </w:r>
    </w:p>
    <w:p w:rsidR="00B201B4" w:rsidRDefault="00B9729D" w:rsidP="002D4EAD">
      <w:pPr>
        <w:spacing w:line="480" w:lineRule="auto"/>
        <w:ind w:firstLine="720"/>
      </w:pPr>
      <w:r>
        <w:t>Eight topics</w:t>
      </w:r>
      <w:r w:rsidR="007A3629">
        <w:t xml:space="preserve"> of focus</w:t>
      </w:r>
      <w:r>
        <w:t xml:space="preserve"> were defined </w:t>
      </w:r>
      <w:r w:rsidR="00E71293">
        <w:t>posteriori</w:t>
      </w:r>
      <w:r w:rsidR="009526E6">
        <w:t>. The topics used for the topic analysis were:</w:t>
      </w:r>
      <w:r w:rsidR="00E71293">
        <w:t xml:space="preserve"> </w:t>
      </w:r>
      <w:r w:rsidR="00B201B4">
        <w:t xml:space="preserve"> authorit</w:t>
      </w:r>
      <w:r w:rsidR="00E71293">
        <w:t>ies</w:t>
      </w:r>
      <w:r w:rsidR="00B201B4">
        <w:t>, technology, safety, testing, infrastructure, financial, and social</w:t>
      </w:r>
      <w:r w:rsidR="009526E6">
        <w:t xml:space="preserve"> (see appendix for more details). </w:t>
      </w:r>
      <w:r w:rsidR="00B201B4">
        <w:t xml:space="preserve">Topic </w:t>
      </w:r>
      <w:r w:rsidR="00E71293">
        <w:t xml:space="preserve">count </w:t>
      </w:r>
      <w:r w:rsidR="00B201B4">
        <w:t xml:space="preserve">totals per bill were calculated, bills which had a </w:t>
      </w:r>
      <w:r w:rsidR="00E71293">
        <w:t>high</w:t>
      </w:r>
      <w:r w:rsidR="00B201B4">
        <w:t xml:space="preserve"> amount of </w:t>
      </w:r>
      <w:r w:rsidR="00E71293">
        <w:t>references</w:t>
      </w:r>
      <w:r w:rsidR="00B201B4">
        <w:t xml:space="preserve"> to a given topic </w:t>
      </w:r>
      <w:r w:rsidR="007A3629">
        <w:t>were</w:t>
      </w:r>
      <w:r w:rsidR="00B201B4">
        <w:t xml:space="preserve"> primarily focused on said topic.  </w:t>
      </w:r>
    </w:p>
    <w:p w:rsidR="00B201B4" w:rsidRPr="00321DF1" w:rsidRDefault="009526E6" w:rsidP="002D4EAD">
      <w:pPr>
        <w:spacing w:line="480" w:lineRule="auto"/>
        <w:ind w:firstLine="720"/>
      </w:pPr>
      <w:r>
        <w:lastRenderedPageBreak/>
        <w:t>T</w:t>
      </w:r>
      <w:r w:rsidR="00E71293">
        <w:t xml:space="preserve">here are two caveats regarding the </w:t>
      </w:r>
      <w:r w:rsidR="00B201B4">
        <w:t xml:space="preserve">development, implementation, and analysis </w:t>
      </w:r>
      <w:r w:rsidR="00E71293">
        <w:t xml:space="preserve">resulting from </w:t>
      </w:r>
      <w:r w:rsidR="00B201B4">
        <w:t xml:space="preserve">this methodology. First, judgement calls </w:t>
      </w:r>
      <w:r w:rsidR="00E71293">
        <w:t>were</w:t>
      </w:r>
      <w:r w:rsidR="00B201B4">
        <w:t xml:space="preserve"> made on what should or should not be included in each topic.</w:t>
      </w:r>
      <w:r w:rsidR="00E71293">
        <w:t xml:space="preserve"> Development of these topic “buckets” naturally introduce bias into the analysis.</w:t>
      </w:r>
      <w:r w:rsidR="00B201B4">
        <w:t xml:space="preserve"> Second, the topics themselves are not intrinsically mutually exclusive and there exists many words which could overlap topics.</w:t>
      </w:r>
      <w:r w:rsidR="00E71293">
        <w:t xml:space="preserve"> For example, a specific “failsafe device” could fall under both the “safety” and “technology” topics.</w:t>
      </w:r>
      <w:r w:rsidR="00B201B4">
        <w:t xml:space="preserve"> However, given the constraints of </w:t>
      </w:r>
      <w:r w:rsidR="00E71293">
        <w:t xml:space="preserve">the </w:t>
      </w:r>
      <w:r w:rsidR="00B201B4">
        <w:t xml:space="preserve">employed algorithm, words were exclusively assigned to single topics. </w:t>
      </w:r>
      <w:r w:rsidR="000043E9">
        <w:t xml:space="preserve">Further research would likely benefit from addressing this issue in a more robust manner. </w:t>
      </w:r>
    </w:p>
    <w:p w:rsidR="00317CE7" w:rsidRDefault="00317CE7" w:rsidP="00591301">
      <w:pPr>
        <w:pStyle w:val="Heading1"/>
        <w:pBdr>
          <w:bottom w:val="single" w:sz="4" w:space="1" w:color="auto"/>
        </w:pBdr>
        <w:spacing w:line="276" w:lineRule="auto"/>
      </w:pPr>
      <w:r>
        <w:t>Results and Discussion</w:t>
      </w:r>
    </w:p>
    <w:p w:rsidR="00AF06A8" w:rsidRDefault="00AF06A8" w:rsidP="00591301">
      <w:pPr>
        <w:spacing w:line="276" w:lineRule="auto"/>
        <w:rPr>
          <w:rFonts w:asciiTheme="majorHAnsi" w:eastAsiaTheme="majorEastAsia" w:hAnsiTheme="majorHAnsi" w:cstheme="majorBidi"/>
          <w:color w:val="2F5496" w:themeColor="accent1" w:themeShade="BF"/>
          <w:sz w:val="26"/>
          <w:szCs w:val="26"/>
        </w:rPr>
      </w:pPr>
      <w:r w:rsidRPr="00AF06A8">
        <w:rPr>
          <w:rFonts w:asciiTheme="majorHAnsi" w:eastAsiaTheme="majorEastAsia" w:hAnsiTheme="majorHAnsi" w:cstheme="majorBidi"/>
          <w:color w:val="2F5496" w:themeColor="accent1" w:themeShade="BF"/>
          <w:sz w:val="26"/>
          <w:szCs w:val="26"/>
        </w:rPr>
        <w:t xml:space="preserve">AV policy across all US States (12-19’) </w:t>
      </w:r>
    </w:p>
    <w:p w:rsidR="007203C7" w:rsidRDefault="007203C7" w:rsidP="007203C7">
      <w:pPr>
        <w:spacing w:line="480" w:lineRule="auto"/>
        <w:ind w:firstLine="720"/>
      </w:pPr>
      <w:r>
        <w:rPr>
          <w:noProof/>
        </w:rPr>
        <w:drawing>
          <wp:anchor distT="0" distB="0" distL="114300" distR="114300" simplePos="0" relativeHeight="251659264" behindDoc="1" locked="0" layoutInCell="1" allowOverlap="1" wp14:anchorId="0EF63DA0">
            <wp:simplePos x="0" y="0"/>
            <wp:positionH relativeFrom="column">
              <wp:posOffset>2446020</wp:posOffset>
            </wp:positionH>
            <wp:positionV relativeFrom="paragraph">
              <wp:posOffset>1077595</wp:posOffset>
            </wp:positionV>
            <wp:extent cx="3676015" cy="2042160"/>
            <wp:effectExtent l="0" t="0" r="635" b="0"/>
            <wp:wrapTight wrapText="bothSides">
              <wp:wrapPolygon edited="0">
                <wp:start x="0" y="0"/>
                <wp:lineTo x="0" y="21358"/>
                <wp:lineTo x="21492" y="21358"/>
                <wp:lineTo x="214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015" cy="2042160"/>
                    </a:xfrm>
                    <a:prstGeom prst="rect">
                      <a:avLst/>
                    </a:prstGeom>
                    <a:noFill/>
                  </pic:spPr>
                </pic:pic>
              </a:graphicData>
            </a:graphic>
          </wp:anchor>
        </w:drawing>
      </w:r>
      <w:r w:rsidR="008C4F94">
        <w:t xml:space="preserve">The plot </w:t>
      </w:r>
      <w:r w:rsidR="0011224B">
        <w:t>to the right</w:t>
      </w:r>
      <w:r w:rsidR="008C4F94">
        <w:t xml:space="preserve"> displays the cumulative number of all US proposed and enacted policies per year. The ensuing table</w:t>
      </w:r>
      <w:r w:rsidR="0011224B">
        <w:t xml:space="preserve"> below</w:t>
      </w:r>
      <w:r w:rsidR="008C4F94">
        <w:t xml:space="preserve"> shows the top 10 states who have proposed bills (left) and who have enacted bills (right). Interestingly, both plot and table show a large divide in the number of bills that are proposed versus the number which eventually get enacted. The data does not contain any indicators which could potentially explain this inefficiency – whether it is something specific to autonomous vehicles or due to the natural legislative process.</w:t>
      </w:r>
    </w:p>
    <w:p w:rsidR="006F5FAF" w:rsidRDefault="007203C7" w:rsidP="00591301">
      <w:pPr>
        <w:spacing w:line="480" w:lineRule="auto"/>
        <w:ind w:firstLine="720"/>
      </w:pPr>
      <w:r>
        <w:rPr>
          <w:noProof/>
        </w:rPr>
        <w:lastRenderedPageBreak/>
        <w:drawing>
          <wp:anchor distT="0" distB="0" distL="114300" distR="114300" simplePos="0" relativeHeight="251660288" behindDoc="0" locked="0" layoutInCell="1" allowOverlap="1" wp14:anchorId="53540D20">
            <wp:simplePos x="0" y="0"/>
            <wp:positionH relativeFrom="column">
              <wp:posOffset>66980</wp:posOffset>
            </wp:positionH>
            <wp:positionV relativeFrom="paragraph">
              <wp:posOffset>61286</wp:posOffset>
            </wp:positionV>
            <wp:extent cx="2219325" cy="244348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25" cy="2443480"/>
                    </a:xfrm>
                    <a:prstGeom prst="rect">
                      <a:avLst/>
                    </a:prstGeom>
                    <a:noFill/>
                  </pic:spPr>
                </pic:pic>
              </a:graphicData>
            </a:graphic>
            <wp14:sizeRelH relativeFrom="margin">
              <wp14:pctWidth>0</wp14:pctWidth>
            </wp14:sizeRelH>
            <wp14:sizeRelV relativeFrom="margin">
              <wp14:pctHeight>0</wp14:pctHeight>
            </wp14:sizeRelV>
          </wp:anchor>
        </w:drawing>
      </w:r>
      <w:r w:rsidR="0011224B">
        <w:t>This table</w:t>
      </w:r>
      <w:r w:rsidR="008C4F94">
        <w:t xml:space="preserve"> details this disconnect at the state level. California is the most prolific legislature </w:t>
      </w:r>
      <w:r w:rsidR="0011224B">
        <w:t>with close to 40 proposed bills and 11 enacted with and enaction efficiency of 29%. Besides California, there doesn’t seem to be a one-to-on translation between top bill proposing states and enacting states. New Jersey, Massachusetts, and Florida fail to make the 10 ten enacting states list. While Illinois, Tennessee, and New York remain but with much lower efficiency rates, 22%, 21%, 10%, respectively. Georgia, North Carolina, and Michigan are effectively dark horses who round out the top three most enacting states tied Tennessee.</w:t>
      </w:r>
      <w:r w:rsidR="001F55F7">
        <w:t xml:space="preserve"> There are likely a multitude of reasons for the state reshuffling but again the data does not provide a means for an explanation. </w:t>
      </w:r>
    </w:p>
    <w:p w:rsidR="009526E6" w:rsidRDefault="00AF496D" w:rsidP="009526E6">
      <w:pPr>
        <w:spacing w:line="480" w:lineRule="auto"/>
        <w:ind w:firstLine="720"/>
      </w:pPr>
      <w:r>
        <w:rPr>
          <w:noProof/>
        </w:rPr>
        <w:drawing>
          <wp:anchor distT="0" distB="0" distL="114300" distR="114300" simplePos="0" relativeHeight="251662336" behindDoc="0" locked="0" layoutInCell="1" allowOverlap="1" wp14:anchorId="3B0C15C3">
            <wp:simplePos x="0" y="0"/>
            <wp:positionH relativeFrom="column">
              <wp:posOffset>2520818</wp:posOffset>
            </wp:positionH>
            <wp:positionV relativeFrom="paragraph">
              <wp:posOffset>2049971</wp:posOffset>
            </wp:positionV>
            <wp:extent cx="3397885" cy="22034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885" cy="2203450"/>
                    </a:xfrm>
                    <a:prstGeom prst="rect">
                      <a:avLst/>
                    </a:prstGeom>
                    <a:noFill/>
                  </pic:spPr>
                </pic:pic>
              </a:graphicData>
            </a:graphic>
            <wp14:sizeRelH relativeFrom="margin">
              <wp14:pctWidth>0</wp14:pctWidth>
            </wp14:sizeRelH>
            <wp14:sizeRelV relativeFrom="margin">
              <wp14:pctHeight>0</wp14:pctHeight>
            </wp14:sizeRelV>
          </wp:anchor>
        </w:drawing>
      </w:r>
      <w:r>
        <w:t xml:space="preserve">The cumulative references of the eight identified topics for all proposed US state AV bills are displayed to the right. The counts were adjusted by dividing by the number of bills proposed for that year, so in actuality the y-axis denotes the average counts per proposed bill per year. There is a clear decreasing trend for most of the topics (all but social and financial). One potential explanation is that once a topic is addressed by a state it no longer requires further legislation. For example, states </w:t>
      </w:r>
      <w:r w:rsidR="000558C1">
        <w:t>could</w:t>
      </w:r>
      <w:r>
        <w:t xml:space="preserve"> initially be concerned with safety, permissions, integration with the built environment, and testing and devote their legislative efforts to ensure proper oversight</w:t>
      </w:r>
      <w:r w:rsidR="000558C1">
        <w:t xml:space="preserve"> in these areas</w:t>
      </w:r>
      <w:r>
        <w:t xml:space="preserve">. One would see, as the data shows, a large uptick in focus regarding these specific topics </w:t>
      </w:r>
      <w:r w:rsidR="000558C1">
        <w:t xml:space="preserve">as </w:t>
      </w:r>
      <w:r>
        <w:t xml:space="preserve">embodied by high topic counts. </w:t>
      </w:r>
      <w:r w:rsidR="000558C1">
        <w:t xml:space="preserve">Attention eventually would be shifted away from these areas if legislators felt </w:t>
      </w:r>
      <w:r w:rsidR="000558C1">
        <w:lastRenderedPageBreak/>
        <w:t xml:space="preserve">that these topics had been sufficiently covered. As one topic falls in priority one would expect another to replace it, this is not seen in the data. Potentially, </w:t>
      </w:r>
      <w:r w:rsidR="009526E6">
        <w:t xml:space="preserve">a topic was missed and excluded from that analysis which was </w:t>
      </w:r>
      <w:r w:rsidR="000558C1">
        <w:t>in the 2016:2019 bills</w:t>
      </w:r>
      <w:r w:rsidR="009526E6">
        <w:t xml:space="preserve">. </w:t>
      </w:r>
    </w:p>
    <w:p w:rsidR="009526E6" w:rsidRDefault="00A56D30" w:rsidP="009526E6">
      <w:pPr>
        <w:spacing w:line="480" w:lineRule="auto"/>
        <w:ind w:firstLine="720"/>
      </w:pPr>
      <w:r>
        <w:rPr>
          <w:noProof/>
        </w:rPr>
        <w:drawing>
          <wp:anchor distT="0" distB="0" distL="114300" distR="114300" simplePos="0" relativeHeight="251663360" behindDoc="0" locked="0" layoutInCell="1" allowOverlap="1" wp14:anchorId="5FB3D7F0">
            <wp:simplePos x="0" y="0"/>
            <wp:positionH relativeFrom="column">
              <wp:posOffset>2753228</wp:posOffset>
            </wp:positionH>
            <wp:positionV relativeFrom="paragraph">
              <wp:posOffset>1353703</wp:posOffset>
            </wp:positionV>
            <wp:extent cx="2974975" cy="29076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4975" cy="2907665"/>
                    </a:xfrm>
                    <a:prstGeom prst="rect">
                      <a:avLst/>
                    </a:prstGeom>
                    <a:noFill/>
                  </pic:spPr>
                </pic:pic>
              </a:graphicData>
            </a:graphic>
            <wp14:sizeRelH relativeFrom="margin">
              <wp14:pctWidth>0</wp14:pctWidth>
            </wp14:sizeRelH>
            <wp14:sizeRelV relativeFrom="margin">
              <wp14:pctHeight>0</wp14:pctHeight>
            </wp14:sizeRelV>
          </wp:anchor>
        </w:drawing>
      </w:r>
      <w:r w:rsidRPr="00A56D30">
        <w:rPr>
          <w:noProof/>
        </w:rPr>
        <w:t xml:space="preserve">The </w:t>
      </w:r>
      <w:r>
        <w:rPr>
          <w:noProof/>
        </w:rPr>
        <w:t>plot below</w:t>
      </w:r>
      <w:r w:rsidRPr="00A56D30">
        <w:rPr>
          <w:noProof/>
        </w:rPr>
        <w:t xml:space="preserve"> depicts the state variance among prescribed/mentioned authority figures. The three most common authority entities referred to by states were “Task Forces,” the DMV (or similar licensing agencies), and state level department of transportation (DOTs). Maryland and New Jersey alone refer to task forces over twenty times; this can be an attractive option as a task force can be created for the sole purpose of addressing issues related to AVs. Other agencies like state DOTs and the DMV are much larger, well-established agencies but may not be capable of matching the speed and agility of AV development by tech and automotive companies. Notably, California refers to sources of authority shy of ten times where other states like Maryland, New Jersey, and Hawaii make this appeal fifteen times each. As discussed early</w:t>
      </w:r>
      <w:r>
        <w:rPr>
          <w:noProof/>
        </w:rPr>
        <w:t>,</w:t>
      </w:r>
      <w:r w:rsidRPr="00A56D30">
        <w:rPr>
          <w:noProof/>
        </w:rPr>
        <w:t xml:space="preserve"> California has proposed and enacted </w:t>
      </w:r>
      <w:r>
        <w:rPr>
          <w:noProof/>
        </w:rPr>
        <w:t>substantially</w:t>
      </w:r>
      <w:r w:rsidRPr="00A56D30">
        <w:rPr>
          <w:noProof/>
        </w:rPr>
        <w:t xml:space="preserve"> more bills than other states but do not have proportional mentions of authority figures. This could suggest that California, a significant testing ground for AVs and the home of many AV companies, is less concerned with defining an authoritative oversight over AVs rather than it is with testing.</w:t>
      </w:r>
    </w:p>
    <w:p w:rsidR="009526E6" w:rsidRDefault="009526E6" w:rsidP="009526E6">
      <w:pPr>
        <w:spacing w:line="480" w:lineRule="auto"/>
        <w:ind w:firstLine="720"/>
      </w:pPr>
      <w:r>
        <w:t xml:space="preserve"> </w:t>
      </w:r>
    </w:p>
    <w:p w:rsidR="00D806EE" w:rsidRPr="006F5FAF" w:rsidRDefault="00D806EE" w:rsidP="00A56D30">
      <w:pPr>
        <w:spacing w:line="480" w:lineRule="auto"/>
      </w:pPr>
    </w:p>
    <w:p w:rsidR="00317CE7" w:rsidRDefault="006F5FAF" w:rsidP="00EB3A35">
      <w:pPr>
        <w:pStyle w:val="Heading2"/>
        <w:spacing w:line="480" w:lineRule="auto"/>
      </w:pPr>
      <w:r>
        <w:lastRenderedPageBreak/>
        <w:t>Thee State Snapshot</w:t>
      </w:r>
    </w:p>
    <w:p w:rsidR="00321DF1" w:rsidRDefault="006F5FAF" w:rsidP="005A6D9A">
      <w:pPr>
        <w:spacing w:line="480" w:lineRule="auto"/>
        <w:ind w:firstLine="720"/>
      </w:pPr>
      <w:r>
        <w:t xml:space="preserve">California, New Jersey, and Georgia were chosen to perform a deeper analysis on. California was chosen for its sizeable activity in the development of AVs and the shear amount of legislation it has both proposed and enacted. New Jersey and Georgia were seemingly odd cases, as New Jersey had proposed many bills but enacted very few and visa versa for Georgia. </w:t>
      </w:r>
      <w:r w:rsidR="0070747E">
        <w:t>These two</w:t>
      </w:r>
      <w:r>
        <w:t xml:space="preserve"> states </w:t>
      </w:r>
      <w:r w:rsidR="0070747E">
        <w:t>are juxtaposed to each other as the pair display very</w:t>
      </w:r>
      <w:r>
        <w:t xml:space="preserve"> different levels of </w:t>
      </w:r>
      <w:r w:rsidR="0070747E">
        <w:t>efficiency</w:t>
      </w:r>
      <w:r>
        <w:t xml:space="preserve"> regarding the proposition and </w:t>
      </w:r>
      <w:r w:rsidR="0070747E">
        <w:t>enaction</w:t>
      </w:r>
      <w:r>
        <w:t xml:space="preserve"> of </w:t>
      </w:r>
      <w:r w:rsidR="0070747E">
        <w:t xml:space="preserve">AV policies. </w:t>
      </w:r>
    </w:p>
    <w:p w:rsidR="0003091D" w:rsidRDefault="005A6D9A" w:rsidP="004F1B1D">
      <w:pPr>
        <w:spacing w:line="480" w:lineRule="auto"/>
        <w:ind w:firstLine="720"/>
      </w:pPr>
      <w:r>
        <w:rPr>
          <w:noProof/>
        </w:rPr>
        <w:drawing>
          <wp:anchor distT="0" distB="0" distL="114300" distR="114300" simplePos="0" relativeHeight="251658240" behindDoc="1" locked="0" layoutInCell="1" allowOverlap="1" wp14:anchorId="51974688">
            <wp:simplePos x="0" y="0"/>
            <wp:positionH relativeFrom="column">
              <wp:posOffset>3281753</wp:posOffset>
            </wp:positionH>
            <wp:positionV relativeFrom="paragraph">
              <wp:posOffset>65251</wp:posOffset>
            </wp:positionV>
            <wp:extent cx="2589530" cy="425259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51"/>
                    <a:stretch/>
                  </pic:blipFill>
                  <pic:spPr bwMode="auto">
                    <a:xfrm>
                      <a:off x="0" y="0"/>
                      <a:ext cx="2589530" cy="425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091D">
        <w:t xml:space="preserve">The three plots </w:t>
      </w:r>
      <w:r w:rsidR="00EB3A35">
        <w:t xml:space="preserve">to the </w:t>
      </w:r>
      <w:r w:rsidR="004F1B1D">
        <w:t>right</w:t>
      </w:r>
      <w:r w:rsidR="0003091D">
        <w:t xml:space="preserve"> detail the top ten words </w:t>
      </w:r>
      <w:r w:rsidR="00E67056">
        <w:t>returned</w:t>
      </w:r>
      <w:r w:rsidR="0003091D">
        <w:t xml:space="preserve"> from the analysis of </w:t>
      </w:r>
      <w:r w:rsidR="00E67056">
        <w:t>California’s</w:t>
      </w:r>
      <w:r w:rsidR="0003091D">
        <w:t xml:space="preserve">, Georgia’s and New Jersey’s </w:t>
      </w:r>
      <w:r w:rsidR="00E67056">
        <w:t>autonomous</w:t>
      </w:r>
      <w:r w:rsidR="0003091D">
        <w:t xml:space="preserve"> </w:t>
      </w:r>
      <w:r w:rsidR="00E67056">
        <w:t>vehicle</w:t>
      </w:r>
      <w:r w:rsidR="0003091D">
        <w:t xml:space="preserve"> </w:t>
      </w:r>
      <w:r w:rsidR="00E67056">
        <w:t>policies</w:t>
      </w:r>
      <w:r w:rsidR="0003091D">
        <w:t>. California is clearly focused on testing, mentioning both the word “testing” and “pilot projects”</w:t>
      </w:r>
      <w:r w:rsidR="00B20BF9">
        <w:t xml:space="preserve"> </w:t>
      </w:r>
      <w:r w:rsidR="0003091D">
        <w:t xml:space="preserve">(testing) roughly 25 combined times. In addition, </w:t>
      </w:r>
      <w:r w:rsidR="00E67056">
        <w:t>California</w:t>
      </w:r>
      <w:r w:rsidR="0003091D">
        <w:t xml:space="preserve"> refers to </w:t>
      </w:r>
      <w:r w:rsidR="00B20BF9">
        <w:t>“</w:t>
      </w:r>
      <w:r w:rsidR="0003091D">
        <w:t>public</w:t>
      </w:r>
      <w:r w:rsidR="00B20BF9">
        <w:t>”, “</w:t>
      </w:r>
      <w:r w:rsidR="0003091D">
        <w:t>county</w:t>
      </w:r>
      <w:r w:rsidR="00B20BF9">
        <w:t>”, and</w:t>
      </w:r>
      <w:r w:rsidR="0003091D">
        <w:t xml:space="preserve"> </w:t>
      </w:r>
      <w:r w:rsidR="00B20BF9">
        <w:t>“</w:t>
      </w:r>
      <w:r w:rsidR="0003091D">
        <w:t>roads</w:t>
      </w:r>
      <w:r w:rsidR="00B20BF9">
        <w:t>” more than 35 times</w:t>
      </w:r>
      <w:r w:rsidR="0003091D">
        <w:t xml:space="preserve">. </w:t>
      </w:r>
      <w:r w:rsidR="00B20BF9">
        <w:t xml:space="preserve">This is an important detail to note as “testing” highly </w:t>
      </w:r>
      <w:r w:rsidR="00E67056">
        <w:t>correlates</w:t>
      </w:r>
      <w:r w:rsidR="00B20BF9">
        <w:t xml:space="preserve"> to the need to </w:t>
      </w:r>
      <w:r w:rsidR="00E67056">
        <w:t>specific</w:t>
      </w:r>
      <w:r w:rsidR="00B20BF9">
        <w:t xml:space="preserve"> where an AV can operate</w:t>
      </w:r>
      <w:r w:rsidR="0003091D">
        <w:t>.</w:t>
      </w:r>
      <w:r w:rsidR="00B20BF9">
        <w:t xml:space="preserve"> </w:t>
      </w:r>
      <w:r w:rsidR="00105ADC">
        <w:t>New Jersey, on the other hand, tends to focus on the practicalities associated with AV ownership, referring to “insurance”, “driver’s license”, and the states Motor Vehicle Commission (like a DMV).</w:t>
      </w:r>
    </w:p>
    <w:p w:rsidR="007203C7" w:rsidRDefault="00B20BF9" w:rsidP="007203C7">
      <w:pPr>
        <w:spacing w:line="480" w:lineRule="auto"/>
        <w:ind w:firstLine="720"/>
      </w:pPr>
      <w:r>
        <w:t xml:space="preserve">The legislative misalignment between these three states is further indicated by the above plot which </w:t>
      </w:r>
      <w:r w:rsidR="0070747E">
        <w:t xml:space="preserve">details the cumulative occurrences the eight identified AC policy topics. California displays a clear </w:t>
      </w:r>
      <w:r w:rsidR="0070747E">
        <w:lastRenderedPageBreak/>
        <w:t>emphasis on testing, safety, and integration with the built environment but proportionally less emphasis on matters of authority</w:t>
      </w:r>
      <w:r w:rsidR="00105ADC">
        <w:t xml:space="preserve"> or direct references to onboard technology and how the vehicles may operation </w:t>
      </w:r>
      <w:r w:rsidR="0070747E">
        <w:t>Similar, to California, New Jersey focuses on testing as well but shows</w:t>
      </w:r>
      <w:r w:rsidR="002A4D6F">
        <w:t xml:space="preserve"> more attention towards permission and defining authority over AVs. This contrast could reflect the fact that most of the AV development and testing occurs in California, and the state may be less inclined to stifle this flourishing industry for a multitude of reasons. </w:t>
      </w:r>
      <w:r w:rsidR="004F1B1D">
        <w:t>Georgia</w:t>
      </w:r>
      <w:r w:rsidR="002A4D6F">
        <w:t xml:space="preserve"> </w:t>
      </w:r>
      <w:r w:rsidR="00105ADC">
        <w:t>has</w:t>
      </w:r>
      <w:r w:rsidR="002A4D6F">
        <w:t xml:space="preserve"> focused on the technical aspects of AVs, addressing how AVs operate on and integrate with their current infrastructure. </w:t>
      </w:r>
    </w:p>
    <w:p w:rsidR="002A4D6F" w:rsidRPr="00321DF1" w:rsidRDefault="007203C7" w:rsidP="007203C7">
      <w:pPr>
        <w:spacing w:line="480" w:lineRule="auto"/>
        <w:ind w:firstLine="720"/>
      </w:pPr>
      <w:r>
        <w:rPr>
          <w:noProof/>
        </w:rPr>
        <w:drawing>
          <wp:anchor distT="0" distB="0" distL="114300" distR="114300" simplePos="0" relativeHeight="251661312" behindDoc="0" locked="0" layoutInCell="1" allowOverlap="1" wp14:anchorId="5535899D">
            <wp:simplePos x="0" y="0"/>
            <wp:positionH relativeFrom="column">
              <wp:posOffset>2304352</wp:posOffset>
            </wp:positionH>
            <wp:positionV relativeFrom="paragraph">
              <wp:posOffset>445</wp:posOffset>
            </wp:positionV>
            <wp:extent cx="3517900" cy="2647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7900" cy="2647950"/>
                    </a:xfrm>
                    <a:prstGeom prst="rect">
                      <a:avLst/>
                    </a:prstGeom>
                    <a:noFill/>
                  </pic:spPr>
                </pic:pic>
              </a:graphicData>
            </a:graphic>
            <wp14:sizeRelH relativeFrom="margin">
              <wp14:pctWidth>0</wp14:pctWidth>
            </wp14:sizeRelH>
            <wp14:sizeRelV relativeFrom="margin">
              <wp14:pctHeight>0</wp14:pctHeight>
            </wp14:sizeRelV>
          </wp:anchor>
        </w:drawing>
      </w:r>
      <w:r w:rsidR="004F1B1D">
        <w:t>T</w:t>
      </w:r>
      <w:r w:rsidR="00105ADC" w:rsidRPr="004F1B1D">
        <w:t>he</w:t>
      </w:r>
      <w:r w:rsidR="00105ADC">
        <w:t xml:space="preserve"> rate</w:t>
      </w:r>
      <w:r w:rsidR="004F1B1D">
        <w:t xml:space="preserve"> </w:t>
      </w:r>
      <w:r w:rsidR="00105ADC">
        <w:t xml:space="preserve">at which all three states </w:t>
      </w:r>
      <w:r w:rsidR="004F1B1D">
        <w:t>topics are being counting is also noteworthy</w:t>
      </w:r>
      <w:r w:rsidR="00105ADC">
        <w:t xml:space="preserve">. </w:t>
      </w:r>
      <w:r w:rsidR="009F129D">
        <w:t>California</w:t>
      </w:r>
      <w:r w:rsidR="00105ADC">
        <w:t xml:space="preserve"> </w:t>
      </w:r>
      <w:r w:rsidR="009F129D">
        <w:t xml:space="preserve">and New Jersey were both first-movers and started proposing AV legislation in 2012. New Jersey, unlike California, has consistently proposed legislation every year to date where the Golden State had a three-year legislative hiatus from 2013:2015. In 2016, California had a policy explosion which has not stopped. Alternatively, New Jersey seems to have an increasing, albeit slowly, policy rate, with “Operation”, “Testing”, “Safety”, and “Permissions” counts increasing in unison with one another. </w:t>
      </w:r>
    </w:p>
    <w:p w:rsidR="00317CE7" w:rsidRDefault="00317CE7" w:rsidP="00C17E3E">
      <w:pPr>
        <w:pStyle w:val="Heading1"/>
        <w:pBdr>
          <w:bottom w:val="single" w:sz="4" w:space="1" w:color="auto"/>
        </w:pBdr>
        <w:spacing w:line="240" w:lineRule="auto"/>
      </w:pPr>
      <w:r>
        <w:t>Conclusions and Recommendation</w:t>
      </w:r>
      <w:r w:rsidR="009F129D">
        <w:t>s</w:t>
      </w:r>
    </w:p>
    <w:p w:rsidR="000628F6" w:rsidRDefault="00257233" w:rsidP="00EB3A35">
      <w:pPr>
        <w:spacing w:line="480" w:lineRule="auto"/>
      </w:pPr>
      <w:r>
        <w:t>The difference</w:t>
      </w:r>
      <w:r w:rsidR="009F129D">
        <w:t>s</w:t>
      </w:r>
      <w:r>
        <w:t xml:space="preserve"> </w:t>
      </w:r>
      <w:r w:rsidR="009F129D">
        <w:t>in state</w:t>
      </w:r>
      <w:r>
        <w:t xml:space="preserve"> policy </w:t>
      </w:r>
      <w:r w:rsidR="007D7880">
        <w:t>topics</w:t>
      </w:r>
      <w:r w:rsidR="00036302">
        <w:t xml:space="preserve"> </w:t>
      </w:r>
      <w:r w:rsidR="009F129D">
        <w:t>as quantified by this analysis</w:t>
      </w:r>
      <w:r w:rsidR="00036302">
        <w:t xml:space="preserve"> exemplifies the deep divide between state </w:t>
      </w:r>
      <w:r w:rsidR="004F1B1D">
        <w:t xml:space="preserve">autonomous vehicle </w:t>
      </w:r>
      <w:r w:rsidR="00036302">
        <w:t xml:space="preserve">policies. Since this analysis was implemented, state legislatures have proposed </w:t>
      </w:r>
      <w:r w:rsidR="007D7880">
        <w:t>over</w:t>
      </w:r>
      <w:r w:rsidR="00036302">
        <w:t xml:space="preserve"> </w:t>
      </w:r>
      <w:r w:rsidR="007D7880">
        <w:t>four hundred</w:t>
      </w:r>
      <w:r w:rsidR="00036302">
        <w:t xml:space="preserve"> bills </w:t>
      </w:r>
      <w:r w:rsidR="007D7880">
        <w:t xml:space="preserve">as compared </w:t>
      </w:r>
      <w:r w:rsidR="00036302">
        <w:t xml:space="preserve">to </w:t>
      </w:r>
      <w:r w:rsidR="004F1B1D">
        <w:t>t</w:t>
      </w:r>
      <w:r w:rsidR="00036302">
        <w:t xml:space="preserve">wo </w:t>
      </w:r>
      <w:r w:rsidR="005C75B6">
        <w:t>failed bills at the federal level</w:t>
      </w:r>
      <w:r w:rsidR="00036302">
        <w:t>. This stark contrast is likely a symptom of multiple factors; a partisan political climate</w:t>
      </w:r>
      <w:r w:rsidR="004F1B1D">
        <w:t xml:space="preserve">, </w:t>
      </w:r>
      <w:r w:rsidR="00CD16F5">
        <w:t>uncertainty</w:t>
      </w:r>
      <w:r w:rsidR="00036302">
        <w:t xml:space="preserve"> </w:t>
      </w:r>
      <w:r w:rsidR="002B6DD8">
        <w:t>regarding</w:t>
      </w:r>
      <w:r w:rsidR="00036302">
        <w:t xml:space="preserve"> the safet</w:t>
      </w:r>
      <w:r w:rsidR="005C75B6">
        <w:t xml:space="preserve">y </w:t>
      </w:r>
      <w:r w:rsidR="00BF584C">
        <w:t>of</w:t>
      </w:r>
      <w:r w:rsidR="005C75B6">
        <w:t xml:space="preserve"> AVs, </w:t>
      </w:r>
      <w:r w:rsidR="004F1B1D">
        <w:t>their impact on</w:t>
      </w:r>
      <w:r w:rsidR="005C75B6">
        <w:t xml:space="preserve"> </w:t>
      </w:r>
      <w:r w:rsidR="002B6DD8">
        <w:t>transportation</w:t>
      </w:r>
      <w:r w:rsidR="004F1B1D">
        <w:t xml:space="preserve"> networks</w:t>
      </w:r>
      <w:r w:rsidR="005C75B6">
        <w:t xml:space="preserve">, and their impact on the </w:t>
      </w:r>
      <w:r w:rsidR="002B6DD8">
        <w:t>economy</w:t>
      </w:r>
      <w:r w:rsidR="00036302">
        <w:t xml:space="preserve">. </w:t>
      </w:r>
      <w:r w:rsidR="005C75B6">
        <w:t xml:space="preserve">The unwillingness or </w:t>
      </w:r>
      <w:r w:rsidR="005C75B6">
        <w:lastRenderedPageBreak/>
        <w:t xml:space="preserve">inability of the federal government to pass AV legislation will only further </w:t>
      </w:r>
      <w:r w:rsidR="002B6DD8">
        <w:t>exasperate</w:t>
      </w:r>
      <w:r w:rsidR="005C75B6">
        <w:t xml:space="preserve"> the issues identified by this research. </w:t>
      </w:r>
    </w:p>
    <w:p w:rsidR="004A572F" w:rsidRDefault="004A572F" w:rsidP="004A572F">
      <w:pPr>
        <w:pStyle w:val="Heading1"/>
        <w:pBdr>
          <w:bottom w:val="single" w:sz="4" w:space="1" w:color="auto"/>
        </w:pBdr>
      </w:pPr>
      <w:r>
        <w:t>Bibliography</w:t>
      </w:r>
    </w:p>
    <w:p w:rsidR="00CF48BC" w:rsidRPr="00CF48BC" w:rsidRDefault="004A572F" w:rsidP="00CF48BC">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F48BC" w:rsidRPr="00CF48BC">
        <w:rPr>
          <w:rFonts w:ascii="Calibri" w:hAnsi="Calibri" w:cs="Calibri"/>
          <w:noProof/>
          <w:szCs w:val="24"/>
        </w:rPr>
        <w:t>Cornyn, John. 2019. “Text - S.893 - 116th Congress (2019-2020): Secure 5G and Beyond Act of 2019.” https://www.congress.gov/bill/116th-congress/senate-bill/893/text.</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szCs w:val="24"/>
        </w:rPr>
      </w:pPr>
      <w:r w:rsidRPr="00CF48BC">
        <w:rPr>
          <w:rFonts w:ascii="Calibri" w:hAnsi="Calibri" w:cs="Calibri"/>
          <w:noProof/>
          <w:szCs w:val="24"/>
        </w:rPr>
        <w:t>Iannelli, Jerry. 2019. “Florida Legislature Passes Bill Legalizing Self-Driving Uber Cars | Miami New Times.” Miami New Times. 2019. https://www.miaminewtimes.com/news/florida-legislature-passes-bill-legalizing-self-driving-uber-cars-11161818.</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szCs w:val="24"/>
        </w:rPr>
      </w:pPr>
      <w:r w:rsidRPr="00CF48BC">
        <w:rPr>
          <w:rFonts w:ascii="Calibri" w:hAnsi="Calibri" w:cs="Calibri"/>
          <w:noProof/>
          <w:szCs w:val="24"/>
        </w:rPr>
        <w:t>Latta, Robert E. 2017. “H.R.3388 - 115th Congress (2017-2018): SELF DRIVE Act.” https://www.congress.gov/bill/115th-congress/house-bill/3388.</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szCs w:val="24"/>
        </w:rPr>
      </w:pPr>
      <w:r w:rsidRPr="00CF48BC">
        <w:rPr>
          <w:rFonts w:ascii="Calibri" w:hAnsi="Calibri" w:cs="Calibri"/>
          <w:noProof/>
          <w:szCs w:val="24"/>
        </w:rPr>
        <w:t>MADRIGAL, ALEXIS C. 2019. “The Latest Self-Driving-Car Statistics From California - The Atlantic.” The Atlantic. 2019. https://www.theatlantic.com/technology/archive/2019/02/the-latest-self-driving-car-statistics-from-california/582763/.</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szCs w:val="24"/>
        </w:rPr>
      </w:pPr>
      <w:r w:rsidRPr="00CF48BC">
        <w:rPr>
          <w:rFonts w:ascii="Calibri" w:hAnsi="Calibri" w:cs="Calibri"/>
          <w:noProof/>
          <w:szCs w:val="24"/>
        </w:rPr>
        <w:t xml:space="preserve">Millard-Ball, Adam. 2019. “The Autonomous Vehicle Parking Problem.” </w:t>
      </w:r>
      <w:r w:rsidRPr="00CF48BC">
        <w:rPr>
          <w:rFonts w:ascii="Calibri" w:hAnsi="Calibri" w:cs="Calibri"/>
          <w:i/>
          <w:iCs/>
          <w:noProof/>
          <w:szCs w:val="24"/>
        </w:rPr>
        <w:t>Transport Policy</w:t>
      </w:r>
      <w:r w:rsidRPr="00CF48BC">
        <w:rPr>
          <w:rFonts w:ascii="Calibri" w:hAnsi="Calibri" w:cs="Calibri"/>
          <w:noProof/>
          <w:szCs w:val="24"/>
        </w:rPr>
        <w:t>. https://doi.org/10.1016/j.tranpol.2019.01.003.</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szCs w:val="24"/>
        </w:rPr>
      </w:pPr>
      <w:r w:rsidRPr="00CF48BC">
        <w:rPr>
          <w:rFonts w:ascii="Calibri" w:hAnsi="Calibri" w:cs="Calibri"/>
          <w:noProof/>
          <w:szCs w:val="24"/>
        </w:rPr>
        <w:t>Nelson, Katrina. 2019. “The Federal Regulations Governing Autonomous Vehicles.” The National Law Review. 2019. https://www.natlawreview.com/article/autonomous-vehicle-federal-regulation.</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szCs w:val="24"/>
        </w:rPr>
      </w:pPr>
      <w:r w:rsidRPr="00CF48BC">
        <w:rPr>
          <w:rFonts w:ascii="Calibri" w:hAnsi="Calibri" w:cs="Calibri"/>
          <w:noProof/>
          <w:szCs w:val="24"/>
        </w:rPr>
        <w:t>Sergeenkov, Andrey. 2019. “Competition in the Autonomous Vehicle Industry Is Heating Up.” Hackernoon. 2019. https://hackernoon.com/competition-in-the-autonomous-vehicle-industry-is-heating-up-22524d71ca5.</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szCs w:val="24"/>
        </w:rPr>
      </w:pPr>
      <w:r w:rsidRPr="00CF48BC">
        <w:rPr>
          <w:rFonts w:ascii="Calibri" w:hAnsi="Calibri" w:cs="Calibri"/>
          <w:noProof/>
          <w:szCs w:val="24"/>
        </w:rPr>
        <w:t>Thorpe, Chuck, Todd Jochem, and Dean Pomerleau. n.d. “Automated Highways And The Free Agent Demonstration.” Accessed May 21, 2019. https://www.ri.cmu.edu/pub_files/pub2/thorpe_charles_1997_1/thorpe_charles_1997_1.pdf.</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szCs w:val="24"/>
        </w:rPr>
      </w:pPr>
      <w:r w:rsidRPr="00CF48BC">
        <w:rPr>
          <w:rFonts w:ascii="Calibri" w:hAnsi="Calibri" w:cs="Calibri"/>
          <w:noProof/>
          <w:szCs w:val="24"/>
        </w:rPr>
        <w:t>Thune, John. 2017. “S.1885 - 115th Congress (2017-2018): AV START Act.” https://www.congress.gov/bill/115th-congress/senate-bill/1885.</w:t>
      </w:r>
    </w:p>
    <w:p w:rsidR="00CF48BC" w:rsidRPr="00CF48BC" w:rsidRDefault="00CF48BC" w:rsidP="00CF48BC">
      <w:pPr>
        <w:widowControl w:val="0"/>
        <w:autoSpaceDE w:val="0"/>
        <w:autoSpaceDN w:val="0"/>
        <w:adjustRightInd w:val="0"/>
        <w:spacing w:line="240" w:lineRule="auto"/>
        <w:ind w:left="480" w:hanging="480"/>
        <w:rPr>
          <w:rFonts w:ascii="Calibri" w:hAnsi="Calibri" w:cs="Calibri"/>
          <w:noProof/>
        </w:rPr>
      </w:pPr>
      <w:r w:rsidRPr="00CF48BC">
        <w:rPr>
          <w:rFonts w:ascii="Calibri" w:hAnsi="Calibri" w:cs="Calibri"/>
          <w:noProof/>
          <w:szCs w:val="24"/>
        </w:rPr>
        <w:t xml:space="preserve">Wickham, Hadley. 2015. “Tidy Data.” </w:t>
      </w:r>
      <w:r w:rsidRPr="00CF48BC">
        <w:rPr>
          <w:rFonts w:ascii="Calibri" w:hAnsi="Calibri" w:cs="Calibri"/>
          <w:i/>
          <w:iCs/>
          <w:noProof/>
          <w:szCs w:val="24"/>
        </w:rPr>
        <w:t>Journal of Statistical Software</w:t>
      </w:r>
      <w:r w:rsidRPr="00CF48BC">
        <w:rPr>
          <w:rFonts w:ascii="Calibri" w:hAnsi="Calibri" w:cs="Calibri"/>
          <w:noProof/>
          <w:szCs w:val="24"/>
        </w:rPr>
        <w:t>. https://doi.org/10.18637/jss.v059.i10.</w:t>
      </w:r>
    </w:p>
    <w:p w:rsidR="00B201B4" w:rsidRDefault="004A572F" w:rsidP="00B57656">
      <w:pPr>
        <w:pStyle w:val="Heading1"/>
        <w:pBdr>
          <w:bottom w:val="single" w:sz="4" w:space="1" w:color="auto"/>
        </w:pBdr>
      </w:pPr>
      <w:r>
        <w:fldChar w:fldCharType="end"/>
      </w:r>
      <w:r w:rsidR="00B57656">
        <w:t>Appendix</w:t>
      </w:r>
    </w:p>
    <w:p w:rsidR="00B57656" w:rsidRPr="00B57656" w:rsidRDefault="00B57656" w:rsidP="00B57656">
      <w:pPr>
        <w:pStyle w:val="Heading2"/>
      </w:pPr>
      <w:r>
        <w:t>Topics used for topic analysis</w:t>
      </w:r>
    </w:p>
    <w:p w:rsidR="00B57656" w:rsidRDefault="00B57656" w:rsidP="00B57656">
      <w:pPr>
        <w:spacing w:after="0" w:line="240" w:lineRule="auto"/>
        <w:rPr>
          <w:rFonts w:ascii="Calibri" w:eastAsia="Times New Roman" w:hAnsi="Calibri" w:cs="Calibri"/>
          <w:color w:val="000000"/>
        </w:rPr>
      </w:pPr>
      <w:r>
        <w:rPr>
          <w:rFonts w:ascii="Calibri" w:eastAsia="Times New Roman" w:hAnsi="Calibri" w:cs="Calibri"/>
          <w:color w:val="000000"/>
        </w:rPr>
        <w:t xml:space="preserve">TESTING: </w:t>
      </w:r>
      <w:r w:rsidRPr="00B57656">
        <w:rPr>
          <w:rFonts w:ascii="Calibri" w:eastAsia="Times New Roman" w:hAnsi="Calibri" w:cs="Calibri"/>
          <w:color w:val="000000"/>
        </w:rPr>
        <w:t>trial, tests, testing, test, tentative, study, report, remote human operator, programs, program, pilotprogram, pilot, operator, human operator, demonstration, certification program</w:t>
      </w:r>
      <w:r>
        <w:rPr>
          <w:rFonts w:ascii="Calibri" w:eastAsia="Times New Roman" w:hAnsi="Calibri" w:cs="Calibri"/>
          <w:color w:val="000000"/>
        </w:rPr>
        <w:t>.</w:t>
      </w:r>
    </w:p>
    <w:p w:rsidR="00B57656" w:rsidRDefault="00B57656" w:rsidP="00B57656">
      <w:pPr>
        <w:spacing w:after="0" w:line="240" w:lineRule="auto"/>
        <w:rPr>
          <w:rFonts w:ascii="Calibri" w:eastAsia="Times New Roman" w:hAnsi="Calibri" w:cs="Calibri"/>
          <w:color w:val="000000"/>
        </w:rPr>
      </w:pPr>
    </w:p>
    <w:p w:rsidR="00B57656" w:rsidRPr="00B57656" w:rsidRDefault="00B57656" w:rsidP="00B57656">
      <w:pPr>
        <w:spacing w:after="0" w:line="240" w:lineRule="auto"/>
        <w:rPr>
          <w:rFonts w:ascii="Calibri" w:eastAsia="Times New Roman" w:hAnsi="Calibri" w:cs="Calibri"/>
          <w:color w:val="000000"/>
        </w:rPr>
      </w:pPr>
      <w:r>
        <w:rPr>
          <w:rFonts w:ascii="Calibri" w:eastAsia="Times New Roman" w:hAnsi="Calibri" w:cs="Calibri"/>
          <w:color w:val="000000"/>
        </w:rPr>
        <w:t xml:space="preserve">SAFETY: </w:t>
      </w:r>
      <w:r w:rsidRPr="00B57656">
        <w:rPr>
          <w:rFonts w:ascii="Calibri" w:eastAsia="Times New Roman" w:hAnsi="Calibri" w:cs="Calibri"/>
          <w:color w:val="000000"/>
        </w:rPr>
        <w:t xml:space="preserve">warning, tolerant, tolerance, standards, safety, </w:t>
      </w:r>
      <w:proofErr w:type="spellStart"/>
      <w:r w:rsidRPr="00B57656">
        <w:rPr>
          <w:rFonts w:ascii="Calibri" w:eastAsia="Times New Roman" w:hAnsi="Calibri" w:cs="Calibri"/>
          <w:color w:val="000000"/>
        </w:rPr>
        <w:t>safegard</w:t>
      </w:r>
      <w:proofErr w:type="spellEnd"/>
      <w:r w:rsidRPr="00B57656">
        <w:rPr>
          <w:rFonts w:ascii="Calibri" w:eastAsia="Times New Roman" w:hAnsi="Calibri" w:cs="Calibri"/>
          <w:color w:val="000000"/>
        </w:rPr>
        <w:t xml:space="preserve">, safe, </w:t>
      </w:r>
      <w:r w:rsidR="00BF584C" w:rsidRPr="00B57656">
        <w:rPr>
          <w:rFonts w:ascii="Calibri" w:eastAsia="Times New Roman" w:hAnsi="Calibri" w:cs="Calibri"/>
          <w:color w:val="000000"/>
        </w:rPr>
        <w:t>performance,</w:t>
      </w:r>
      <w:r w:rsidRPr="00B57656">
        <w:rPr>
          <w:rFonts w:ascii="Calibri" w:eastAsia="Times New Roman" w:hAnsi="Calibri" w:cs="Calibri"/>
          <w:color w:val="000000"/>
        </w:rPr>
        <w:t xml:space="preserve"> insurance, injury, injuries, incidnets, incident, impair, impacts, impact, harm, faults, fault, fail-safe, fail safe, fail, equipped, equip, destroy, damage, crashes, crash, collisions, collision, accidents, accident</w:t>
      </w:r>
      <w:r w:rsidR="00BF584C">
        <w:rPr>
          <w:rFonts w:ascii="Calibri" w:eastAsia="Times New Roman" w:hAnsi="Calibri" w:cs="Calibri"/>
          <w:color w:val="000000"/>
        </w:rPr>
        <w:t>.</w:t>
      </w:r>
    </w:p>
    <w:p w:rsidR="00B57656" w:rsidRDefault="00B57656" w:rsidP="00B57656">
      <w:pPr>
        <w:spacing w:after="0" w:line="240" w:lineRule="auto"/>
        <w:rPr>
          <w:rFonts w:ascii="Calibri" w:eastAsia="Times New Roman" w:hAnsi="Calibri" w:cs="Calibri"/>
          <w:color w:val="000000"/>
        </w:rPr>
      </w:pPr>
    </w:p>
    <w:p w:rsidR="00B57656" w:rsidRPr="00B57656" w:rsidRDefault="00B57656" w:rsidP="00B57656">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OPERATION: </w:t>
      </w:r>
      <w:r w:rsidRPr="00B57656">
        <w:rPr>
          <w:rFonts w:ascii="Calibri" w:eastAsia="Times New Roman" w:hAnsi="Calibri" w:cs="Calibri"/>
          <w:color w:val="000000"/>
        </w:rPr>
        <w:t xml:space="preserve">wireless, transparency, </w:t>
      </w:r>
      <w:r w:rsidR="00BF584C" w:rsidRPr="00B57656">
        <w:rPr>
          <w:rFonts w:ascii="Calibri" w:eastAsia="Times New Roman" w:hAnsi="Calibri" w:cs="Calibri"/>
          <w:color w:val="000000"/>
        </w:rPr>
        <w:t>security,</w:t>
      </w:r>
      <w:r w:rsidRPr="00B57656">
        <w:rPr>
          <w:rFonts w:ascii="Calibri" w:eastAsia="Times New Roman" w:hAnsi="Calibri" w:cs="Calibri"/>
          <w:color w:val="000000"/>
        </w:rPr>
        <w:t xml:space="preserve"> rideshare, </w:t>
      </w:r>
      <w:r w:rsidR="00BF584C" w:rsidRPr="00B57656">
        <w:rPr>
          <w:rFonts w:ascii="Calibri" w:eastAsia="Times New Roman" w:hAnsi="Calibri" w:cs="Calibri"/>
          <w:color w:val="000000"/>
        </w:rPr>
        <w:t>record,</w:t>
      </w:r>
      <w:r w:rsidRPr="00B57656">
        <w:rPr>
          <w:rFonts w:ascii="Calibri" w:eastAsia="Times New Roman" w:hAnsi="Calibri" w:cs="Calibri"/>
          <w:color w:val="000000"/>
        </w:rPr>
        <w:t xml:space="preserve"> protected, protect, privacy, platooning, platoon, multimodal, mobility, </w:t>
      </w:r>
      <w:proofErr w:type="spellStart"/>
      <w:r w:rsidRPr="00B57656">
        <w:rPr>
          <w:rFonts w:ascii="Calibri" w:eastAsia="Times New Roman" w:hAnsi="Calibri" w:cs="Calibri"/>
          <w:color w:val="000000"/>
        </w:rPr>
        <w:t>microtransit</w:t>
      </w:r>
      <w:proofErr w:type="spellEnd"/>
      <w:r w:rsidRPr="00B57656">
        <w:rPr>
          <w:rFonts w:ascii="Calibri" w:eastAsia="Times New Roman" w:hAnsi="Calibri" w:cs="Calibri"/>
          <w:color w:val="000000"/>
        </w:rPr>
        <w:t xml:space="preserve">, </w:t>
      </w:r>
      <w:proofErr w:type="spellStart"/>
      <w:r w:rsidRPr="00B57656">
        <w:rPr>
          <w:rFonts w:ascii="Calibri" w:eastAsia="Times New Roman" w:hAnsi="Calibri" w:cs="Calibri"/>
          <w:color w:val="000000"/>
        </w:rPr>
        <w:t>maas</w:t>
      </w:r>
      <w:proofErr w:type="spellEnd"/>
      <w:r w:rsidRPr="00B57656">
        <w:rPr>
          <w:rFonts w:ascii="Calibri" w:eastAsia="Times New Roman" w:hAnsi="Calibri" w:cs="Calibri"/>
          <w:color w:val="000000"/>
        </w:rPr>
        <w:t xml:space="preserve">, logging, </w:t>
      </w:r>
      <w:r w:rsidR="00BF584C" w:rsidRPr="00B57656">
        <w:rPr>
          <w:rFonts w:ascii="Calibri" w:eastAsia="Times New Roman" w:hAnsi="Calibri" w:cs="Calibri"/>
          <w:color w:val="000000"/>
        </w:rPr>
        <w:t>log,</w:t>
      </w:r>
      <w:r w:rsidRPr="00B57656">
        <w:rPr>
          <w:rFonts w:ascii="Calibri" w:eastAsia="Times New Roman" w:hAnsi="Calibri" w:cs="Calibri"/>
          <w:color w:val="000000"/>
        </w:rPr>
        <w:t xml:space="preserve"> </w:t>
      </w:r>
      <w:proofErr w:type="spellStart"/>
      <w:r w:rsidRPr="00B57656">
        <w:rPr>
          <w:rFonts w:ascii="Calibri" w:eastAsia="Times New Roman" w:hAnsi="Calibri" w:cs="Calibri"/>
          <w:color w:val="000000"/>
        </w:rPr>
        <w:t>iot</w:t>
      </w:r>
      <w:proofErr w:type="spellEnd"/>
      <w:r w:rsidRPr="00B57656">
        <w:rPr>
          <w:rFonts w:ascii="Calibri" w:eastAsia="Times New Roman" w:hAnsi="Calibri" w:cs="Calibri"/>
          <w:color w:val="000000"/>
        </w:rPr>
        <w:t xml:space="preserve">, internet of things, </w:t>
      </w:r>
      <w:r w:rsidR="00BF584C" w:rsidRPr="00B57656">
        <w:rPr>
          <w:rFonts w:ascii="Calibri" w:eastAsia="Times New Roman" w:hAnsi="Calibri" w:cs="Calibri"/>
          <w:color w:val="000000"/>
        </w:rPr>
        <w:t>identity,</w:t>
      </w:r>
      <w:r w:rsidRPr="00B57656">
        <w:rPr>
          <w:rFonts w:ascii="Calibri" w:eastAsia="Times New Roman" w:hAnsi="Calibri" w:cs="Calibri"/>
          <w:color w:val="000000"/>
        </w:rPr>
        <w:t xml:space="preserve"> </w:t>
      </w:r>
      <w:proofErr w:type="spellStart"/>
      <w:r w:rsidRPr="00B57656">
        <w:rPr>
          <w:rFonts w:ascii="Calibri" w:eastAsia="Times New Roman" w:hAnsi="Calibri" w:cs="Calibri"/>
          <w:color w:val="000000"/>
        </w:rPr>
        <w:t>driverassistive</w:t>
      </w:r>
      <w:proofErr w:type="spellEnd"/>
      <w:r w:rsidRPr="00B57656">
        <w:rPr>
          <w:rFonts w:ascii="Calibri" w:eastAsia="Times New Roman" w:hAnsi="Calibri" w:cs="Calibri"/>
          <w:color w:val="000000"/>
        </w:rPr>
        <w:t xml:space="preserve">, </w:t>
      </w:r>
      <w:r w:rsidR="00A56D30" w:rsidRPr="00B57656">
        <w:rPr>
          <w:rFonts w:ascii="Calibri" w:eastAsia="Times New Roman" w:hAnsi="Calibri" w:cs="Calibri"/>
          <w:color w:val="000000"/>
        </w:rPr>
        <w:t>data,</w:t>
      </w:r>
      <w:r w:rsidRPr="00B57656">
        <w:rPr>
          <w:rFonts w:ascii="Calibri" w:eastAsia="Times New Roman" w:hAnsi="Calibri" w:cs="Calibri"/>
          <w:color w:val="000000"/>
        </w:rPr>
        <w:t xml:space="preserve"> cybersecurity, cybercrimes, cybercrime, connectivity, communicationdevices, charging, caravan, boundary, boundaries, border, avtech, avtech, ads, adaptive, abs</w:t>
      </w:r>
      <w:r w:rsidR="00BF584C">
        <w:rPr>
          <w:rFonts w:ascii="Calibri" w:eastAsia="Times New Roman" w:hAnsi="Calibri" w:cs="Calibri"/>
          <w:color w:val="000000"/>
        </w:rPr>
        <w:t>.</w:t>
      </w:r>
    </w:p>
    <w:p w:rsidR="00B57656" w:rsidRDefault="00B57656" w:rsidP="00B57656">
      <w:pPr>
        <w:spacing w:after="0" w:line="240" w:lineRule="auto"/>
        <w:rPr>
          <w:rFonts w:ascii="Calibri" w:eastAsia="Times New Roman" w:hAnsi="Calibri" w:cs="Calibri"/>
          <w:color w:val="000000"/>
        </w:rPr>
      </w:pPr>
    </w:p>
    <w:p w:rsidR="00B57656" w:rsidRPr="00B57656" w:rsidRDefault="00B57656" w:rsidP="00B57656">
      <w:pPr>
        <w:spacing w:after="0" w:line="240" w:lineRule="auto"/>
        <w:rPr>
          <w:rFonts w:ascii="Calibri" w:eastAsia="Times New Roman" w:hAnsi="Calibri" w:cs="Calibri"/>
          <w:color w:val="000000"/>
        </w:rPr>
      </w:pPr>
      <w:r>
        <w:rPr>
          <w:rFonts w:ascii="Calibri" w:eastAsia="Times New Roman" w:hAnsi="Calibri" w:cs="Calibri"/>
          <w:color w:val="000000"/>
        </w:rPr>
        <w:t xml:space="preserve">AUTHORITIES: </w:t>
      </w:r>
      <w:r w:rsidRPr="00B57656">
        <w:rPr>
          <w:rFonts w:ascii="Calibri" w:eastAsia="Times New Roman" w:hAnsi="Calibri" w:cs="Calibri"/>
          <w:color w:val="000000"/>
        </w:rPr>
        <w:t>vehicleservicesdivision, vehicleservicesdepartment, vehicleservices, transitauthority, taxcommission, taskforce, regulators, regulator, registryofmotorvehicles, policeofficer, police, officer , officeofmotorvehicles, motorvehiclelicensingsystem, motorvehiclelicensingdivision, motorvehicledivision, motorvehiclecommission, motorvehiclebureau, motorvehicleadministration, driverservicesprogram, driverservicesdirectorate, driverservicesdepartment, driverlicenseservices, driverlicensedivision, driverandvehicleservices, driverandmotorvehicleservices, dps, dot, dmv, divisionofvehicles, divisionofmotorvehicles, divisionofdriverlicensing, depatment , departmentofstate, departmentofrevenueandtaxation, departmentofrevenue, departmentofpublicsafety, departmentofmotorvehicles, departmentoflicensing, departmentofhighwaysafetyandmotorvehicles, departmentofdriverservices, commissioner , commission, bureauofmotorvehicles, authority, attorney, agency</w:t>
      </w:r>
      <w:r w:rsidR="00BF584C">
        <w:rPr>
          <w:rFonts w:ascii="Calibri" w:eastAsia="Times New Roman" w:hAnsi="Calibri" w:cs="Calibri"/>
          <w:color w:val="000000"/>
        </w:rPr>
        <w:t>.</w:t>
      </w:r>
    </w:p>
    <w:p w:rsidR="00B57656" w:rsidRDefault="00B57656" w:rsidP="00B57656">
      <w:pPr>
        <w:spacing w:after="0" w:line="240" w:lineRule="auto"/>
        <w:rPr>
          <w:rFonts w:ascii="Calibri" w:eastAsia="Times New Roman" w:hAnsi="Calibri" w:cs="Calibri"/>
          <w:color w:val="000000"/>
        </w:rPr>
      </w:pPr>
    </w:p>
    <w:p w:rsidR="00B57656" w:rsidRPr="00B57656" w:rsidRDefault="00B57656" w:rsidP="00B57656">
      <w:pPr>
        <w:spacing w:after="0" w:line="240" w:lineRule="auto"/>
        <w:rPr>
          <w:rFonts w:ascii="Calibri" w:eastAsia="Times New Roman" w:hAnsi="Calibri" w:cs="Calibri"/>
          <w:color w:val="000000"/>
        </w:rPr>
      </w:pPr>
      <w:r>
        <w:rPr>
          <w:rFonts w:ascii="Calibri" w:eastAsia="Times New Roman" w:hAnsi="Calibri" w:cs="Calibri"/>
          <w:color w:val="000000"/>
        </w:rPr>
        <w:t xml:space="preserve">PERMISSIONS: </w:t>
      </w:r>
      <w:r w:rsidRPr="00B57656">
        <w:rPr>
          <w:rFonts w:ascii="Calibri" w:eastAsia="Times New Roman" w:hAnsi="Calibri" w:cs="Calibri"/>
          <w:color w:val="000000"/>
        </w:rPr>
        <w:t>support, rules, rule, revoke, restriction, restrict, prohibit, prohibition, prevent, permission, penalty, penalize, limit, jurisdictions, jurisdiction, impose, hinder, fine, endorsement, encourage, driverlicensed, driverlicense, citations, citation, certification, authorize, approval, appropriate, allow</w:t>
      </w:r>
      <w:r w:rsidR="00BF584C">
        <w:rPr>
          <w:rFonts w:ascii="Calibri" w:eastAsia="Times New Roman" w:hAnsi="Calibri" w:cs="Calibri"/>
          <w:color w:val="000000"/>
        </w:rPr>
        <w:t>.</w:t>
      </w:r>
    </w:p>
    <w:p w:rsidR="00B57656" w:rsidRDefault="00B57656" w:rsidP="00B57656">
      <w:pPr>
        <w:spacing w:after="0" w:line="240" w:lineRule="auto"/>
        <w:rPr>
          <w:rFonts w:ascii="Calibri" w:eastAsia="Times New Roman" w:hAnsi="Calibri" w:cs="Calibri"/>
          <w:color w:val="000000"/>
        </w:rPr>
      </w:pPr>
    </w:p>
    <w:p w:rsidR="00B57656" w:rsidRPr="00B57656" w:rsidRDefault="00B57656" w:rsidP="00B57656">
      <w:pPr>
        <w:spacing w:after="0" w:line="240" w:lineRule="auto"/>
        <w:rPr>
          <w:rFonts w:ascii="Calibri" w:eastAsia="Times New Roman" w:hAnsi="Calibri" w:cs="Calibri"/>
          <w:color w:val="000000"/>
        </w:rPr>
      </w:pPr>
      <w:r>
        <w:rPr>
          <w:rFonts w:ascii="Calibri" w:eastAsia="Times New Roman" w:hAnsi="Calibri" w:cs="Calibri"/>
          <w:color w:val="000000"/>
        </w:rPr>
        <w:t xml:space="preserve">INFRASTRUCTURE: </w:t>
      </w:r>
      <w:r w:rsidRPr="00B57656">
        <w:rPr>
          <w:rFonts w:ascii="Calibri" w:eastAsia="Times New Roman" w:hAnsi="Calibri" w:cs="Calibri"/>
          <w:color w:val="000000"/>
        </w:rPr>
        <w:t xml:space="preserve">transit, turnpike, trafficcontrol, traffic, streets, street, </w:t>
      </w:r>
      <w:r w:rsidR="00BF584C" w:rsidRPr="00B57656">
        <w:rPr>
          <w:rFonts w:ascii="Calibri" w:eastAsia="Times New Roman" w:hAnsi="Calibri" w:cs="Calibri"/>
          <w:color w:val="000000"/>
        </w:rPr>
        <w:t>signals,</w:t>
      </w:r>
      <w:r w:rsidRPr="00B57656">
        <w:rPr>
          <w:rFonts w:ascii="Calibri" w:eastAsia="Times New Roman" w:hAnsi="Calibri" w:cs="Calibri"/>
          <w:color w:val="000000"/>
        </w:rPr>
        <w:t xml:space="preserve"> signal, roadways, roadway, </w:t>
      </w:r>
      <w:r w:rsidR="00A56D30" w:rsidRPr="00B57656">
        <w:rPr>
          <w:rFonts w:ascii="Calibri" w:eastAsia="Times New Roman" w:hAnsi="Calibri" w:cs="Calibri"/>
          <w:color w:val="000000"/>
        </w:rPr>
        <w:t>roads,</w:t>
      </w:r>
      <w:r w:rsidRPr="00B57656">
        <w:rPr>
          <w:rFonts w:ascii="Calibri" w:eastAsia="Times New Roman" w:hAnsi="Calibri" w:cs="Calibri"/>
          <w:color w:val="000000"/>
        </w:rPr>
        <w:t xml:space="preserve"> road, </w:t>
      </w:r>
      <w:r w:rsidR="00A56D30" w:rsidRPr="00B57656">
        <w:rPr>
          <w:rFonts w:ascii="Calibri" w:eastAsia="Times New Roman" w:hAnsi="Calibri" w:cs="Calibri"/>
          <w:color w:val="000000"/>
        </w:rPr>
        <w:t>public,</w:t>
      </w:r>
      <w:r w:rsidRPr="00B57656">
        <w:rPr>
          <w:rFonts w:ascii="Calibri" w:eastAsia="Times New Roman" w:hAnsi="Calibri" w:cs="Calibri"/>
          <w:color w:val="000000"/>
        </w:rPr>
        <w:t xml:space="preserve"> </w:t>
      </w:r>
      <w:r w:rsidR="00A56D30" w:rsidRPr="00B57656">
        <w:rPr>
          <w:rFonts w:ascii="Calibri" w:eastAsia="Times New Roman" w:hAnsi="Calibri" w:cs="Calibri"/>
          <w:color w:val="000000"/>
        </w:rPr>
        <w:t>network,</w:t>
      </w:r>
      <w:r w:rsidRPr="00B57656">
        <w:rPr>
          <w:rFonts w:ascii="Calibri" w:eastAsia="Times New Roman" w:hAnsi="Calibri" w:cs="Calibri"/>
          <w:color w:val="000000"/>
        </w:rPr>
        <w:t xml:space="preserve"> interstates, interstate, infrastructure, highways, highway, freeways, freeway, congestion, </w:t>
      </w:r>
      <w:r w:rsidR="00A56D30" w:rsidRPr="00B57656">
        <w:rPr>
          <w:rFonts w:ascii="Calibri" w:eastAsia="Times New Roman" w:hAnsi="Calibri" w:cs="Calibri"/>
          <w:color w:val="000000"/>
        </w:rPr>
        <w:t>bridges,</w:t>
      </w:r>
      <w:r w:rsidRPr="00B57656">
        <w:rPr>
          <w:rFonts w:ascii="Calibri" w:eastAsia="Times New Roman" w:hAnsi="Calibri" w:cs="Calibri"/>
          <w:color w:val="000000"/>
        </w:rPr>
        <w:t xml:space="preserve"> bridge</w:t>
      </w:r>
      <w:r w:rsidR="00BF584C">
        <w:rPr>
          <w:rFonts w:ascii="Calibri" w:eastAsia="Times New Roman" w:hAnsi="Calibri" w:cs="Calibri"/>
          <w:color w:val="000000"/>
        </w:rPr>
        <w:t>.</w:t>
      </w:r>
    </w:p>
    <w:p w:rsidR="00B57656" w:rsidRDefault="00B57656" w:rsidP="00B57656">
      <w:pPr>
        <w:spacing w:after="0" w:line="240" w:lineRule="auto"/>
        <w:rPr>
          <w:rFonts w:ascii="Calibri" w:eastAsia="Times New Roman" w:hAnsi="Calibri" w:cs="Calibri"/>
          <w:color w:val="000000"/>
        </w:rPr>
      </w:pPr>
    </w:p>
    <w:p w:rsidR="00B57656" w:rsidRPr="00B57656" w:rsidRDefault="00B57656" w:rsidP="00B57656">
      <w:pPr>
        <w:spacing w:after="0" w:line="240" w:lineRule="auto"/>
        <w:rPr>
          <w:rFonts w:ascii="Calibri" w:eastAsia="Times New Roman" w:hAnsi="Calibri" w:cs="Calibri"/>
          <w:color w:val="000000"/>
        </w:rPr>
      </w:pPr>
      <w:r>
        <w:rPr>
          <w:rFonts w:ascii="Calibri" w:eastAsia="Times New Roman" w:hAnsi="Calibri" w:cs="Calibri"/>
          <w:color w:val="000000"/>
        </w:rPr>
        <w:t xml:space="preserve">SOCIAL: </w:t>
      </w:r>
      <w:r w:rsidRPr="00B57656">
        <w:rPr>
          <w:rFonts w:ascii="Calibri" w:eastAsia="Times New Roman" w:hAnsi="Calibri" w:cs="Calibri"/>
          <w:color w:val="000000"/>
        </w:rPr>
        <w:t xml:space="preserve">wastewater, university, sustainability, </w:t>
      </w:r>
      <w:r>
        <w:rPr>
          <w:rFonts w:ascii="Calibri" w:eastAsia="Times New Roman" w:hAnsi="Calibri" w:cs="Calibri"/>
          <w:color w:val="000000"/>
        </w:rPr>
        <w:t>marju</w:t>
      </w:r>
      <w:r w:rsidRPr="00B57656">
        <w:rPr>
          <w:rFonts w:ascii="Calibri" w:eastAsia="Times New Roman" w:hAnsi="Calibri" w:cs="Calibri"/>
          <w:color w:val="000000"/>
        </w:rPr>
        <w:t>, health, green, equity, environment, education, disadvantaged, disadvantage, disability, disabilities, disabilities, community, college</w:t>
      </w:r>
      <w:r w:rsidR="00BF584C">
        <w:rPr>
          <w:rFonts w:ascii="Calibri" w:eastAsia="Times New Roman" w:hAnsi="Calibri" w:cs="Calibri"/>
          <w:color w:val="000000"/>
        </w:rPr>
        <w:t>.</w:t>
      </w:r>
    </w:p>
    <w:p w:rsidR="00B57656" w:rsidRPr="00B57656" w:rsidRDefault="00B57656" w:rsidP="00B57656">
      <w:pPr>
        <w:spacing w:after="0" w:line="240" w:lineRule="auto"/>
        <w:rPr>
          <w:rFonts w:ascii="Calibri" w:eastAsia="Times New Roman" w:hAnsi="Calibri" w:cs="Calibri"/>
          <w:color w:val="000000"/>
        </w:rPr>
      </w:pPr>
    </w:p>
    <w:p w:rsidR="00B57656" w:rsidRPr="00B57656" w:rsidRDefault="00B57656" w:rsidP="00B57656">
      <w:pPr>
        <w:spacing w:after="0" w:line="240" w:lineRule="auto"/>
        <w:rPr>
          <w:rFonts w:ascii="Calibri" w:eastAsia="Times New Roman" w:hAnsi="Calibri" w:cs="Calibri"/>
          <w:color w:val="000000"/>
        </w:rPr>
      </w:pPr>
      <w:r>
        <w:rPr>
          <w:rFonts w:ascii="Calibri" w:eastAsia="Times New Roman" w:hAnsi="Calibri" w:cs="Calibri"/>
          <w:color w:val="000000"/>
        </w:rPr>
        <w:t xml:space="preserve">FINANCIAL: </w:t>
      </w:r>
      <w:r w:rsidRPr="00B57656">
        <w:rPr>
          <w:rFonts w:ascii="Calibri" w:eastAsia="Times New Roman" w:hAnsi="Calibri" w:cs="Calibri"/>
          <w:color w:val="000000"/>
        </w:rPr>
        <w:t xml:space="preserve">taxes, tax, revenue, money, insurers, funds, fund, finance, commercial, commerce, business, budget, </w:t>
      </w:r>
      <w:r w:rsidR="00A56D30" w:rsidRPr="00B57656">
        <w:rPr>
          <w:rFonts w:ascii="Calibri" w:eastAsia="Times New Roman" w:hAnsi="Calibri" w:cs="Calibri"/>
          <w:color w:val="000000"/>
        </w:rPr>
        <w:t>bank, banks</w:t>
      </w:r>
      <w:r w:rsidR="00BF584C">
        <w:rPr>
          <w:rFonts w:ascii="Calibri" w:eastAsia="Times New Roman" w:hAnsi="Calibri" w:cs="Calibri"/>
          <w:color w:val="000000"/>
        </w:rPr>
        <w:t>.</w:t>
      </w:r>
    </w:p>
    <w:p w:rsidR="00B57656" w:rsidRDefault="00B57656" w:rsidP="000628F6"/>
    <w:sectPr w:rsidR="00B57656" w:rsidSect="001B40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931" w:rsidRDefault="007D4931" w:rsidP="00317CE7">
      <w:pPr>
        <w:spacing w:after="0" w:line="240" w:lineRule="auto"/>
      </w:pPr>
      <w:r>
        <w:separator/>
      </w:r>
    </w:p>
  </w:endnote>
  <w:endnote w:type="continuationSeparator" w:id="0">
    <w:p w:rsidR="007D4931" w:rsidRDefault="007D4931" w:rsidP="0031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931" w:rsidRDefault="007D4931" w:rsidP="00317CE7">
      <w:pPr>
        <w:spacing w:after="0" w:line="240" w:lineRule="auto"/>
      </w:pPr>
      <w:r>
        <w:separator/>
      </w:r>
    </w:p>
  </w:footnote>
  <w:footnote w:type="continuationSeparator" w:id="0">
    <w:p w:rsidR="007D4931" w:rsidRDefault="007D4931" w:rsidP="00317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25BB"/>
    <w:multiLevelType w:val="hybridMultilevel"/>
    <w:tmpl w:val="53CA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96130"/>
    <w:multiLevelType w:val="hybridMultilevel"/>
    <w:tmpl w:val="5D1EDC62"/>
    <w:lvl w:ilvl="0" w:tplc="482888A6">
      <w:start w:val="1"/>
      <w:numFmt w:val="bullet"/>
      <w:lvlText w:val="•"/>
      <w:lvlJc w:val="left"/>
      <w:pPr>
        <w:tabs>
          <w:tab w:val="num" w:pos="720"/>
        </w:tabs>
        <w:ind w:left="720" w:hanging="360"/>
      </w:pPr>
      <w:rPr>
        <w:rFonts w:ascii="Arial" w:hAnsi="Arial" w:hint="default"/>
      </w:rPr>
    </w:lvl>
    <w:lvl w:ilvl="1" w:tplc="AB0C891A" w:tentative="1">
      <w:start w:val="1"/>
      <w:numFmt w:val="bullet"/>
      <w:lvlText w:val="•"/>
      <w:lvlJc w:val="left"/>
      <w:pPr>
        <w:tabs>
          <w:tab w:val="num" w:pos="1440"/>
        </w:tabs>
        <w:ind w:left="1440" w:hanging="360"/>
      </w:pPr>
      <w:rPr>
        <w:rFonts w:ascii="Arial" w:hAnsi="Arial" w:hint="default"/>
      </w:rPr>
    </w:lvl>
    <w:lvl w:ilvl="2" w:tplc="0C36C2C8" w:tentative="1">
      <w:start w:val="1"/>
      <w:numFmt w:val="bullet"/>
      <w:lvlText w:val="•"/>
      <w:lvlJc w:val="left"/>
      <w:pPr>
        <w:tabs>
          <w:tab w:val="num" w:pos="2160"/>
        </w:tabs>
        <w:ind w:left="2160" w:hanging="360"/>
      </w:pPr>
      <w:rPr>
        <w:rFonts w:ascii="Arial" w:hAnsi="Arial" w:hint="default"/>
      </w:rPr>
    </w:lvl>
    <w:lvl w:ilvl="3" w:tplc="E8E6764C" w:tentative="1">
      <w:start w:val="1"/>
      <w:numFmt w:val="bullet"/>
      <w:lvlText w:val="•"/>
      <w:lvlJc w:val="left"/>
      <w:pPr>
        <w:tabs>
          <w:tab w:val="num" w:pos="2880"/>
        </w:tabs>
        <w:ind w:left="2880" w:hanging="360"/>
      </w:pPr>
      <w:rPr>
        <w:rFonts w:ascii="Arial" w:hAnsi="Arial" w:hint="default"/>
      </w:rPr>
    </w:lvl>
    <w:lvl w:ilvl="4" w:tplc="E4D428D8" w:tentative="1">
      <w:start w:val="1"/>
      <w:numFmt w:val="bullet"/>
      <w:lvlText w:val="•"/>
      <w:lvlJc w:val="left"/>
      <w:pPr>
        <w:tabs>
          <w:tab w:val="num" w:pos="3600"/>
        </w:tabs>
        <w:ind w:left="3600" w:hanging="360"/>
      </w:pPr>
      <w:rPr>
        <w:rFonts w:ascii="Arial" w:hAnsi="Arial" w:hint="default"/>
      </w:rPr>
    </w:lvl>
    <w:lvl w:ilvl="5" w:tplc="38CAEA40" w:tentative="1">
      <w:start w:val="1"/>
      <w:numFmt w:val="bullet"/>
      <w:lvlText w:val="•"/>
      <w:lvlJc w:val="left"/>
      <w:pPr>
        <w:tabs>
          <w:tab w:val="num" w:pos="4320"/>
        </w:tabs>
        <w:ind w:left="4320" w:hanging="360"/>
      </w:pPr>
      <w:rPr>
        <w:rFonts w:ascii="Arial" w:hAnsi="Arial" w:hint="default"/>
      </w:rPr>
    </w:lvl>
    <w:lvl w:ilvl="6" w:tplc="33828002" w:tentative="1">
      <w:start w:val="1"/>
      <w:numFmt w:val="bullet"/>
      <w:lvlText w:val="•"/>
      <w:lvlJc w:val="left"/>
      <w:pPr>
        <w:tabs>
          <w:tab w:val="num" w:pos="5040"/>
        </w:tabs>
        <w:ind w:left="5040" w:hanging="360"/>
      </w:pPr>
      <w:rPr>
        <w:rFonts w:ascii="Arial" w:hAnsi="Arial" w:hint="default"/>
      </w:rPr>
    </w:lvl>
    <w:lvl w:ilvl="7" w:tplc="4ED482AE" w:tentative="1">
      <w:start w:val="1"/>
      <w:numFmt w:val="bullet"/>
      <w:lvlText w:val="•"/>
      <w:lvlJc w:val="left"/>
      <w:pPr>
        <w:tabs>
          <w:tab w:val="num" w:pos="5760"/>
        </w:tabs>
        <w:ind w:left="5760" w:hanging="360"/>
      </w:pPr>
      <w:rPr>
        <w:rFonts w:ascii="Arial" w:hAnsi="Arial" w:hint="default"/>
      </w:rPr>
    </w:lvl>
    <w:lvl w:ilvl="8" w:tplc="EDFA129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E7"/>
    <w:rsid w:val="000043E9"/>
    <w:rsid w:val="0003091D"/>
    <w:rsid w:val="00035C46"/>
    <w:rsid w:val="00036302"/>
    <w:rsid w:val="0003658D"/>
    <w:rsid w:val="000558C1"/>
    <w:rsid w:val="00061365"/>
    <w:rsid w:val="000628F6"/>
    <w:rsid w:val="000B2A8B"/>
    <w:rsid w:val="00105ADC"/>
    <w:rsid w:val="0011224B"/>
    <w:rsid w:val="00157EC3"/>
    <w:rsid w:val="00164810"/>
    <w:rsid w:val="001801F9"/>
    <w:rsid w:val="00180BFA"/>
    <w:rsid w:val="001B40A7"/>
    <w:rsid w:val="001F55F7"/>
    <w:rsid w:val="00210E94"/>
    <w:rsid w:val="00244C02"/>
    <w:rsid w:val="00257233"/>
    <w:rsid w:val="00284FB5"/>
    <w:rsid w:val="002856DD"/>
    <w:rsid w:val="00294972"/>
    <w:rsid w:val="002A4D6F"/>
    <w:rsid w:val="002A6751"/>
    <w:rsid w:val="002B6DD8"/>
    <w:rsid w:val="002C2883"/>
    <w:rsid w:val="002C3E4B"/>
    <w:rsid w:val="002D4EAD"/>
    <w:rsid w:val="00314294"/>
    <w:rsid w:val="00317CE7"/>
    <w:rsid w:val="00321DF1"/>
    <w:rsid w:val="003373BA"/>
    <w:rsid w:val="0034278C"/>
    <w:rsid w:val="00394685"/>
    <w:rsid w:val="00395F12"/>
    <w:rsid w:val="003B3E1D"/>
    <w:rsid w:val="004220A7"/>
    <w:rsid w:val="004303AA"/>
    <w:rsid w:val="004769D3"/>
    <w:rsid w:val="004A572F"/>
    <w:rsid w:val="004C56DF"/>
    <w:rsid w:val="004F1B1D"/>
    <w:rsid w:val="00504866"/>
    <w:rsid w:val="00555046"/>
    <w:rsid w:val="00585E5F"/>
    <w:rsid w:val="00591301"/>
    <w:rsid w:val="005A6D9A"/>
    <w:rsid w:val="005C75B6"/>
    <w:rsid w:val="005D2FC1"/>
    <w:rsid w:val="005E40AE"/>
    <w:rsid w:val="00606495"/>
    <w:rsid w:val="00652DC2"/>
    <w:rsid w:val="00654387"/>
    <w:rsid w:val="00661E53"/>
    <w:rsid w:val="00662989"/>
    <w:rsid w:val="006927A4"/>
    <w:rsid w:val="006F5FAF"/>
    <w:rsid w:val="0070747E"/>
    <w:rsid w:val="007203C7"/>
    <w:rsid w:val="0075614D"/>
    <w:rsid w:val="00763BBC"/>
    <w:rsid w:val="0079129C"/>
    <w:rsid w:val="00793ACC"/>
    <w:rsid w:val="007A3629"/>
    <w:rsid w:val="007D4931"/>
    <w:rsid w:val="007D7880"/>
    <w:rsid w:val="00823AC3"/>
    <w:rsid w:val="00830241"/>
    <w:rsid w:val="00891CAC"/>
    <w:rsid w:val="008B0B39"/>
    <w:rsid w:val="008C4F94"/>
    <w:rsid w:val="008F736B"/>
    <w:rsid w:val="009526E6"/>
    <w:rsid w:val="00967101"/>
    <w:rsid w:val="009952DC"/>
    <w:rsid w:val="009A4FF0"/>
    <w:rsid w:val="009F129D"/>
    <w:rsid w:val="009F3EDC"/>
    <w:rsid w:val="00A13659"/>
    <w:rsid w:val="00A478DE"/>
    <w:rsid w:val="00A56D30"/>
    <w:rsid w:val="00A72C62"/>
    <w:rsid w:val="00AA057C"/>
    <w:rsid w:val="00AD3B80"/>
    <w:rsid w:val="00AE577D"/>
    <w:rsid w:val="00AF06A8"/>
    <w:rsid w:val="00AF496D"/>
    <w:rsid w:val="00B05187"/>
    <w:rsid w:val="00B201B4"/>
    <w:rsid w:val="00B20BF9"/>
    <w:rsid w:val="00B57656"/>
    <w:rsid w:val="00B77C2A"/>
    <w:rsid w:val="00B82C2F"/>
    <w:rsid w:val="00B9729D"/>
    <w:rsid w:val="00BB1991"/>
    <w:rsid w:val="00BC4740"/>
    <w:rsid w:val="00BF584C"/>
    <w:rsid w:val="00C17E3E"/>
    <w:rsid w:val="00C42A5A"/>
    <w:rsid w:val="00C815FC"/>
    <w:rsid w:val="00C91905"/>
    <w:rsid w:val="00C95A33"/>
    <w:rsid w:val="00CB4E2B"/>
    <w:rsid w:val="00CC2311"/>
    <w:rsid w:val="00CD12FB"/>
    <w:rsid w:val="00CD16F5"/>
    <w:rsid w:val="00CD5E64"/>
    <w:rsid w:val="00CD6B11"/>
    <w:rsid w:val="00CF48BC"/>
    <w:rsid w:val="00D2419D"/>
    <w:rsid w:val="00D806EE"/>
    <w:rsid w:val="00DE2832"/>
    <w:rsid w:val="00E44E6B"/>
    <w:rsid w:val="00E508B9"/>
    <w:rsid w:val="00E67056"/>
    <w:rsid w:val="00E71293"/>
    <w:rsid w:val="00E76317"/>
    <w:rsid w:val="00EA5BA3"/>
    <w:rsid w:val="00EB3A35"/>
    <w:rsid w:val="00ED57B1"/>
    <w:rsid w:val="00F71245"/>
    <w:rsid w:val="00FE0ADB"/>
    <w:rsid w:val="00FF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8372"/>
  <w15:chartTrackingRefBased/>
  <w15:docId w15:val="{F374420E-B687-48D5-9A33-D46D8AD2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CE7"/>
  </w:style>
  <w:style w:type="paragraph" w:styleId="Footer">
    <w:name w:val="footer"/>
    <w:basedOn w:val="Normal"/>
    <w:link w:val="FooterChar"/>
    <w:uiPriority w:val="99"/>
    <w:unhideWhenUsed/>
    <w:rsid w:val="0031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E7"/>
  </w:style>
  <w:style w:type="character" w:styleId="PlaceholderText">
    <w:name w:val="Placeholder Text"/>
    <w:basedOn w:val="DefaultParagraphFont"/>
    <w:uiPriority w:val="99"/>
    <w:semiHidden/>
    <w:rsid w:val="00317CE7"/>
    <w:rPr>
      <w:color w:val="808080"/>
    </w:rPr>
  </w:style>
  <w:style w:type="character" w:customStyle="1" w:styleId="Heading1Char">
    <w:name w:val="Heading 1 Char"/>
    <w:basedOn w:val="DefaultParagraphFont"/>
    <w:link w:val="Heading1"/>
    <w:uiPriority w:val="9"/>
    <w:rsid w:val="00317C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7CE7"/>
    <w:pPr>
      <w:outlineLvl w:val="9"/>
    </w:pPr>
  </w:style>
  <w:style w:type="paragraph" w:styleId="TOC2">
    <w:name w:val="toc 2"/>
    <w:basedOn w:val="Normal"/>
    <w:next w:val="Normal"/>
    <w:autoRedefine/>
    <w:uiPriority w:val="39"/>
    <w:unhideWhenUsed/>
    <w:rsid w:val="00317CE7"/>
    <w:pPr>
      <w:spacing w:after="100"/>
      <w:ind w:left="220"/>
    </w:pPr>
    <w:rPr>
      <w:rFonts w:eastAsiaTheme="minorEastAsia" w:cs="Times New Roman"/>
    </w:rPr>
  </w:style>
  <w:style w:type="paragraph" w:styleId="TOC1">
    <w:name w:val="toc 1"/>
    <w:basedOn w:val="Normal"/>
    <w:next w:val="Normal"/>
    <w:autoRedefine/>
    <w:uiPriority w:val="39"/>
    <w:unhideWhenUsed/>
    <w:rsid w:val="00317CE7"/>
    <w:pPr>
      <w:spacing w:after="100"/>
    </w:pPr>
    <w:rPr>
      <w:rFonts w:eastAsiaTheme="minorEastAsia" w:cs="Times New Roman"/>
    </w:rPr>
  </w:style>
  <w:style w:type="paragraph" w:styleId="TOC3">
    <w:name w:val="toc 3"/>
    <w:basedOn w:val="Normal"/>
    <w:next w:val="Normal"/>
    <w:autoRedefine/>
    <w:uiPriority w:val="39"/>
    <w:unhideWhenUsed/>
    <w:rsid w:val="00317CE7"/>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17C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7C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3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061">
      <w:bodyDiv w:val="1"/>
      <w:marLeft w:val="0"/>
      <w:marRight w:val="0"/>
      <w:marTop w:val="0"/>
      <w:marBottom w:val="0"/>
      <w:divBdr>
        <w:top w:val="none" w:sz="0" w:space="0" w:color="auto"/>
        <w:left w:val="none" w:sz="0" w:space="0" w:color="auto"/>
        <w:bottom w:val="none" w:sz="0" w:space="0" w:color="auto"/>
        <w:right w:val="none" w:sz="0" w:space="0" w:color="auto"/>
      </w:divBdr>
    </w:div>
    <w:div w:id="29495372">
      <w:bodyDiv w:val="1"/>
      <w:marLeft w:val="0"/>
      <w:marRight w:val="0"/>
      <w:marTop w:val="0"/>
      <w:marBottom w:val="0"/>
      <w:divBdr>
        <w:top w:val="none" w:sz="0" w:space="0" w:color="auto"/>
        <w:left w:val="none" w:sz="0" w:space="0" w:color="auto"/>
        <w:bottom w:val="none" w:sz="0" w:space="0" w:color="auto"/>
        <w:right w:val="none" w:sz="0" w:space="0" w:color="auto"/>
      </w:divBdr>
    </w:div>
    <w:div w:id="125708147">
      <w:bodyDiv w:val="1"/>
      <w:marLeft w:val="0"/>
      <w:marRight w:val="0"/>
      <w:marTop w:val="0"/>
      <w:marBottom w:val="0"/>
      <w:divBdr>
        <w:top w:val="none" w:sz="0" w:space="0" w:color="auto"/>
        <w:left w:val="none" w:sz="0" w:space="0" w:color="auto"/>
        <w:bottom w:val="none" w:sz="0" w:space="0" w:color="auto"/>
        <w:right w:val="none" w:sz="0" w:space="0" w:color="auto"/>
      </w:divBdr>
    </w:div>
    <w:div w:id="808323290">
      <w:bodyDiv w:val="1"/>
      <w:marLeft w:val="0"/>
      <w:marRight w:val="0"/>
      <w:marTop w:val="0"/>
      <w:marBottom w:val="0"/>
      <w:divBdr>
        <w:top w:val="none" w:sz="0" w:space="0" w:color="auto"/>
        <w:left w:val="none" w:sz="0" w:space="0" w:color="auto"/>
        <w:bottom w:val="none" w:sz="0" w:space="0" w:color="auto"/>
        <w:right w:val="none" w:sz="0" w:space="0" w:color="auto"/>
      </w:divBdr>
    </w:div>
    <w:div w:id="828791043">
      <w:bodyDiv w:val="1"/>
      <w:marLeft w:val="0"/>
      <w:marRight w:val="0"/>
      <w:marTop w:val="0"/>
      <w:marBottom w:val="0"/>
      <w:divBdr>
        <w:top w:val="none" w:sz="0" w:space="0" w:color="auto"/>
        <w:left w:val="none" w:sz="0" w:space="0" w:color="auto"/>
        <w:bottom w:val="none" w:sz="0" w:space="0" w:color="auto"/>
        <w:right w:val="none" w:sz="0" w:space="0" w:color="auto"/>
      </w:divBdr>
    </w:div>
    <w:div w:id="1352339424">
      <w:bodyDiv w:val="1"/>
      <w:marLeft w:val="0"/>
      <w:marRight w:val="0"/>
      <w:marTop w:val="0"/>
      <w:marBottom w:val="0"/>
      <w:divBdr>
        <w:top w:val="none" w:sz="0" w:space="0" w:color="auto"/>
        <w:left w:val="none" w:sz="0" w:space="0" w:color="auto"/>
        <w:bottom w:val="none" w:sz="0" w:space="0" w:color="auto"/>
        <w:right w:val="none" w:sz="0" w:space="0" w:color="auto"/>
      </w:divBdr>
    </w:div>
    <w:div w:id="1596669525">
      <w:bodyDiv w:val="1"/>
      <w:marLeft w:val="0"/>
      <w:marRight w:val="0"/>
      <w:marTop w:val="0"/>
      <w:marBottom w:val="0"/>
      <w:divBdr>
        <w:top w:val="none" w:sz="0" w:space="0" w:color="auto"/>
        <w:left w:val="none" w:sz="0" w:space="0" w:color="auto"/>
        <w:bottom w:val="none" w:sz="0" w:space="0" w:color="auto"/>
        <w:right w:val="none" w:sz="0" w:space="0" w:color="auto"/>
      </w:divBdr>
      <w:divsChild>
        <w:div w:id="1835872215">
          <w:marLeft w:val="547"/>
          <w:marRight w:val="0"/>
          <w:marTop w:val="0"/>
          <w:marBottom w:val="0"/>
          <w:divBdr>
            <w:top w:val="none" w:sz="0" w:space="0" w:color="auto"/>
            <w:left w:val="none" w:sz="0" w:space="0" w:color="auto"/>
            <w:bottom w:val="none" w:sz="0" w:space="0" w:color="auto"/>
            <w:right w:val="none" w:sz="0" w:space="0" w:color="auto"/>
          </w:divBdr>
        </w:div>
        <w:div w:id="1616909372">
          <w:marLeft w:val="547"/>
          <w:marRight w:val="0"/>
          <w:marTop w:val="0"/>
          <w:marBottom w:val="0"/>
          <w:divBdr>
            <w:top w:val="none" w:sz="0" w:space="0" w:color="auto"/>
            <w:left w:val="none" w:sz="0" w:space="0" w:color="auto"/>
            <w:bottom w:val="none" w:sz="0" w:space="0" w:color="auto"/>
            <w:right w:val="none" w:sz="0" w:space="0" w:color="auto"/>
          </w:divBdr>
        </w:div>
        <w:div w:id="1656639002">
          <w:marLeft w:val="547"/>
          <w:marRight w:val="0"/>
          <w:marTop w:val="0"/>
          <w:marBottom w:val="0"/>
          <w:divBdr>
            <w:top w:val="none" w:sz="0" w:space="0" w:color="auto"/>
            <w:left w:val="none" w:sz="0" w:space="0" w:color="auto"/>
            <w:bottom w:val="none" w:sz="0" w:space="0" w:color="auto"/>
            <w:right w:val="none" w:sz="0" w:space="0" w:color="auto"/>
          </w:divBdr>
        </w:div>
        <w:div w:id="516582612">
          <w:marLeft w:val="547"/>
          <w:marRight w:val="0"/>
          <w:marTop w:val="0"/>
          <w:marBottom w:val="0"/>
          <w:divBdr>
            <w:top w:val="none" w:sz="0" w:space="0" w:color="auto"/>
            <w:left w:val="none" w:sz="0" w:space="0" w:color="auto"/>
            <w:bottom w:val="none" w:sz="0" w:space="0" w:color="auto"/>
            <w:right w:val="none" w:sz="0" w:space="0" w:color="auto"/>
          </w:divBdr>
        </w:div>
        <w:div w:id="1541166295">
          <w:marLeft w:val="547"/>
          <w:marRight w:val="0"/>
          <w:marTop w:val="0"/>
          <w:marBottom w:val="0"/>
          <w:divBdr>
            <w:top w:val="none" w:sz="0" w:space="0" w:color="auto"/>
            <w:left w:val="none" w:sz="0" w:space="0" w:color="auto"/>
            <w:bottom w:val="none" w:sz="0" w:space="0" w:color="auto"/>
            <w:right w:val="none" w:sz="0" w:space="0" w:color="auto"/>
          </w:divBdr>
        </w:div>
      </w:divsChild>
    </w:div>
    <w:div w:id="1659727453">
      <w:bodyDiv w:val="1"/>
      <w:marLeft w:val="0"/>
      <w:marRight w:val="0"/>
      <w:marTop w:val="0"/>
      <w:marBottom w:val="0"/>
      <w:divBdr>
        <w:top w:val="none" w:sz="0" w:space="0" w:color="auto"/>
        <w:left w:val="none" w:sz="0" w:space="0" w:color="auto"/>
        <w:bottom w:val="none" w:sz="0" w:space="0" w:color="auto"/>
        <w:right w:val="none" w:sz="0" w:space="0" w:color="auto"/>
      </w:divBdr>
    </w:div>
    <w:div w:id="1740440317">
      <w:bodyDiv w:val="1"/>
      <w:marLeft w:val="0"/>
      <w:marRight w:val="0"/>
      <w:marTop w:val="0"/>
      <w:marBottom w:val="0"/>
      <w:divBdr>
        <w:top w:val="none" w:sz="0" w:space="0" w:color="auto"/>
        <w:left w:val="none" w:sz="0" w:space="0" w:color="auto"/>
        <w:bottom w:val="none" w:sz="0" w:space="0" w:color="auto"/>
        <w:right w:val="none" w:sz="0" w:space="0" w:color="auto"/>
      </w:divBdr>
      <w:divsChild>
        <w:div w:id="1996451390">
          <w:marLeft w:val="547"/>
          <w:marRight w:val="0"/>
          <w:marTop w:val="0"/>
          <w:marBottom w:val="0"/>
          <w:divBdr>
            <w:top w:val="none" w:sz="0" w:space="0" w:color="auto"/>
            <w:left w:val="none" w:sz="0" w:space="0" w:color="auto"/>
            <w:bottom w:val="none" w:sz="0" w:space="0" w:color="auto"/>
            <w:right w:val="none" w:sz="0" w:space="0" w:color="auto"/>
          </w:divBdr>
        </w:div>
      </w:divsChild>
    </w:div>
    <w:div w:id="1840728406">
      <w:bodyDiv w:val="1"/>
      <w:marLeft w:val="0"/>
      <w:marRight w:val="0"/>
      <w:marTop w:val="0"/>
      <w:marBottom w:val="0"/>
      <w:divBdr>
        <w:top w:val="none" w:sz="0" w:space="0" w:color="auto"/>
        <w:left w:val="none" w:sz="0" w:space="0" w:color="auto"/>
        <w:bottom w:val="none" w:sz="0" w:space="0" w:color="auto"/>
        <w:right w:val="none" w:sz="0" w:space="0" w:color="auto"/>
      </w:divBdr>
    </w:div>
    <w:div w:id="1976450965">
      <w:bodyDiv w:val="1"/>
      <w:marLeft w:val="0"/>
      <w:marRight w:val="0"/>
      <w:marTop w:val="0"/>
      <w:marBottom w:val="0"/>
      <w:divBdr>
        <w:top w:val="none" w:sz="0" w:space="0" w:color="auto"/>
        <w:left w:val="none" w:sz="0" w:space="0" w:color="auto"/>
        <w:bottom w:val="none" w:sz="0" w:space="0" w:color="auto"/>
        <w:right w:val="none" w:sz="0" w:space="0" w:color="auto"/>
      </w:divBdr>
    </w:div>
    <w:div w:id="20666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80C35-C4A0-44B9-B993-C45A2D46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4747</Words>
  <Characters>27060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esquenazi</dc:creator>
  <cp:keywords/>
  <dc:description/>
  <cp:lastModifiedBy>rebecca esquenazi</cp:lastModifiedBy>
  <cp:revision>2</cp:revision>
  <dcterms:created xsi:type="dcterms:W3CDTF">2019-05-22T15:47:00Z</dcterms:created>
  <dcterms:modified xsi:type="dcterms:W3CDTF">2019-05-22T15:47:00Z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f928e85f-8f12-3f43-9871-b06a8f727cce</vt:lpwstr>
  </property>
  <property fmtid="{D5CDD505-2E9C-101B-9397-08002B2CF9AE}" pid="24" name="Mendeley Citation Style_1">
    <vt:lpwstr>http://www.zotero.org/styles/chicago-author-date</vt:lpwstr>
  </property>
</Properties>
</file>