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A8762A"/>
          <w:spacing w:val="60"/>
          <w:sz w:val="16"/>
          <w:szCs w:val="16"/>
        </w:rPr>
        <w:t xml:space="preserve">PRESCOACH</w:t>
      </w:r>
    </w:p>
    <w:p>
      <w:pPr>
        <w:spacing w:after="60"/>
      </w:pPr>
      <w:r>
        <w:rPr>
          <w:rFonts w:ascii="Calibri" w:cs="Calibri" w:eastAsia="Calibri" w:hAnsi="Calibri"/>
          <w:b/>
          <w:bCs/>
          <w:color w:val="133039"/>
          <w:sz w:val="40"/>
          <w:szCs w:val="40"/>
        </w:rPr>
        <w:t xml:space="preserve">Making the Coaching Report the Centerpiece</w:t>
      </w:r>
    </w:p>
    <w:p>
      <w:pPr>
        <w:pBdr>
          <w:bottom w:val="single" w:color="A8762A" w:sz="12" w:space="8"/>
        </w:pBdr>
        <w:spacing w:after="260"/>
      </w:pPr>
      <w:r>
        <w:rPr>
          <w:rFonts w:ascii="Georgia" w:cs="Georgia" w:eastAsia="Georgia" w:hAnsi="Georgia"/>
          <w:i/>
          <w:iCs/>
          <w:color w:val="5A626C"/>
          <w:sz w:val="21"/>
          <w:szCs w:val="21"/>
        </w:rPr>
        <w:t xml:space="preserve">Design and content recommendations for the generated PDF, with a build sequence for Kiro</w:t>
      </w:r>
    </w:p>
    <w:p>
      <w:pPr>
        <w:keepNext/>
        <w:pBdr>
          <w:bottom w:val="single" w:color="133039" w:sz="12" w:space="6"/>
        </w:pBdr>
        <w:spacing w:after="60" w:before="380"/>
      </w:pPr>
      <w:r>
        <w:rPr>
          <w:rFonts w:ascii="Calibri" w:cs="Calibri" w:eastAsia="Calibri" w:hAnsi="Calibri"/>
          <w:b/>
          <w:bCs/>
          <w:color w:val="133039"/>
          <w:sz w:val="28"/>
          <w:szCs w:val="28"/>
        </w:rPr>
        <w:t xml:space="preserve">Where this starts</w:t>
      </w:r>
    </w:p>
    <w:p>
      <w:pPr>
        <w:spacing w:after="140" w:line="276"/>
      </w:pPr>
      <w:r>
        <w:rPr>
          <w:rFonts w:ascii="Georgia" w:cs="Georgia" w:eastAsia="Georgia" w:hAnsi="Georgia"/>
          <w:color w:val="15181C"/>
          <w:sz w:val="21"/>
          <w:szCs w:val="21"/>
        </w:rPr>
        <w:t xml:space="preserve">The hard part is already done. Seven agents are producing specific, evidence-anchored feedback with real timestamps attached, and they caught things a human coach would have to rewind three times to notice. The 0.13 transcription confidence on "Strands" as a proxy for a swallowed product name is a genuinely clever inference. Most commercial speaking tools do not get anywhere near that.</w:t>
      </w:r>
    </w:p>
    <w:p>
      <w:pPr>
        <w:spacing w:after="140" w:line="276"/>
      </w:pPr>
      <w:r>
        <w:rPr>
          <w:rFonts w:ascii="Georgia" w:cs="Georgia" w:eastAsia="Georgia" w:hAnsi="Georgia"/>
          <w:color w:val="15181C"/>
          <w:sz w:val="21"/>
          <w:szCs w:val="21"/>
        </w:rPr>
        <w:t xml:space="preserve">What you have is an evaluation log with headings on it. What you need is a report, and the distance between those two things is mostly presentation. Fourteen pages of consistently reasonable observations delivered at a consistent volume with no emphasis and no structural signposting, which for a document whose whole argument is that the speaker needed emphasis and structural signposting, is a little on the nose.</w:t>
      </w:r>
    </w:p>
    <w:p>
      <w:pPr>
        <w:spacing w:after="140" w:line="276"/>
      </w:pPr>
      <w:r>
        <w:rPr>
          <w:rFonts w:ascii="Georgia" w:cs="Georgia" w:eastAsia="Georgia" w:hAnsi="Georgia"/>
          <w:color w:val="15181C"/>
          <w:sz w:val="21"/>
          <w:szCs w:val="21"/>
        </w:rPr>
        <w:t xml:space="preserve">This document covers what to change and why, then hands Kiro a build sequence. The companion HTML mockup is the visual target and it renders to the six pages you should be aiming for.</w:t>
      </w:r>
    </w:p>
    <w:p>
      <w:pPr>
        <w:keepNext/>
        <w:pBdr>
          <w:bottom w:val="single" w:color="133039" w:sz="12" w:space="6"/>
        </w:pBdr>
        <w:spacing w:after="60" w:before="380"/>
      </w:pPr>
      <w:r>
        <w:rPr>
          <w:rFonts w:ascii="Calibri" w:cs="Calibri" w:eastAsia="Calibri" w:hAnsi="Calibri"/>
          <w:b/>
          <w:bCs/>
          <w:color w:val="133039"/>
          <w:sz w:val="28"/>
          <w:szCs w:val="28"/>
        </w:rPr>
        <w:t xml:space="preserve">What is wrong with the current draft</w:t>
      </w:r>
    </w:p>
    <w:p>
      <w:pPr>
        <w:keepNext/>
        <w:spacing w:after="70" w:before="260"/>
      </w:pPr>
      <w:r>
        <w:rPr>
          <w:rFonts w:ascii="Calibri" w:cs="Calibri" w:eastAsia="Calibri" w:hAnsi="Calibri"/>
          <w:b/>
          <w:bCs/>
          <w:color w:val="1C4A59"/>
          <w:sz w:val="23"/>
          <w:szCs w:val="23"/>
        </w:rPr>
        <w:t xml:space="preserve">There is no front door</w:t>
      </w:r>
    </w:p>
    <w:p>
      <w:pPr>
        <w:spacing w:after="140" w:line="276"/>
      </w:pPr>
      <w:r>
        <w:rPr>
          <w:rFonts w:ascii="Georgia" w:cs="Georgia" w:eastAsia="Georgia" w:hAnsi="Georgia"/>
          <w:color w:val="15181C"/>
          <w:sz w:val="21"/>
          <w:szCs w:val="21"/>
        </w:rPr>
        <w:t xml:space="preserve">The 5.9 appears in the fourth line of a prose paragraph. The seven dimension scores exist in the system but never appear together anywhere in fourteen pages, so a reader has to page through the whole document and assemble a picture the application already has. Nobody should have to do arithmetic to find out where they stand.</w:t>
      </w:r>
    </w:p>
    <w:p>
      <w:pPr>
        <w:keepNext/>
        <w:spacing w:after="70" w:before="260"/>
      </w:pPr>
      <w:r>
        <w:rPr>
          <w:rFonts w:ascii="Calibri" w:cs="Calibri" w:eastAsia="Calibri" w:hAnsi="Calibri"/>
          <w:b/>
          <w:bCs/>
          <w:color w:val="1C4A59"/>
          <w:sz w:val="23"/>
          <w:szCs w:val="23"/>
        </w:rPr>
        <w:t xml:space="preserve">Forty-five findings for 307 seconds of audio</w:t>
      </w:r>
    </w:p>
    <w:p>
      <w:pPr>
        <w:spacing w:after="140" w:line="276"/>
      </w:pPr>
      <w:r>
        <w:rPr>
          <w:rFonts w:ascii="Georgia" w:cs="Georgia" w:eastAsia="Georgia" w:hAnsi="Georgia"/>
          <w:color w:val="15181C"/>
          <w:sz w:val="21"/>
          <w:szCs w:val="21"/>
        </w:rPr>
        <w:t xml:space="preserve">That is one finding every seven seconds. It is thorough and it is unusable. Nobody acts on 45 things, and a report that asks them to is telling the reader that nothing in it is particularly important. Cap the visible findings at five per dimension, sorted by severity, and keep the rest in the evaluation JSON for anyone who wants the full trace.</w:t>
      </w:r>
    </w:p>
    <w:p>
      <w:pPr>
        <w:keepNext/>
        <w:spacing w:after="70" w:before="260"/>
      </w:pPr>
      <w:r>
        <w:rPr>
          <w:rFonts w:ascii="Calibri" w:cs="Calibri" w:eastAsia="Calibri" w:hAnsi="Calibri"/>
          <w:b/>
          <w:bCs/>
          <w:color w:val="1C4A59"/>
          <w:sz w:val="23"/>
          <w:szCs w:val="23"/>
        </w:rPr>
        <w:t xml:space="preserve">Seven agents keep noticing the same four things</w:t>
      </w:r>
    </w:p>
    <w:p>
      <w:pPr>
        <w:spacing w:after="140" w:line="276"/>
      </w:pPr>
      <w:r>
        <w:rPr>
          <w:rFonts w:ascii="Georgia" w:cs="Georgia" w:eastAsia="Georgia" w:hAnsi="Georgia"/>
          <w:color w:val="15181C"/>
          <w:sz w:val="21"/>
          <w:szCs w:val="21"/>
        </w:rPr>
        <w:t xml:space="preserve">Reducing "So" as a transition appears in Structure, Executive Presence, and Pacing. Eliminating hedging appears in Executive Presence, Technical Communication, and Persuasion. Adding pauses appears in Delivery, Executive Presence, and Pacing. Adding a real conclusion appears in Structure, Pacing, and Persuasion. That convergence is actually a strong signal that the evaluation is working, because independent agents landed in the same place. It is a bad outcome for the report, because the reader experiences it as the document repeating itself.</w:t>
      </w:r>
    </w:p>
    <w:p>
      <w:pPr>
        <w:spacing w:after="140" w:line="276"/>
      </w:pPr>
      <w:r>
        <w:rPr>
          <w:rFonts w:ascii="Georgia" w:cs="Georgia" w:eastAsia="Georgia" w:hAnsi="Georgia"/>
          <w:color w:val="15181C"/>
          <w:sz w:val="21"/>
          <w:szCs w:val="21"/>
        </w:rPr>
        <w:t xml:space="preserve">That is the supervisor agent's job and it is not doing it yet. When three or more specialists raise the same underlying issue, the supervisor should collapse them into one finding, attribute it to the dimension where it costs the most points, and note the cross-dimension impact in a single line instead of writing the same paragraph four times.</w:t>
      </w:r>
    </w:p>
    <w:p>
      <w:pPr>
        <w:keepNext/>
        <w:spacing w:after="70" w:before="260"/>
      </w:pPr>
      <w:r>
        <w:rPr>
          <w:rFonts w:ascii="Calibri" w:cs="Calibri" w:eastAsia="Calibri" w:hAnsi="Calibri"/>
          <w:b/>
          <w:bCs/>
          <w:color w:val="1C4A59"/>
          <w:sz w:val="23"/>
          <w:szCs w:val="23"/>
        </w:rPr>
        <w:t xml:space="preserve">Findings, Strengths, and Areas for Improvement say the same thing three times</w:t>
      </w:r>
    </w:p>
    <w:p>
      <w:pPr>
        <w:spacing w:after="140" w:line="276"/>
      </w:pPr>
      <w:r>
        <w:rPr>
          <w:rFonts w:ascii="Georgia" w:cs="Georgia" w:eastAsia="Georgia" w:hAnsi="Georgia"/>
          <w:color w:val="15181C"/>
          <w:sz w:val="21"/>
          <w:szCs w:val="21"/>
        </w:rPr>
        <w:t xml:space="preserve">Areas for Improvement is very close to a restatement of the suggestions already inside Findings. Somewhere around forty percent of the page count is duplication. Cut Areas for Improvement entirely. The fix belongs inside the finding it fixes.</w:t>
      </w:r>
    </w:p>
    <w:p>
      <w:pPr>
        <w:keepNext/>
        <w:spacing w:after="70" w:before="260"/>
      </w:pPr>
      <w:r>
        <w:rPr>
          <w:rFonts w:ascii="Calibri" w:cs="Calibri" w:eastAsia="Calibri" w:hAnsi="Calibri"/>
          <w:b/>
          <w:bCs/>
          <w:color w:val="1C4A59"/>
          <w:sz w:val="23"/>
          <w:szCs w:val="23"/>
        </w:rPr>
        <w:t xml:space="preserve">The Overall Coaching Assessment is a string join wearing a jacket</w:t>
      </w:r>
    </w:p>
    <w:p>
      <w:pPr>
        <w:spacing w:after="140" w:line="276"/>
      </w:pPr>
      <w:r>
        <w:rPr>
          <w:rFonts w:ascii="Georgia" w:cs="Georgia" w:eastAsia="Georgia" w:hAnsi="Georgia"/>
          <w:color w:val="15181C"/>
          <w:sz w:val="21"/>
          <w:szCs w:val="21"/>
        </w:rPr>
        <w:t xml:space="preserve">This one is worth being blunt about because it is the section that most undermines the credibility of everything above it. The concatenation shows through in three places. There is doubled punctuation where sentences were joined ("subject matter., authentic conversational energy"). Quoted transcript text has been lowercased ("how do i actually keep track of these conversations over time"). And strength strings are comma-joined into a single sentence that runs for most of a paragraph. A reader who notices any one of those stops trusting the analysis, fairly or not.</w:t>
      </w:r>
    </w:p>
    <w:p>
      <w:pPr>
        <w:pBdr>
          <w:left w:val="single" w:color="A8762A" w:sz="18" w:space="8"/>
        </w:pBdr>
        <w:shd w:fill="F1F0EA" w:color="auto" w:val="clear"/>
        <w:spacing w:after="200" w:before="160" w:line="276"/>
        <w:ind w:left="170" w:right="170"/>
      </w:pPr>
      <w:r>
        <w:rPr>
          <w:rFonts w:ascii="Georgia" w:cs="Georgia" w:eastAsia="Georgia" w:hAnsi="Georgia"/>
          <w:b/>
          <w:bCs/>
          <w:color w:val="15181C"/>
          <w:sz w:val="21"/>
          <w:szCs w:val="21"/>
        </w:rPr>
        <w:t xml:space="preserve">You asked whether to move Overall Coaching Assessment up under the Executive Summary. My recommendation is to delete it. </w:t>
      </w:r>
      <w:r>
        <w:rPr>
          <w:rFonts w:ascii="Georgia" w:cs="Georgia" w:eastAsia="Georgia" w:hAnsi="Georgia"/>
          <w:color w:val="15181C"/>
          <w:sz w:val="21"/>
          <w:szCs w:val="21"/>
        </w:rPr>
        <w:t xml:space="preserve">It is roughly ninety percent duplication of the Executive Summary plus a machine-stitched list. Its three useful jobs get redistributed: the strengths go into a "do not lose these" panel on the summary page, the priority list becomes the ranked three-move plan, and the recommended next step becomes a single closing card. Moving a redundant section earlier just makes the reader hit the redundancy sooner.</w:t>
      </w:r>
    </w:p>
    <w:p>
      <w:pPr>
        <w:keepNext/>
        <w:spacing w:after="70" w:before="260"/>
      </w:pPr>
      <w:r>
        <w:rPr>
          <w:rFonts w:ascii="Calibri" w:cs="Calibri" w:eastAsia="Calibri" w:hAnsi="Calibri"/>
          <w:b/>
          <w:bCs/>
          <w:color w:val="1C4A59"/>
          <w:sz w:val="23"/>
          <w:szCs w:val="23"/>
        </w:rPr>
        <w:t xml:space="preserve">The voice is inconsistent</w:t>
      </w:r>
    </w:p>
    <w:p>
      <w:pPr>
        <w:spacing w:after="140" w:line="276"/>
      </w:pPr>
      <w:r>
        <w:rPr>
          <w:rFonts w:ascii="Georgia" w:cs="Georgia" w:eastAsia="Georgia" w:hAnsi="Georgia"/>
          <w:color w:val="15181C"/>
          <w:sz w:val="21"/>
          <w:szCs w:val="21"/>
        </w:rPr>
        <w:t xml:space="preserve">The header says Michael Geiser, the body says "the presenter (Frank Kane)," and the coaching alternates between third person and second person, sometimes inside the same paragraph. Pick second person for every word of coaching content and keep speaker identity in the metadata block where it belongs. If the name detected in the audio differs from the account holder, say so once in the header and move on. That is useful information for a drift test, not a reason to change grammatical person.</w:t>
      </w:r>
    </w:p>
    <w:p>
      <w:pPr>
        <w:keepNext/>
        <w:spacing w:after="70" w:before="260"/>
      </w:pPr>
      <w:r>
        <w:rPr>
          <w:rFonts w:ascii="Calibri" w:cs="Calibri" w:eastAsia="Calibri" w:hAnsi="Calibri"/>
          <w:b/>
          <w:bCs/>
          <w:color w:val="1C4A59"/>
          <w:sz w:val="23"/>
          <w:szCs w:val="23"/>
        </w:rPr>
        <w:t xml:space="preserve">Two render bugs</w:t>
      </w:r>
    </w:p>
    <w:p>
      <w:pPr>
        <w:spacing w:after="140" w:line="276"/>
      </w:pPr>
      <w:r>
        <w:rPr>
          <w:rFonts w:ascii="Georgia" w:cs="Georgia" w:eastAsia="Georgia" w:hAnsi="Georgia"/>
          <w:color w:val="15181C"/>
          <w:sz w:val="21"/>
          <w:szCs w:val="21"/>
        </w:rPr>
        <w:t xml:space="preserve">"Q&amp;A;" appears three times, which is an HTML entity being escaped once too many times on its way into the PDF. And the em dashes in agent output are rendering inconsistently against the surrounding text. Both are cosmetic and both are the kind of thing an executive reader notices immediately.</w:t>
      </w:r>
    </w:p>
    <w:p>
      <w:r>
        <w:br w:type="page"/>
      </w:r>
    </w:p>
    <w:p>
      <w:pPr>
        <w:keepNext/>
        <w:pBdr>
          <w:bottom w:val="single" w:color="133039" w:sz="12" w:space="6"/>
        </w:pBdr>
        <w:spacing w:after="60" w:before="380"/>
      </w:pPr>
      <w:r>
        <w:rPr>
          <w:rFonts w:ascii="Calibri" w:cs="Calibri" w:eastAsia="Calibri" w:hAnsi="Calibri"/>
          <w:b/>
          <w:bCs/>
          <w:color w:val="133039"/>
          <w:sz w:val="28"/>
          <w:szCs w:val="28"/>
        </w:rPr>
        <w:t xml:space="preserve">The structure to move to</w:t>
      </w:r>
    </w:p>
    <w:p>
      <w:pPr>
        <w:spacing w:after="140" w:line="276"/>
      </w:pPr>
      <w:r>
        <w:rPr>
          <w:rFonts w:ascii="Georgia" w:cs="Georgia" w:eastAsia="Georgia" w:hAnsi="Georgia"/>
          <w:color w:val="15181C"/>
          <w:sz w:val="21"/>
          <w:szCs w:val="21"/>
        </w:rPr>
        <w:t xml:space="preserve">Six pages, not fourteen. The full evaluation stays available as JSON from the submission record for anyone who wants every finding. What follows maps one to one onto the mockup.</w:t>
      </w:r>
    </w:p>
    <w:tbl>
      <w:tblPr>
        <w:tblW w:type="dxa" w:w="9360"/>
        <w:tblBorders>
          <w:top w:val="single" w:color="C6C4BA" w:sz="2"/>
          <w:left w:val="none"/>
          <w:bottom w:val="single" w:color="C6C4BA" w:sz="2"/>
          <w:right w:val="none"/>
          <w:insideH w:val="single" w:color="C6C4BA" w:sz="2"/>
          <w:insideV w:val="none"/>
        </w:tblBorders>
      </w:tblPr>
      <w:tblGrid>
        <w:gridCol w:w="2200"/>
        <w:gridCol w:w="7160"/>
      </w:tblGrid>
      <w:tr>
        <w:trPr>
          <w:tblHeader/>
        </w:trPr>
        <w:tc>
          <w:tcPr>
            <w:tcW w:type="dxa" w:w="2200"/>
            <w:tcMar>
              <w:top w:type="dxa" w:w="70"/>
              <w:left w:type="dxa" w:w="110"/>
              <w:bottom w:type="dxa" w:w="70"/>
              <w:right w:type="dxa" w:w="110"/>
            </w:tcMar>
          </w:tcPr>
          <w:p>
            <w:pPr>
              <w:spacing w:after="0" w:line="250"/>
            </w:pPr>
            <w:r>
              <w:rPr>
                <w:rFonts w:ascii="Calibri" w:cs="Calibri" w:eastAsia="Calibri" w:hAnsi="Calibri"/>
                <w:b/>
                <w:bCs/>
                <w:color w:val="5A626C"/>
                <w:spacing w:val="22"/>
                <w:sz w:val="15"/>
                <w:szCs w:val="15"/>
              </w:rPr>
              <w:t xml:space="preserve">PAGE</w:t>
            </w:r>
          </w:p>
        </w:tc>
        <w:tc>
          <w:tcPr>
            <w:tcW w:type="dxa" w:w="7160"/>
            <w:tcMar>
              <w:top w:type="dxa" w:w="70"/>
              <w:left w:type="dxa" w:w="110"/>
              <w:bottom w:type="dxa" w:w="70"/>
              <w:right w:type="dxa" w:w="110"/>
            </w:tcMar>
          </w:tcPr>
          <w:p>
            <w:pPr>
              <w:spacing w:after="0" w:line="250"/>
            </w:pPr>
            <w:r>
              <w:rPr>
                <w:rFonts w:ascii="Calibri" w:cs="Calibri" w:eastAsia="Calibri" w:hAnsi="Calibri"/>
                <w:b/>
                <w:bCs/>
                <w:color w:val="5A626C"/>
                <w:spacing w:val="22"/>
                <w:sz w:val="15"/>
                <w:szCs w:val="15"/>
              </w:rPr>
              <w:t xml:space="preserve">WHAT IT DOES</w:t>
            </w:r>
          </w:p>
        </w:tc>
      </w:tr>
      <w:tr>
        <w:tc>
          <w:tcPr>
            <w:tcW w:type="dxa" w:w="22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1. Scorecard</w:t>
            </w:r>
          </w:p>
        </w:tc>
        <w:tc>
          <w:tcPr>
            <w:tcW w:type="dxa" w:w="71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Everything at a glance. Metadata, the overall score in a banded gauge, the talk timeline, seven ranked dimension bars against a target line, eight measured metrics, severity counts, and the two-sentence verdict.</w:t>
            </w:r>
          </w:p>
        </w:tc>
      </w:tr>
      <w:tr>
        <w:tc>
          <w:tcPr>
            <w:tcW w:type="dxa" w:w="22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2. Three moves</w:t>
            </w:r>
          </w:p>
        </w:tc>
        <w:tc>
          <w:tcPr>
            <w:tcW w:type="dxa" w:w="71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The narrative diagnosis in three short paragraphs, then the three highest-leverage changes ranked by projected score impact, then a panel of strengths to protect while fixing the rest.</w:t>
            </w:r>
          </w:p>
        </w:tc>
      </w:tr>
      <w:tr>
        <w:tc>
          <w:tcPr>
            <w:tcW w:type="dxa" w:w="22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3 to 5. Dimensions</w:t>
            </w:r>
          </w:p>
        </w:tc>
        <w:tc>
          <w:tcPr>
            <w:tcW w:type="dxa" w:w="71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Seven dimension cards, roughly two per page. Weakest first, because that is the order someone should read them in.</w:t>
            </w:r>
          </w:p>
        </w:tc>
      </w:tr>
      <w:tr>
        <w:tc>
          <w:tcPr>
            <w:tcW w:type="dxa" w:w="22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6. Progress</w:t>
            </w:r>
          </w:p>
        </w:tc>
        <w:tc>
          <w:tcPr>
            <w:tcW w:type="dxa" w:w="71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Trend section. Empty state today, populated once the trend service ships.</w:t>
            </w:r>
          </w:p>
        </w:tc>
      </w:tr>
      <w:tr>
        <w:tc>
          <w:tcPr>
            <w:tcW w:type="dxa" w:w="22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7. How this was scored</w:t>
            </w:r>
          </w:p>
        </w:tc>
        <w:tc>
          <w:tcPr>
            <w:tcW w:type="dxa" w:w="71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Score bands, method, and full provenance. Short, but it is what makes the whole thing feel like an instrument rather than an opinion.</w:t>
            </w:r>
          </w:p>
        </w:tc>
      </w:tr>
    </w:tbl>
    <w:p>
      <w:pPr>
        <w:spacing w:after="200" w:line="276"/>
      </w:pPr>
      <w:r>
        <w:rPr>
          <w:rFonts w:ascii="Georgia" w:cs="Georgia" w:eastAsia="Georgia" w:hAnsi="Georgia"/>
          <w:color w:val="15181C"/>
          <w:sz w:val="21"/>
          <w:szCs w:val="21"/>
        </w:rPr>
        <w:t xml:space="preserve">That is seven headings across six sheets because dimensions share pages. If you want a printed artifact that stays under ten pages regardless of how verbose the agents get, cap findings per dimension and let the card layout do the rest.</w:t>
      </w:r>
    </w:p>
    <w:p>
      <w:pPr>
        <w:keepNext/>
        <w:pBdr>
          <w:bottom w:val="single" w:color="133039" w:sz="12" w:space="6"/>
        </w:pBdr>
        <w:spacing w:after="60" w:before="380"/>
      </w:pPr>
      <w:r>
        <w:rPr>
          <w:rFonts w:ascii="Calibri" w:cs="Calibri" w:eastAsia="Calibri" w:hAnsi="Calibri"/>
          <w:b/>
          <w:bCs/>
          <w:color w:val="133039"/>
          <w:sz w:val="28"/>
          <w:szCs w:val="28"/>
        </w:rPr>
        <w:t xml:space="preserve">The dashboard, and the distinction that makes it work</w:t>
      </w:r>
    </w:p>
    <w:p>
      <w:pPr>
        <w:spacing w:after="140" w:line="276"/>
      </w:pPr>
      <w:r>
        <w:rPr>
          <w:rFonts w:ascii="Georgia" w:cs="Georgia" w:eastAsia="Georgia" w:hAnsi="Georgia"/>
          <w:color w:val="15181C"/>
          <w:sz w:val="21"/>
          <w:szCs w:val="21"/>
        </w:rPr>
        <w:t xml:space="preserve">The single most valuable thing you can do on page one has nothing to do with charts. It is separating what was measured from what was judged, and labelling both.</w:t>
      </w:r>
    </w:p>
    <w:p>
      <w:pPr>
        <w:spacing w:after="140" w:line="276"/>
      </w:pPr>
      <w:r>
        <w:rPr>
          <w:rFonts w:ascii="Georgia" w:cs="Georgia" w:eastAsia="Georgia" w:hAnsi="Georgia"/>
          <w:color w:val="15181C"/>
          <w:sz w:val="21"/>
          <w:szCs w:val="21"/>
        </w:rPr>
        <w:t xml:space="preserve">Speaking rate, filler counts, pause distribution, segment balance, and enunciation confidence are computed from the transcript and its word-level timings. Run the same audio again and you get the same numbers. The seven dimension scores are model output and they will move between runs even with temperature pinned. Putting those two categories in the same visual treatment quietly claims a precision the second category does not have.</w:t>
      </w:r>
    </w:p>
    <w:p>
      <w:pPr>
        <w:spacing w:after="140" w:line="276"/>
      </w:pPr>
      <w:r>
        <w:rPr>
          <w:rFonts w:ascii="Georgia" w:cs="Georgia" w:eastAsia="Georgia" w:hAnsi="Georgia"/>
          <w:color w:val="15181C"/>
          <w:sz w:val="21"/>
          <w:szCs w:val="21"/>
        </w:rPr>
        <w:t xml:space="preserve">So the mockup gives them different homes. The gauge and the ranked bars are model judgment and they sit under a heading that says so. The eight metrics sit in their own column under "Measured, not judged," with a line underneath explaining that they reproduce exactly and the scores will not. That single sentence buys you enormous credibility with a technical audience, and it happens to be exactly the discipline your gold-data drift test depends on.</w:t>
      </w:r>
    </w:p>
    <w:p>
      <w:pPr>
        <w:keepNext/>
        <w:spacing w:after="50" w:before="200"/>
      </w:pPr>
      <w:r>
        <w:rPr>
          <w:rFonts w:ascii="Calibri" w:cs="Calibri" w:eastAsia="Calibri" w:hAnsi="Calibri"/>
          <w:b/>
          <w:bCs/>
          <w:color w:val="A8762A"/>
          <w:spacing w:val="34"/>
          <w:sz w:val="15"/>
          <w:szCs w:val="15"/>
        </w:rPr>
        <w:t xml:space="preserve">WHAT GOES ON THE SCORECARD</w:t>
      </w:r>
    </w:p>
    <w:p>
      <w:pPr>
        <w:pStyle w:val="ListParagraph"/>
        <w:numPr>
          <w:ilvl w:val="0"/>
          <w:numId w:val="2"/>
        </w:numPr>
        <w:spacing w:after="90" w:line="264"/>
      </w:pPr>
      <w:r>
        <w:rPr>
          <w:rFonts w:ascii="Georgia" w:cs="Georgia" w:eastAsia="Georgia" w:hAnsi="Georgia"/>
          <w:b/>
          <w:bCs/>
          <w:color w:val="15181C"/>
          <w:sz w:val="21"/>
          <w:szCs w:val="21"/>
        </w:rPr>
        <w:t xml:space="preserve">The gauge, </w:t>
      </w:r>
      <w:r>
        <w:rPr>
          <w:rFonts w:ascii="Georgia" w:cs="Georgia" w:eastAsia="Georgia" w:hAnsi="Georgia"/>
          <w:color w:val="15181C"/>
          <w:sz w:val="21"/>
          <w:szCs w:val="21"/>
        </w:rPr>
        <w:t xml:space="preserve">with the four score bands drawn into the arc so 5.9 means something without a legend. Add the distance to the next band ("0.6 below Effective") because that is the number that motivates.</w:t>
      </w:r>
    </w:p>
    <w:p>
      <w:pPr>
        <w:pStyle w:val="ListParagraph"/>
        <w:numPr>
          <w:ilvl w:val="0"/>
          <w:numId w:val="2"/>
        </w:numPr>
        <w:spacing w:after="90" w:line="264"/>
      </w:pPr>
      <w:r>
        <w:rPr>
          <w:rFonts w:ascii="Georgia" w:cs="Georgia" w:eastAsia="Georgia" w:hAnsi="Georgia"/>
          <w:b/>
          <w:bCs/>
          <w:color w:val="15181C"/>
          <w:sz w:val="21"/>
          <w:szCs w:val="21"/>
        </w:rPr>
        <w:t xml:space="preserve">Seven ranked bars, weakest first, </w:t>
      </w:r>
      <w:r>
        <w:rPr>
          <w:rFonts w:ascii="Georgia" w:cs="Georgia" w:eastAsia="Georgia" w:hAnsi="Georgia"/>
          <w:color w:val="15181C"/>
          <w:sz w:val="21"/>
          <w:szCs w:val="21"/>
        </w:rPr>
        <w:t xml:space="preserve">with a target line at 6.5. Ranking weakest first tells the reader where to look. Alphabetical or rubric order tells them nothing.</w:t>
      </w:r>
    </w:p>
    <w:p>
      <w:pPr>
        <w:pStyle w:val="ListParagraph"/>
        <w:numPr>
          <w:ilvl w:val="0"/>
          <w:numId w:val="2"/>
        </w:numPr>
        <w:spacing w:after="90" w:line="264"/>
      </w:pPr>
      <w:r>
        <w:rPr>
          <w:rFonts w:ascii="Georgia" w:cs="Georgia" w:eastAsia="Georgia" w:hAnsi="Georgia"/>
          <w:b/>
          <w:bCs/>
          <w:color w:val="15181C"/>
          <w:sz w:val="21"/>
          <w:szCs w:val="21"/>
        </w:rPr>
        <w:t xml:space="preserve">Severity counts as four chips. </w:t>
      </w:r>
      <w:r>
        <w:rPr>
          <w:rFonts w:ascii="Georgia" w:cs="Georgia" w:eastAsia="Georgia" w:hAnsi="Georgia"/>
          <w:color w:val="15181C"/>
          <w:sz w:val="21"/>
          <w:szCs w:val="21"/>
        </w:rPr>
        <w:t xml:space="preserve">Fourteen high, twenty-two medium, nine low, six strengths. It sets expectations for the pages that follow.</w:t>
      </w:r>
    </w:p>
    <w:p>
      <w:pPr>
        <w:pStyle w:val="ListParagraph"/>
        <w:numPr>
          <w:ilvl w:val="0"/>
          <w:numId w:val="2"/>
        </w:numPr>
        <w:spacing w:after="90" w:line="264"/>
      </w:pPr>
      <w:r>
        <w:rPr>
          <w:rFonts w:ascii="Georgia" w:cs="Georgia" w:eastAsia="Georgia" w:hAnsi="Georgia"/>
          <w:b/>
          <w:bCs/>
          <w:color w:val="15181C"/>
          <w:sz w:val="21"/>
          <w:szCs w:val="21"/>
        </w:rPr>
        <w:t xml:space="preserve">A delta column, </w:t>
      </w:r>
      <w:r>
        <w:rPr>
          <w:rFonts w:ascii="Georgia" w:cs="Georgia" w:eastAsia="Georgia" w:hAnsi="Georgia"/>
          <w:color w:val="15181C"/>
          <w:sz w:val="21"/>
          <w:szCs w:val="21"/>
        </w:rPr>
        <w:t xml:space="preserve">stubbed with an em dash today and populated by the trend service later. Building the column now means the layout does not change when the data arrives.</w:t>
      </w:r>
    </w:p>
    <w:p>
      <w:pPr>
        <w:pStyle w:val="ListParagraph"/>
        <w:numPr>
          <w:ilvl w:val="0"/>
          <w:numId w:val="2"/>
        </w:numPr>
        <w:spacing w:after="90" w:line="264"/>
      </w:pPr>
      <w:r>
        <w:rPr>
          <w:rFonts w:ascii="Georgia" w:cs="Georgia" w:eastAsia="Georgia" w:hAnsi="Georgia"/>
          <w:b/>
          <w:bCs/>
          <w:color w:val="15181C"/>
          <w:sz w:val="21"/>
          <w:szCs w:val="21"/>
        </w:rPr>
        <w:t xml:space="preserve">A two-sentence verdict in plain language. </w:t>
      </w:r>
      <w:r>
        <w:rPr>
          <w:rFonts w:ascii="Georgia" w:cs="Georgia" w:eastAsia="Georgia" w:hAnsi="Georgia"/>
          <w:color w:val="15181C"/>
          <w:sz w:val="21"/>
          <w:szCs w:val="21"/>
        </w:rPr>
        <w:t xml:space="preserve">"Technically credible, not yet persuasive" does more work than any chart on the page.</w:t>
      </w:r>
    </w:p>
    <w:p>
      <w:pPr>
        <w:keepNext/>
        <w:pBdr>
          <w:bottom w:val="single" w:color="133039" w:sz="12" w:space="6"/>
        </w:pBdr>
        <w:spacing w:after="60" w:before="380"/>
      </w:pPr>
      <w:r>
        <w:rPr>
          <w:rFonts w:ascii="Calibri" w:cs="Calibri" w:eastAsia="Calibri" w:hAnsi="Calibri"/>
          <w:b/>
          <w:bCs/>
          <w:color w:val="133039"/>
          <w:sz w:val="28"/>
          <w:szCs w:val="28"/>
        </w:rPr>
        <w:t xml:space="preserve">The one thing that will make people remember it</w:t>
      </w:r>
    </w:p>
    <w:p>
      <w:pPr>
        <w:spacing w:after="140" w:line="276"/>
      </w:pPr>
      <w:r>
        <w:rPr>
          <w:rFonts w:ascii="Georgia" w:cs="Georgia" w:eastAsia="Georgia" w:hAnsi="Georgia"/>
          <w:color w:val="15181C"/>
          <w:sz w:val="21"/>
          <w:szCs w:val="21"/>
        </w:rPr>
        <w:t xml:space="preserve">Every finding your agents produce already carries a timestamp. 159 seconds. 240.789. The 119 to 178 second stretch where six ideas arrive in under a minute. The single 1.4 second pause at 178. That data is sitting in the output right now doing nothing, and it is the thing no other speaking tool has in this form.</w:t>
      </w:r>
    </w:p>
    <w:p>
      <w:pPr>
        <w:spacing w:after="140" w:line="276"/>
      </w:pPr>
      <w:r>
        <w:rPr>
          <w:rFonts w:ascii="Georgia" w:cs="Georgia" w:eastAsia="Georgia" w:hAnsi="Georgia"/>
          <w:color w:val="15181C"/>
          <w:sz w:val="21"/>
          <w:szCs w:val="21"/>
        </w:rPr>
        <w:t xml:space="preserve">Put a timeline of the talk across the scorecard. Five minutes and seven seconds rendered as a horizontal band, segmented into open, body, and close so the 11 / 84 / 4 percent split is visible rather than described. Pin the high-severity findings to the moments they happened. Shade the high-density stretch in red. Mark the one good pause in green, below the line, so the reader sees a strength and a weakness in the same glance.</w:t>
      </w:r>
    </w:p>
    <w:p>
      <w:pPr>
        <w:spacing w:after="140" w:line="276"/>
      </w:pPr>
      <w:r>
        <w:rPr>
          <w:rFonts w:ascii="Georgia" w:cs="Georgia" w:eastAsia="Georgia" w:hAnsi="Georgia"/>
          <w:color w:val="15181C"/>
          <w:sz w:val="21"/>
          <w:szCs w:val="21"/>
        </w:rPr>
        <w:t xml:space="preserve">It is buildable in an afternoon. The agents already emit the timestamps, so the renderer is a function from findings to SVG rectangles and lines. There is no new model work and no new data. Repeat a scoped version of the strip inside each dimension card showing only that dimension's findings, and the reader gets a spatial sense of where their problems live that no amount of prose delivers.</w:t>
      </w:r>
    </w:p>
    <w:p>
      <w:pPr>
        <w:pBdr>
          <w:left w:val="single" w:color="A8762A" w:sz="18" w:space="8"/>
        </w:pBdr>
        <w:shd w:fill="F1F0EA" w:color="auto" w:val="clear"/>
        <w:spacing w:after="200" w:before="160" w:line="276"/>
        <w:ind w:left="170" w:right="170"/>
      </w:pPr>
      <w:r>
        <w:rPr>
          <w:rFonts w:ascii="Georgia" w:cs="Georgia" w:eastAsia="Georgia" w:hAnsi="Georgia"/>
          <w:b/>
          <w:bCs/>
          <w:color w:val="15181C"/>
          <w:sz w:val="21"/>
          <w:szCs w:val="21"/>
        </w:rPr>
        <w:t xml:space="preserve">This is the screenshot. </w:t>
      </w:r>
      <w:r>
        <w:rPr>
          <w:rFonts w:ascii="Georgia" w:cs="Georgia" w:eastAsia="Georgia" w:hAnsi="Georgia"/>
          <w:color w:val="15181C"/>
          <w:sz w:val="21"/>
          <w:szCs w:val="21"/>
        </w:rPr>
        <w:t xml:space="preserve">When you put PresCoach in front of a hiring manager or on a slide, the timeline is the image that goes on it. A gauge is a gauge. A five-minute talk with its failure points pinned to the second is a product that clearly knows something.</w:t>
      </w:r>
    </w:p>
    <w:p>
      <w:r>
        <w:br w:type="page"/>
      </w:r>
    </w:p>
    <w:p>
      <w:pPr>
        <w:keepNext/>
        <w:pBdr>
          <w:bottom w:val="single" w:color="133039" w:sz="12" w:space="6"/>
        </w:pBdr>
        <w:spacing w:after="60" w:before="380"/>
      </w:pPr>
      <w:r>
        <w:rPr>
          <w:rFonts w:ascii="Calibri" w:cs="Calibri" w:eastAsia="Calibri" w:hAnsi="Calibri"/>
          <w:b/>
          <w:bCs/>
          <w:color w:val="133039"/>
          <w:sz w:val="28"/>
          <w:szCs w:val="28"/>
        </w:rPr>
        <w:t xml:space="preserve">Rebuilding the seven dimension sections</w:t>
      </w:r>
    </w:p>
    <w:p>
      <w:pPr>
        <w:spacing w:after="140" w:line="276"/>
      </w:pPr>
      <w:r>
        <w:rPr>
          <w:rFonts w:ascii="Georgia" w:cs="Georgia" w:eastAsia="Georgia" w:hAnsi="Georgia"/>
          <w:color w:val="15181C"/>
          <w:sz w:val="21"/>
          <w:szCs w:val="21"/>
        </w:rPr>
        <w:t xml:space="preserve">Right now each dimension is three flat lists of bullets in identical typography, which means nothing inside them can be more important than anything else. Replace that with a card that has an actual shape. Every dimension gets the same components in the same order, so a reader learns the pattern once on page three and reads the remaining six twice as fast.</w:t>
      </w:r>
    </w:p>
    <w:tbl>
      <w:tblPr>
        <w:tblW w:type="dxa" w:w="9360"/>
        <w:tblBorders>
          <w:top w:val="single" w:color="C6C4BA" w:sz="2"/>
          <w:left w:val="none"/>
          <w:bottom w:val="single" w:color="C6C4BA" w:sz="2"/>
          <w:right w:val="none"/>
          <w:insideH w:val="single" w:color="C6C4BA" w:sz="2"/>
          <w:insideV w:val="none"/>
        </w:tblBorders>
      </w:tblPr>
      <w:tblGrid>
        <w:gridCol w:w="1700"/>
        <w:gridCol w:w="3400"/>
        <w:gridCol w:w="4260"/>
      </w:tblGrid>
      <w:tr>
        <w:trPr>
          <w:tblHeader/>
        </w:trPr>
        <w:tc>
          <w:tcPr>
            <w:tcW w:type="dxa" w:w="1700"/>
            <w:tcMar>
              <w:top w:type="dxa" w:w="70"/>
              <w:left w:type="dxa" w:w="110"/>
              <w:bottom w:type="dxa" w:w="70"/>
              <w:right w:type="dxa" w:w="110"/>
            </w:tcMar>
          </w:tcPr>
          <w:p>
            <w:pPr>
              <w:spacing w:after="0" w:line="250"/>
            </w:pPr>
            <w:r>
              <w:rPr>
                <w:rFonts w:ascii="Calibri" w:cs="Calibri" w:eastAsia="Calibri" w:hAnsi="Calibri"/>
                <w:b/>
                <w:bCs/>
                <w:color w:val="5A626C"/>
                <w:spacing w:val="22"/>
                <w:sz w:val="15"/>
                <w:szCs w:val="15"/>
              </w:rPr>
              <w:t xml:space="preserve">COMPONENT</w:t>
            </w:r>
          </w:p>
        </w:tc>
        <w:tc>
          <w:tcPr>
            <w:tcW w:type="dxa" w:w="3400"/>
            <w:tcMar>
              <w:top w:type="dxa" w:w="70"/>
              <w:left w:type="dxa" w:w="110"/>
              <w:bottom w:type="dxa" w:w="70"/>
              <w:right w:type="dxa" w:w="110"/>
            </w:tcMar>
          </w:tcPr>
          <w:p>
            <w:pPr>
              <w:spacing w:after="0" w:line="250"/>
            </w:pPr>
            <w:r>
              <w:rPr>
                <w:rFonts w:ascii="Calibri" w:cs="Calibri" w:eastAsia="Calibri" w:hAnsi="Calibri"/>
                <w:b/>
                <w:bCs/>
                <w:color w:val="5A626C"/>
                <w:spacing w:val="22"/>
                <w:sz w:val="15"/>
                <w:szCs w:val="15"/>
              </w:rPr>
              <w:t xml:space="preserve">WHAT IT IS</w:t>
            </w:r>
          </w:p>
        </w:tc>
        <w:tc>
          <w:tcPr>
            <w:tcW w:type="dxa" w:w="4260"/>
            <w:tcMar>
              <w:top w:type="dxa" w:w="70"/>
              <w:left w:type="dxa" w:w="110"/>
              <w:bottom w:type="dxa" w:w="70"/>
              <w:right w:type="dxa" w:w="110"/>
            </w:tcMar>
          </w:tcPr>
          <w:p>
            <w:pPr>
              <w:spacing w:after="0" w:line="250"/>
            </w:pPr>
            <w:r>
              <w:rPr>
                <w:rFonts w:ascii="Calibri" w:cs="Calibri" w:eastAsia="Calibri" w:hAnsi="Calibri"/>
                <w:b/>
                <w:bCs/>
                <w:color w:val="5A626C"/>
                <w:spacing w:val="22"/>
                <w:sz w:val="15"/>
                <w:szCs w:val="15"/>
              </w:rPr>
              <w:t xml:space="preserve">RULES</w:t>
            </w:r>
          </w:p>
        </w:tc>
      </w:tr>
      <w:tr>
        <w:tc>
          <w:tcPr>
            <w:tcW w:type="dxa" w:w="17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Score block</w:t>
            </w:r>
          </w:p>
        </w:tc>
        <w:tc>
          <w:tcPr>
            <w:tcW w:type="dxa" w:w="34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Large numeral, band label, delta against the previous run</w:t>
            </w:r>
          </w:p>
        </w:tc>
        <w:tc>
          <w:tcPr>
            <w:tcW w:type="dxa" w:w="42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Red background when the dimension is the weakest of the seven. Everything else stays petrol.</w:t>
            </w:r>
          </w:p>
        </w:tc>
      </w:tr>
      <w:tr>
        <w:tc>
          <w:tcPr>
            <w:tcW w:type="dxa" w:w="17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Verdict</w:t>
            </w:r>
          </w:p>
        </w:tc>
        <w:tc>
          <w:tcPr>
            <w:tcW w:type="dxa" w:w="34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One sentence in the agent's own words naming the core problem</w:t>
            </w:r>
          </w:p>
        </w:tc>
        <w:tc>
          <w:tcPr>
            <w:tcW w:type="dxa" w:w="42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New required field. Force it to under 25 words. "The mechanics are clean and the emphasis is missing" is the target.</w:t>
            </w:r>
          </w:p>
        </w:tc>
      </w:tr>
      <w:tr>
        <w:tc>
          <w:tcPr>
            <w:tcW w:type="dxa" w:w="17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Rank line</w:t>
            </w:r>
          </w:p>
        </w:tc>
        <w:tc>
          <w:tcPr>
            <w:tcW w:type="dxa" w:w="34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Where this sits among the seven and how many high findings it holds</w:t>
            </w:r>
          </w:p>
        </w:tc>
        <w:tc>
          <w:tcPr>
            <w:tcW w:type="dxa" w:w="42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Generated, not written by the agent.</w:t>
            </w:r>
          </w:p>
        </w:tc>
      </w:tr>
      <w:tr>
        <w:tc>
          <w:tcPr>
            <w:tcW w:type="dxa" w:w="17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Timeline strip</w:t>
            </w:r>
          </w:p>
        </w:tc>
        <w:tc>
          <w:tcPr>
            <w:tcW w:type="dxa" w:w="34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This dimension's findings pinned to the audio timeline</w:t>
            </w:r>
          </w:p>
        </w:tc>
        <w:tc>
          <w:tcPr>
            <w:tcW w:type="dxa" w:w="42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Same renderer as the scorecard, filtered by dimension.</w:t>
            </w:r>
          </w:p>
        </w:tc>
      </w:tr>
      <w:tr>
        <w:tc>
          <w:tcPr>
            <w:tcW w:type="dxa" w:w="17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What is working</w:t>
            </w:r>
          </w:p>
        </w:tc>
        <w:tc>
          <w:tcPr>
            <w:tcW w:type="dxa" w:w="34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Up to three strengths, one line each</w:t>
            </w:r>
          </w:p>
        </w:tc>
        <w:tc>
          <w:tcPr>
            <w:tcW w:type="dxa" w:w="42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Hard cap at three. If an agent returns six, take the three with evidence attached.</w:t>
            </w:r>
          </w:p>
        </w:tc>
      </w:tr>
      <w:tr>
        <w:tc>
          <w:tcPr>
            <w:tcW w:type="dxa" w:w="17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Findings</w:t>
            </w:r>
          </w:p>
        </w:tc>
        <w:tc>
          <w:tcPr>
            <w:tcW w:type="dxa" w:w="34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Up to five, severity ordered, each with evidence, fix, and effort and impact tags</w:t>
            </w:r>
          </w:p>
        </w:tc>
        <w:tc>
          <w:tcPr>
            <w:tcW w:type="dxa" w:w="42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Every finding needs a timestamp or a quoted phrase. A finding with no evidence gets dropped, not padded.</w:t>
            </w:r>
          </w:p>
        </w:tc>
      </w:tr>
      <w:tr>
        <w:tc>
          <w:tcPr>
            <w:tcW w:type="dxa" w:w="17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Say this instead</w:t>
            </w:r>
          </w:p>
        </w:tc>
        <w:tc>
          <w:tcPr>
            <w:tcW w:type="dxa" w:w="34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One before and after using a real line from their transcript</w:t>
            </w:r>
          </w:p>
        </w:tc>
        <w:tc>
          <w:tcPr>
            <w:tcW w:type="dxa" w:w="42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The single highest-value addition in this document. See below.</w:t>
            </w:r>
          </w:p>
        </w:tc>
      </w:tr>
      <w:tr>
        <w:tc>
          <w:tcPr>
            <w:tcW w:type="dxa" w:w="17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Practice drill</w:t>
            </w:r>
          </w:p>
        </w:tc>
        <w:tc>
          <w:tcPr>
            <w:tcW w:type="dxa" w:w="34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One concrete rehearsal exercise with a time box</w:t>
            </w:r>
          </w:p>
        </w:tc>
        <w:tc>
          <w:tcPr>
            <w:tcW w:type="dxa" w:w="42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Replaces the vague "practice these transitions during rehearsal" language currently scattered through the findings.</w:t>
            </w:r>
          </w:p>
        </w:tc>
      </w:tr>
    </w:tbl>
    <w:p>
      <w:pPr>
        <w:keepNext/>
        <w:spacing w:after="70" w:before="260"/>
      </w:pPr>
      <w:r>
        <w:rPr>
          <w:rFonts w:ascii="Calibri" w:cs="Calibri" w:eastAsia="Calibri" w:hAnsi="Calibri"/>
          <w:b/>
          <w:bCs/>
          <w:color w:val="1C4A59"/>
          <w:sz w:val="23"/>
          <w:szCs w:val="23"/>
        </w:rPr>
        <w:t xml:space="preserve">Why the before and after matters more than everything else</w:t>
      </w:r>
    </w:p>
    <w:p>
      <w:pPr>
        <w:spacing w:after="140" w:line="276"/>
      </w:pPr>
      <w:r>
        <w:rPr>
          <w:rFonts w:ascii="Georgia" w:cs="Georgia" w:eastAsia="Georgia" w:hAnsi="Georgia"/>
          <w:color w:val="15181C"/>
          <w:sz w:val="21"/>
          <w:szCs w:val="21"/>
        </w:rPr>
        <w:t xml:space="preserve">The current report tells the speaker to eliminate hedging. Advice like that is correct, forgettable, and impossible to act on in the moment. Show them their own sentence next to a rewritten version and the note becomes something they can hear themselves saying. You already have the transcript, so the agent has the raw material. Add it as a required field per dimension and constrain the "was" side to a verbatim quote so the agent cannot invent a strawman.</w:t>
      </w:r>
    </w:p>
    <w:p>
      <w:pPr>
        <w:spacing w:after="140" w:line="276"/>
      </w:pPr>
      <w:r>
        <w:rPr>
          <w:rFonts w:ascii="Georgia" w:cs="Georgia" w:eastAsia="Georgia" w:hAnsi="Georgia"/>
          <w:color w:val="15181C"/>
          <w:sz w:val="21"/>
          <w:szCs w:val="21"/>
        </w:rPr>
        <w:t xml:space="preserve">This is also the field that will make people forward the report to someone else, which is worth something when the product is doubling as a portfolio piece.</w:t>
      </w:r>
    </w:p>
    <w:p>
      <w:pPr>
        <w:keepNext/>
        <w:spacing w:after="70" w:before="260"/>
      </w:pPr>
      <w:r>
        <w:rPr>
          <w:rFonts w:ascii="Calibri" w:cs="Calibri" w:eastAsia="Calibri" w:hAnsi="Calibri"/>
          <w:b/>
          <w:bCs/>
          <w:color w:val="1C4A59"/>
          <w:sz w:val="23"/>
          <w:szCs w:val="23"/>
        </w:rPr>
        <w:t xml:space="preserve">Give the renderer a schema, not prose</w:t>
      </w:r>
    </w:p>
    <w:p>
      <w:pPr>
        <w:spacing w:after="140" w:line="276"/>
      </w:pPr>
      <w:r>
        <w:rPr>
          <w:rFonts w:ascii="Georgia" w:cs="Georgia" w:eastAsia="Georgia" w:hAnsi="Georgia"/>
          <w:color w:val="15181C"/>
          <w:sz w:val="21"/>
          <w:szCs w:val="21"/>
        </w:rPr>
        <w:t xml:space="preserve">The layout problems in the current draft mostly trace back to agents emitting formatted text that gets dumped into a template. Once the renderer is parsing prose it cannot make layout decisions, cap counts, sort by severity, or dedupe. Have each specialist return validated JSON, fail the schema check loudly, and keep all presentation logic in the template.</w:t>
      </w:r>
    </w:p>
    <w:tbl>
      <w:tblPr>
        <w:tblW w:type="dxa" w:w="9360"/>
        <w:tblBorders>
          <w:top w:val="single" w:color="C6C4BA" w:sz="2"/>
          <w:left w:val="none"/>
          <w:bottom w:val="single" w:color="C6C4BA" w:sz="2"/>
          <w:right w:val="none"/>
          <w:insideH w:val="single" w:color="C6C4BA" w:sz="2"/>
          <w:insideV w:val="none"/>
        </w:tblBorders>
      </w:tblPr>
      <w:tblGrid>
        <w:gridCol w:w="2900"/>
        <w:gridCol w:w="2500"/>
        <w:gridCol w:w="3960"/>
      </w:tblGrid>
      <w:tr>
        <w:trPr>
          <w:tblHeader/>
        </w:trPr>
        <w:tc>
          <w:tcPr>
            <w:tcW w:type="dxa" w:w="2900"/>
            <w:tcMar>
              <w:top w:type="dxa" w:w="70"/>
              <w:left w:type="dxa" w:w="110"/>
              <w:bottom w:type="dxa" w:w="70"/>
              <w:right w:type="dxa" w:w="110"/>
            </w:tcMar>
          </w:tcPr>
          <w:p>
            <w:pPr>
              <w:spacing w:after="0" w:line="250"/>
            </w:pPr>
            <w:r>
              <w:rPr>
                <w:rFonts w:ascii="Calibri" w:cs="Calibri" w:eastAsia="Calibri" w:hAnsi="Calibri"/>
                <w:b/>
                <w:bCs/>
                <w:color w:val="5A626C"/>
                <w:spacing w:val="22"/>
                <w:sz w:val="15"/>
                <w:szCs w:val="15"/>
              </w:rPr>
              <w:t xml:space="preserve">FIELD</w:t>
            </w:r>
          </w:p>
        </w:tc>
        <w:tc>
          <w:tcPr>
            <w:tcW w:type="dxa" w:w="2500"/>
            <w:tcMar>
              <w:top w:type="dxa" w:w="70"/>
              <w:left w:type="dxa" w:w="110"/>
              <w:bottom w:type="dxa" w:w="70"/>
              <w:right w:type="dxa" w:w="110"/>
            </w:tcMar>
          </w:tcPr>
          <w:p>
            <w:pPr>
              <w:spacing w:after="0" w:line="250"/>
            </w:pPr>
            <w:r>
              <w:rPr>
                <w:rFonts w:ascii="Calibri" w:cs="Calibri" w:eastAsia="Calibri" w:hAnsi="Calibri"/>
                <w:b/>
                <w:bCs/>
                <w:color w:val="5A626C"/>
                <w:spacing w:val="22"/>
                <w:sz w:val="15"/>
                <w:szCs w:val="15"/>
              </w:rPr>
              <w:t xml:space="preserve">TYPE</w:t>
            </w:r>
          </w:p>
        </w:tc>
        <w:tc>
          <w:tcPr>
            <w:tcW w:type="dxa" w:w="3960"/>
            <w:tcMar>
              <w:top w:type="dxa" w:w="70"/>
              <w:left w:type="dxa" w:w="110"/>
              <w:bottom w:type="dxa" w:w="70"/>
              <w:right w:type="dxa" w:w="110"/>
            </w:tcMar>
          </w:tcPr>
          <w:p>
            <w:pPr>
              <w:spacing w:after="0" w:line="250"/>
            </w:pPr>
            <w:r>
              <w:rPr>
                <w:rFonts w:ascii="Calibri" w:cs="Calibri" w:eastAsia="Calibri" w:hAnsi="Calibri"/>
                <w:b/>
                <w:bCs/>
                <w:color w:val="5A626C"/>
                <w:spacing w:val="22"/>
                <w:sz w:val="15"/>
                <w:szCs w:val="15"/>
              </w:rPr>
              <w:t xml:space="preserve">NOTES</w:t>
            </w:r>
          </w:p>
        </w:tc>
      </w:tr>
      <w:tr>
        <w:tc>
          <w:tcPr>
            <w:tcW w:type="dxa" w:w="29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dimension</w:t>
            </w:r>
          </w:p>
        </w:tc>
        <w:tc>
          <w:tcPr>
            <w:tcW w:type="dxa" w:w="25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enum</w:t>
            </w:r>
          </w:p>
        </w:tc>
        <w:tc>
          <w:tcPr>
            <w:tcW w:type="dxa" w:w="39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One of the seven. Fixed vocabulary.</w:t>
            </w:r>
          </w:p>
        </w:tc>
      </w:tr>
      <w:tr>
        <w:tc>
          <w:tcPr>
            <w:tcW w:type="dxa" w:w="29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score</w:t>
            </w:r>
          </w:p>
        </w:tc>
        <w:tc>
          <w:tcPr>
            <w:tcW w:type="dxa" w:w="25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number 0-10, one decimal</w:t>
            </w:r>
          </w:p>
        </w:tc>
        <w:tc>
          <w:tcPr>
            <w:tcW w:type="dxa" w:w="39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Schema-enforced range.</w:t>
            </w:r>
          </w:p>
        </w:tc>
      </w:tr>
      <w:tr>
        <w:tc>
          <w:tcPr>
            <w:tcW w:type="dxa" w:w="29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verdict</w:t>
            </w:r>
          </w:p>
        </w:tc>
        <w:tc>
          <w:tcPr>
            <w:tcW w:type="dxa" w:w="25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string, max 25 words</w:t>
            </w:r>
          </w:p>
        </w:tc>
        <w:tc>
          <w:tcPr>
            <w:tcW w:type="dxa" w:w="39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The one-sentence diagnosis.</w:t>
            </w:r>
          </w:p>
        </w:tc>
      </w:tr>
      <w:tr>
        <w:tc>
          <w:tcPr>
            <w:tcW w:type="dxa" w:w="29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strengths[]</w:t>
            </w:r>
          </w:p>
        </w:tc>
        <w:tc>
          <w:tcPr>
            <w:tcW w:type="dxa" w:w="25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max 3 objects</w:t>
            </w:r>
          </w:p>
        </w:tc>
        <w:tc>
          <w:tcPr>
            <w:tcW w:type="dxa" w:w="39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text, and evidence_ref where one exists.</w:t>
            </w:r>
          </w:p>
        </w:tc>
      </w:tr>
      <w:tr>
        <w:tc>
          <w:tcPr>
            <w:tcW w:type="dxa" w:w="29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findings[]</w:t>
            </w:r>
          </w:p>
        </w:tc>
        <w:tc>
          <w:tcPr>
            <w:tcW w:type="dxa" w:w="25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max 5 objects</w:t>
            </w:r>
          </w:p>
        </w:tc>
        <w:tc>
          <w:tcPr>
            <w:tcW w:type="dxa" w:w="39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See below.</w:t>
            </w:r>
          </w:p>
        </w:tc>
      </w:tr>
      <w:tr>
        <w:tc>
          <w:tcPr>
            <w:tcW w:type="dxa" w:w="29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findings[].severity</w:t>
            </w:r>
          </w:p>
        </w:tc>
        <w:tc>
          <w:tcPr>
            <w:tcW w:type="dxa" w:w="25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high | medium | low</w:t>
            </w:r>
          </w:p>
        </w:tc>
        <w:tc>
          <w:tcPr>
            <w:tcW w:type="dxa" w:w="39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Drives sort order and colour.</w:t>
            </w:r>
          </w:p>
        </w:tc>
      </w:tr>
      <w:tr>
        <w:tc>
          <w:tcPr>
            <w:tcW w:type="dxa" w:w="29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findings[].label</w:t>
            </w:r>
          </w:p>
        </w:tc>
        <w:tc>
          <w:tcPr>
            <w:tcW w:type="dxa" w:w="25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string, max 8 words</w:t>
            </w:r>
          </w:p>
        </w:tc>
        <w:tc>
          <w:tcPr>
            <w:tcW w:type="dxa" w:w="39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Becomes the finding headline.</w:t>
            </w:r>
          </w:p>
        </w:tc>
      </w:tr>
      <w:tr>
        <w:tc>
          <w:tcPr>
            <w:tcW w:type="dxa" w:w="29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findings[].observation</w:t>
            </w:r>
          </w:p>
        </w:tc>
        <w:tc>
          <w:tcPr>
            <w:tcW w:type="dxa" w:w="25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string, max 60 words</w:t>
            </w:r>
          </w:p>
        </w:tc>
        <w:tc>
          <w:tcPr>
            <w:tcW w:type="dxa" w:w="39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What is happening, not what to do.</w:t>
            </w:r>
          </w:p>
        </w:tc>
      </w:tr>
      <w:tr>
        <w:tc>
          <w:tcPr>
            <w:tcW w:type="dxa" w:w="29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findings[].evidence[]</w:t>
            </w:r>
          </w:p>
        </w:tc>
        <w:tc>
          <w:tcPr>
            <w:tcW w:type="dxa" w:w="25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array of {ts_start, ts_end, quote}</w:t>
            </w:r>
          </w:p>
        </w:tc>
        <w:tc>
          <w:tcPr>
            <w:tcW w:type="dxa" w:w="39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Required. No evidence, no finding.</w:t>
            </w:r>
          </w:p>
        </w:tc>
      </w:tr>
      <w:tr>
        <w:tc>
          <w:tcPr>
            <w:tcW w:type="dxa" w:w="29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findings[].fix</w:t>
            </w:r>
          </w:p>
        </w:tc>
        <w:tc>
          <w:tcPr>
            <w:tcW w:type="dxa" w:w="25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string, max 40 words</w:t>
            </w:r>
          </w:p>
        </w:tc>
        <w:tc>
          <w:tcPr>
            <w:tcW w:type="dxa" w:w="39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Imperative voice.</w:t>
            </w:r>
          </w:p>
        </w:tc>
      </w:tr>
      <w:tr>
        <w:tc>
          <w:tcPr>
            <w:tcW w:type="dxa" w:w="29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findings[].effort</w:t>
            </w:r>
          </w:p>
        </w:tc>
        <w:tc>
          <w:tcPr>
            <w:tcW w:type="dxa" w:w="25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low | medium | high</w:t>
            </w:r>
          </w:p>
        </w:tc>
        <w:tc>
          <w:tcPr>
            <w:tcW w:type="dxa" w:w="39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Renders as a tag.</w:t>
            </w:r>
          </w:p>
        </w:tc>
      </w:tr>
      <w:tr>
        <w:tc>
          <w:tcPr>
            <w:tcW w:type="dxa" w:w="29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findings[].impact</w:t>
            </w:r>
          </w:p>
        </w:tc>
        <w:tc>
          <w:tcPr>
            <w:tcW w:type="dxa" w:w="25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low | medium | high</w:t>
            </w:r>
          </w:p>
        </w:tc>
        <w:tc>
          <w:tcPr>
            <w:tcW w:type="dxa" w:w="39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Renders as a tag.</w:t>
            </w:r>
          </w:p>
        </w:tc>
      </w:tr>
      <w:tr>
        <w:tc>
          <w:tcPr>
            <w:tcW w:type="dxa" w:w="29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rewrite</w:t>
            </w:r>
          </w:p>
        </w:tc>
        <w:tc>
          <w:tcPr>
            <w:tcW w:type="dxa" w:w="25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{was, now, ts}</w:t>
            </w:r>
          </w:p>
        </w:tc>
        <w:tc>
          <w:tcPr>
            <w:tcW w:type="dxa" w:w="39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The before and after. "was" must be verbatim.</w:t>
            </w:r>
          </w:p>
        </w:tc>
      </w:tr>
      <w:tr>
        <w:tc>
          <w:tcPr>
            <w:tcW w:type="dxa" w:w="29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drill</w:t>
            </w:r>
          </w:p>
        </w:tc>
        <w:tc>
          <w:tcPr>
            <w:tcW w:type="dxa" w:w="25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{minutes, text}</w:t>
            </w:r>
          </w:p>
        </w:tc>
        <w:tc>
          <w:tcPr>
            <w:tcW w:type="dxa" w:w="39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One per dimension.</w:t>
            </w:r>
          </w:p>
        </w:tc>
      </w:tr>
      <w:tr>
        <w:tc>
          <w:tcPr>
            <w:tcW w:type="dxa" w:w="29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evaluator_version</w:t>
            </w:r>
          </w:p>
        </w:tc>
        <w:tc>
          <w:tcPr>
            <w:tcW w:type="dxa" w:w="25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string</w:t>
            </w:r>
          </w:p>
        </w:tc>
        <w:tc>
          <w:tcPr>
            <w:tcW w:type="dxa" w:w="39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Prompt and model version that produced this block.</w:t>
            </w:r>
          </w:p>
        </w:tc>
      </w:tr>
    </w:tbl>
    <w:p>
      <w:pPr>
        <w:keepNext/>
        <w:spacing w:after="70" w:before="260"/>
      </w:pPr>
      <w:r>
        <w:rPr>
          <w:rFonts w:ascii="Calibri" w:cs="Calibri" w:eastAsia="Calibri" w:hAnsi="Calibri"/>
          <w:b/>
          <w:bCs/>
          <w:color w:val="1C4A59"/>
          <w:sz w:val="23"/>
          <w:szCs w:val="23"/>
        </w:rPr>
        <w:t xml:space="preserve">Three rules for the supervisor</w:t>
      </w:r>
    </w:p>
    <w:p>
      <w:pPr>
        <w:spacing w:after="140" w:line="276"/>
      </w:pPr>
      <w:r>
        <w:rPr>
          <w:rFonts w:ascii="Georgia" w:cs="Georgia" w:eastAsia="Georgia" w:hAnsi="Georgia"/>
          <w:color w:val="15181C"/>
          <w:sz w:val="21"/>
          <w:szCs w:val="21"/>
        </w:rPr>
        <w:t xml:space="preserve">First, collapse any issue raised by three or more specialists into a single finding, attributed to the dimension where the rubric weight is highest, with a one-line note on cross-dimension impact. Second, rank the surviving findings globally by impact and use the top three to generate the three-move plan on page two, so that plan is derived rather than written twice. Third, enforce the caps. Five findings, three strengths, one rewrite, one drill. If a specialist returns more, the supervisor drops the ones without evidence first.</w:t>
      </w:r>
    </w:p>
    <w:p>
      <w:r>
        <w:br w:type="page"/>
      </w:r>
    </w:p>
    <w:p>
      <w:pPr>
        <w:keepNext/>
        <w:pBdr>
          <w:bottom w:val="single" w:color="133039" w:sz="12" w:space="6"/>
        </w:pBdr>
        <w:spacing w:after="60" w:before="380"/>
      </w:pPr>
      <w:r>
        <w:rPr>
          <w:rFonts w:ascii="Calibri" w:cs="Calibri" w:eastAsia="Calibri" w:hAnsi="Calibri"/>
          <w:b/>
          <w:bCs/>
          <w:color w:val="133039"/>
          <w:sz w:val="28"/>
          <w:szCs w:val="28"/>
        </w:rPr>
        <w:t xml:space="preserve">The progress-trend service</w:t>
      </w:r>
    </w:p>
    <w:p>
      <w:pPr>
        <w:spacing w:after="140" w:line="276"/>
      </w:pPr>
      <w:r>
        <w:rPr>
          <w:rFonts w:ascii="Georgia" w:cs="Georgia" w:eastAsia="Georgia" w:hAnsi="Georgia"/>
          <w:color w:val="15181C"/>
          <w:sz w:val="21"/>
          <w:szCs w:val="21"/>
        </w:rPr>
        <w:t xml:space="preserve">Your instinct here is right and I would push it further. A single score is feedback, a trend line is coaching, and the difference is the whole product. DynamoDB already holds every submission and every dimension score, so the raw material is sitting there unused. Four things are worth getting right before Kiro builds it.</w:t>
      </w:r>
    </w:p>
    <w:p>
      <w:pPr>
        <w:keepNext/>
        <w:spacing w:after="70" w:before="260"/>
      </w:pPr>
      <w:r>
        <w:rPr>
          <w:rFonts w:ascii="Calibri" w:cs="Calibri" w:eastAsia="Calibri" w:hAnsi="Calibri"/>
          <w:b/>
          <w:bCs/>
          <w:color w:val="1C4A59"/>
          <w:sz w:val="23"/>
          <w:szCs w:val="23"/>
        </w:rPr>
        <w:t xml:space="preserve">Trend the measured metrics, not only the scores</w:t>
      </w:r>
    </w:p>
    <w:p>
      <w:pPr>
        <w:spacing w:after="140" w:line="276"/>
      </w:pPr>
      <w:r>
        <w:rPr>
          <w:rFonts w:ascii="Georgia" w:cs="Georgia" w:eastAsia="Georgia" w:hAnsi="Georgia"/>
          <w:color w:val="15181C"/>
          <w:sz w:val="21"/>
          <w:szCs w:val="21"/>
        </w:rPr>
        <w:t xml:space="preserve">Words per minute, filler count, pause distribution, and segment balance are deterministic. Same audio, same numbers, every time. Those trend beautifully and a speaker can see cause and effect in them directly. Dimension scores are model output and they will wobble. Lead the trend page with the metrics that hold still and treat the score line as the summary rather than the evidence.</w:t>
      </w:r>
    </w:p>
    <w:p>
      <w:pPr>
        <w:keepNext/>
        <w:spacing w:after="70" w:before="260"/>
      </w:pPr>
      <w:r>
        <w:rPr>
          <w:rFonts w:ascii="Calibri" w:cs="Calibri" w:eastAsia="Calibri" w:hAnsi="Calibri"/>
          <w:b/>
          <w:bCs/>
          <w:color w:val="1C4A59"/>
          <w:sz w:val="23"/>
          <w:szCs w:val="23"/>
        </w:rPr>
        <w:t xml:space="preserve">Version stamp every point and show the rebase</w:t>
      </w:r>
    </w:p>
    <w:p>
      <w:pPr>
        <w:spacing w:after="140" w:line="276"/>
      </w:pPr>
      <w:r>
        <w:rPr>
          <w:rFonts w:ascii="Georgia" w:cs="Georgia" w:eastAsia="Georgia" w:hAnsi="Georgia"/>
          <w:color w:val="15181C"/>
          <w:sz w:val="21"/>
          <w:szCs w:val="21"/>
        </w:rPr>
        <w:t xml:space="preserve">This is the one that turns a nice feature into an architecture story, and it is the piece your note on the submission was already reaching for. When a prompt changes or a base model moves, scores shift without the speaker changing anything. If the trend line hides that, it is actively lying. Stamp every stored score with the evaluator release, rubric version, prompt set, and model ID, and draw a marker on the chart wherever that stamp changes.</w:t>
      </w:r>
    </w:p>
    <w:p>
      <w:pPr>
        <w:spacing w:after="140" w:line="276"/>
      </w:pPr>
      <w:r>
        <w:rPr>
          <w:rFonts w:ascii="Georgia" w:cs="Georgia" w:eastAsia="Georgia" w:hAnsi="Georgia"/>
          <w:color w:val="15181C"/>
          <w:sz w:val="21"/>
          <w:szCs w:val="21"/>
        </w:rPr>
        <w:t xml:space="preserve">The mockup shows it as a dashed red line labelled "evaluator v2.1, scores rebased here." Anyone technical who sees that immediately understands you know what you built. It also gives you the mechanism for the gold-data drift test directly, because re-running a pinned set of submissions against a new evaluator and diffing the scores is now a query rather than a project.</w:t>
      </w:r>
    </w:p>
    <w:p>
      <w:pPr>
        <w:keepNext/>
        <w:spacing w:after="70" w:before="260"/>
      </w:pPr>
      <w:r>
        <w:rPr>
          <w:rFonts w:ascii="Calibri" w:cs="Calibri" w:eastAsia="Calibri" w:hAnsi="Calibri"/>
          <w:b/>
          <w:bCs/>
          <w:color w:val="1C4A59"/>
          <w:sz w:val="23"/>
          <w:szCs w:val="23"/>
        </w:rPr>
        <w:t xml:space="preserve">The empty state is not a placeholder, it is a feature</w:t>
      </w:r>
    </w:p>
    <w:p>
      <w:pPr>
        <w:spacing w:after="140" w:line="276"/>
      </w:pPr>
      <w:r>
        <w:rPr>
          <w:rFonts w:ascii="Georgia" w:cs="Georgia" w:eastAsia="Georgia" w:hAnsi="Georgia"/>
          <w:color w:val="15181C"/>
          <w:sz w:val="21"/>
          <w:szCs w:val="21"/>
        </w:rPr>
        <w:t xml:space="preserve">Most of the time this page will have one data point. Say so plainly and turn it into a prompt. "This is your first submission. Trends need three. Record the same talk again after working the three moves on page two and this page starts filling in." That converts a blank section into the strongest re-engagement hook the product has, and it costs nothing to build.</w:t>
      </w:r>
    </w:p>
    <w:p>
      <w:pPr>
        <w:keepNext/>
        <w:spacing w:after="70" w:before="260"/>
      </w:pPr>
      <w:r>
        <w:rPr>
          <w:rFonts w:ascii="Calibri" w:cs="Calibri" w:eastAsia="Calibri" w:hAnsi="Calibri"/>
          <w:b/>
          <w:bCs/>
          <w:color w:val="1C4A59"/>
          <w:sz w:val="23"/>
          <w:szCs w:val="23"/>
        </w:rPr>
        <w:t xml:space="preserve">Give the supervisor a memory</w:t>
      </w:r>
    </w:p>
    <w:p>
      <w:pPr>
        <w:spacing w:after="140" w:line="276"/>
      </w:pPr>
      <w:r>
        <w:rPr>
          <w:rFonts w:ascii="Georgia" w:cs="Georgia" w:eastAsia="Georgia" w:hAnsi="Georgia"/>
          <w:color w:val="15181C"/>
          <w:sz w:val="21"/>
          <w:szCs w:val="21"/>
        </w:rPr>
        <w:t xml:space="preserve">This is where it gets genuinely different from anything else on the market. If the supervisor agent can query the last few reports before writing, it can open with something no single-shot evaluator can say. "You have been told about hedging in every report since February and the score has not moved" is a different conversation than "your executive presence score is 5.2." So is "your pace has come down every month since February, which is the habit that has actually changed." One of those is a scoreboard and the other is a coach who remembers you.</w:t>
      </w:r>
    </w:p>
    <w:p>
      <w:pPr>
        <w:keepNext/>
        <w:spacing w:after="50" w:before="200"/>
      </w:pPr>
      <w:r>
        <w:rPr>
          <w:rFonts w:ascii="Calibri" w:cs="Calibri" w:eastAsia="Calibri" w:hAnsi="Calibri"/>
          <w:b/>
          <w:bCs/>
          <w:color w:val="A8762A"/>
          <w:spacing w:val="34"/>
          <w:sz w:val="15"/>
          <w:szCs w:val="15"/>
        </w:rPr>
        <w:t xml:space="preserve">TOOL SURFACE WORTH EXPOSING</w:t>
      </w:r>
    </w:p>
    <w:p>
      <w:pPr>
        <w:pStyle w:val="ListParagraph"/>
        <w:numPr>
          <w:ilvl w:val="0"/>
          <w:numId w:val="2"/>
        </w:numPr>
        <w:spacing w:after="90" w:line="264"/>
      </w:pPr>
      <w:r>
        <w:rPr>
          <w:rFonts w:ascii="Georgia" w:cs="Georgia" w:eastAsia="Georgia" w:hAnsi="Georgia"/>
          <w:b/>
          <w:bCs/>
          <w:color w:val="15181C"/>
          <w:sz w:val="21"/>
          <w:szCs w:val="21"/>
        </w:rPr>
        <w:t xml:space="preserve">get_score_history(user_id, limit) </w:t>
      </w:r>
      <w:r>
        <w:rPr>
          <w:rFonts w:ascii="Georgia" w:cs="Georgia" w:eastAsia="Georgia" w:hAnsi="Georgia"/>
          <w:color w:val="15181C"/>
          <w:sz w:val="21"/>
          <w:szCs w:val="21"/>
        </w:rPr>
        <w:t xml:space="preserve">returning overall and per-dimension scores with their evaluator stamps.</w:t>
      </w:r>
    </w:p>
    <w:p>
      <w:pPr>
        <w:pStyle w:val="ListParagraph"/>
        <w:numPr>
          <w:ilvl w:val="0"/>
          <w:numId w:val="2"/>
        </w:numPr>
        <w:spacing w:after="90" w:line="264"/>
      </w:pPr>
      <w:r>
        <w:rPr>
          <w:rFonts w:ascii="Georgia" w:cs="Georgia" w:eastAsia="Georgia" w:hAnsi="Georgia"/>
          <w:b/>
          <w:bCs/>
          <w:color w:val="15181C"/>
          <w:sz w:val="21"/>
          <w:szCs w:val="21"/>
        </w:rPr>
        <w:t xml:space="preserve">get_dimension_trend(user_id, dimension, window) </w:t>
      </w:r>
      <w:r>
        <w:rPr>
          <w:rFonts w:ascii="Georgia" w:cs="Georgia" w:eastAsia="Georgia" w:hAnsi="Georgia"/>
          <w:color w:val="15181C"/>
          <w:sz w:val="21"/>
          <w:szCs w:val="21"/>
        </w:rPr>
        <w:t xml:space="preserve">returning the series plus a computed direction and percentage change.</w:t>
      </w:r>
    </w:p>
    <w:p>
      <w:pPr>
        <w:pStyle w:val="ListParagraph"/>
        <w:numPr>
          <w:ilvl w:val="0"/>
          <w:numId w:val="2"/>
        </w:numPr>
        <w:spacing w:after="90" w:line="264"/>
      </w:pPr>
      <w:r>
        <w:rPr>
          <w:rFonts w:ascii="Georgia" w:cs="Georgia" w:eastAsia="Georgia" w:hAnsi="Georgia"/>
          <w:b/>
          <w:bCs/>
          <w:color w:val="15181C"/>
          <w:sz w:val="21"/>
          <w:szCs w:val="21"/>
        </w:rPr>
        <w:t xml:space="preserve">get_metric_trend(user_id, metric, window) </w:t>
      </w:r>
      <w:r>
        <w:rPr>
          <w:rFonts w:ascii="Georgia" w:cs="Georgia" w:eastAsia="Georgia" w:hAnsi="Georgia"/>
          <w:color w:val="15181C"/>
          <w:sz w:val="21"/>
          <w:szCs w:val="21"/>
        </w:rPr>
        <w:t xml:space="preserve">for the deterministic measures. This is the one the coaching language should lean on.</w:t>
      </w:r>
    </w:p>
    <w:p>
      <w:pPr>
        <w:pStyle w:val="ListParagraph"/>
        <w:numPr>
          <w:ilvl w:val="0"/>
          <w:numId w:val="2"/>
        </w:numPr>
        <w:spacing w:after="90" w:line="264"/>
      </w:pPr>
      <w:r>
        <w:rPr>
          <w:rFonts w:ascii="Georgia" w:cs="Georgia" w:eastAsia="Georgia" w:hAnsi="Georgia"/>
          <w:b/>
          <w:bCs/>
          <w:color w:val="15181C"/>
          <w:sz w:val="21"/>
          <w:szCs w:val="21"/>
        </w:rPr>
        <w:t xml:space="preserve">get_recurring_findings(user_id, min_occurrences) </w:t>
      </w:r>
      <w:r>
        <w:rPr>
          <w:rFonts w:ascii="Georgia" w:cs="Georgia" w:eastAsia="Georgia" w:hAnsi="Georgia"/>
          <w:color w:val="15181C"/>
          <w:sz w:val="21"/>
          <w:szCs w:val="21"/>
        </w:rPr>
        <w:t xml:space="preserve">returning issues that keep appearing. This is what powers the memory paragraph above and it is the highest-value call of the four.</w:t>
      </w:r>
    </w:p>
    <w:p>
      <w:pPr>
        <w:pStyle w:val="ListParagraph"/>
        <w:numPr>
          <w:ilvl w:val="0"/>
          <w:numId w:val="2"/>
        </w:numPr>
        <w:spacing w:after="90" w:line="264"/>
      </w:pPr>
      <w:r>
        <w:rPr>
          <w:rFonts w:ascii="Georgia" w:cs="Georgia" w:eastAsia="Georgia" w:hAnsi="Georgia"/>
          <w:b/>
          <w:bCs/>
          <w:color w:val="15181C"/>
          <w:sz w:val="21"/>
          <w:szCs w:val="21"/>
        </w:rPr>
        <w:t xml:space="preserve">compare_submissions(id_a, id_b) </w:t>
      </w:r>
      <w:r>
        <w:rPr>
          <w:rFonts w:ascii="Georgia" w:cs="Georgia" w:eastAsia="Georgia" w:hAnsi="Georgia"/>
          <w:color w:val="15181C"/>
          <w:sz w:val="21"/>
          <w:szCs w:val="21"/>
        </w:rPr>
        <w:t xml:space="preserve">for a direct before and after, which is also your drift-test primitive.</w:t>
      </w:r>
    </w:p>
    <w:p>
      <w:pPr>
        <w:spacing w:after="200" w:line="276"/>
      </w:pPr>
      <w:r>
        <w:rPr>
          <w:rFonts w:ascii="Georgia" w:cs="Georgia" w:eastAsia="Georgia" w:hAnsi="Georgia"/>
          <w:color w:val="15181C"/>
          <w:sz w:val="21"/>
          <w:szCs w:val="21"/>
        </w:rPr>
        <w:t xml:space="preserve">On the data side, a per-user rollup item holding the last twenty submissions in a compact form keeps every one of those calls to a single read rather than a query across the submission table. Write it on completion in the same transaction that flips the submission to Completed. Cheap, and it keeps the report generator from waiting on a scan.</w:t>
      </w:r>
    </w:p>
    <w:p>
      <w:pPr>
        <w:keepNext/>
        <w:pBdr>
          <w:bottom w:val="single" w:color="133039" w:sz="12" w:space="6"/>
        </w:pBdr>
        <w:spacing w:after="60" w:before="380"/>
      </w:pPr>
      <w:r>
        <w:rPr>
          <w:rFonts w:ascii="Calibri" w:cs="Calibri" w:eastAsia="Calibri" w:hAnsi="Calibri"/>
          <w:b/>
          <w:bCs/>
          <w:color w:val="133039"/>
          <w:sz w:val="28"/>
          <w:szCs w:val="28"/>
        </w:rPr>
        <w:t xml:space="preserve">The visual system</w:t>
      </w:r>
    </w:p>
    <w:p>
      <w:pPr>
        <w:spacing w:after="140" w:line="276"/>
      </w:pPr>
      <w:r>
        <w:rPr>
          <w:rFonts w:ascii="Georgia" w:cs="Georgia" w:eastAsia="Georgia" w:hAnsi="Georgia"/>
          <w:color w:val="15181C"/>
          <w:sz w:val="21"/>
          <w:szCs w:val="21"/>
        </w:rPr>
        <w:t xml:space="preserve">The mockup is built on a small token set so Kiro is not making aesthetic decisions per component. The direction is instrument panel rather than corporate deck, which suits a product that measures things.</w:t>
      </w:r>
    </w:p>
    <w:tbl>
      <w:tblPr>
        <w:tblW w:type="dxa" w:w="9360"/>
        <w:tblBorders>
          <w:top w:val="single" w:color="C6C4BA" w:sz="2"/>
          <w:left w:val="none"/>
          <w:bottom w:val="single" w:color="C6C4BA" w:sz="2"/>
          <w:right w:val="none"/>
          <w:insideH w:val="single" w:color="C6C4BA" w:sz="2"/>
          <w:insideV w:val="none"/>
        </w:tblBorders>
      </w:tblPr>
      <w:tblGrid>
        <w:gridCol w:w="1800"/>
        <w:gridCol w:w="1500"/>
        <w:gridCol w:w="6060"/>
      </w:tblGrid>
      <w:tr>
        <w:trPr>
          <w:tblHeader/>
        </w:trPr>
        <w:tc>
          <w:tcPr>
            <w:tcW w:type="dxa" w:w="1800"/>
            <w:tcMar>
              <w:top w:type="dxa" w:w="70"/>
              <w:left w:type="dxa" w:w="110"/>
              <w:bottom w:type="dxa" w:w="70"/>
              <w:right w:type="dxa" w:w="110"/>
            </w:tcMar>
          </w:tcPr>
          <w:p>
            <w:pPr>
              <w:spacing w:after="0" w:line="250"/>
            </w:pPr>
            <w:r>
              <w:rPr>
                <w:rFonts w:ascii="Calibri" w:cs="Calibri" w:eastAsia="Calibri" w:hAnsi="Calibri"/>
                <w:b/>
                <w:bCs/>
                <w:color w:val="5A626C"/>
                <w:spacing w:val="22"/>
                <w:sz w:val="15"/>
                <w:szCs w:val="15"/>
              </w:rPr>
              <w:t xml:space="preserve">TOKEN</w:t>
            </w:r>
          </w:p>
        </w:tc>
        <w:tc>
          <w:tcPr>
            <w:tcW w:type="dxa" w:w="1500"/>
            <w:tcMar>
              <w:top w:type="dxa" w:w="70"/>
              <w:left w:type="dxa" w:w="110"/>
              <w:bottom w:type="dxa" w:w="70"/>
              <w:right w:type="dxa" w:w="110"/>
            </w:tcMar>
          </w:tcPr>
          <w:p>
            <w:pPr>
              <w:spacing w:after="0" w:line="250"/>
            </w:pPr>
            <w:r>
              <w:rPr>
                <w:rFonts w:ascii="Calibri" w:cs="Calibri" w:eastAsia="Calibri" w:hAnsi="Calibri"/>
                <w:b/>
                <w:bCs/>
                <w:color w:val="5A626C"/>
                <w:spacing w:val="22"/>
                <w:sz w:val="15"/>
                <w:szCs w:val="15"/>
              </w:rPr>
              <w:t xml:space="preserve">VALUE</w:t>
            </w:r>
          </w:p>
        </w:tc>
        <w:tc>
          <w:tcPr>
            <w:tcW w:type="dxa" w:w="6060"/>
            <w:tcMar>
              <w:top w:type="dxa" w:w="70"/>
              <w:left w:type="dxa" w:w="110"/>
              <w:bottom w:type="dxa" w:w="70"/>
              <w:right w:type="dxa" w:w="110"/>
            </w:tcMar>
          </w:tcPr>
          <w:p>
            <w:pPr>
              <w:spacing w:after="0" w:line="250"/>
            </w:pPr>
            <w:r>
              <w:rPr>
                <w:rFonts w:ascii="Calibri" w:cs="Calibri" w:eastAsia="Calibri" w:hAnsi="Calibri"/>
                <w:b/>
                <w:bCs/>
                <w:color w:val="5A626C"/>
                <w:spacing w:val="22"/>
                <w:sz w:val="15"/>
                <w:szCs w:val="15"/>
              </w:rPr>
              <w:t xml:space="preserve">USED FOR</w:t>
            </w:r>
          </w:p>
        </w:tc>
      </w:tr>
      <w:tr>
        <w:tc>
          <w:tcPr>
            <w:tcW w:type="dxa" w:w="18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paper</w:t>
            </w:r>
          </w:p>
        </w:tc>
        <w:tc>
          <w:tcPr>
            <w:tcW w:type="dxa" w:w="15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#F8F8F6</w:t>
            </w:r>
          </w:p>
        </w:tc>
        <w:tc>
          <w:tcPr>
            <w:tcW w:type="dxa" w:w="60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Page background. Slightly warm, easier on the eye than pure white in print.</w:t>
            </w:r>
          </w:p>
        </w:tc>
      </w:tr>
      <w:tr>
        <w:tc>
          <w:tcPr>
            <w:tcW w:type="dxa" w:w="18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ink</w:t>
            </w:r>
          </w:p>
        </w:tc>
        <w:tc>
          <w:tcPr>
            <w:tcW w:type="dxa" w:w="15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#15181C</w:t>
            </w:r>
          </w:p>
        </w:tc>
        <w:tc>
          <w:tcPr>
            <w:tcW w:type="dxa" w:w="60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Body text.</w:t>
            </w:r>
          </w:p>
        </w:tc>
      </w:tr>
      <w:tr>
        <w:tc>
          <w:tcPr>
            <w:tcW w:type="dxa" w:w="18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petrol</w:t>
            </w:r>
          </w:p>
        </w:tc>
        <w:tc>
          <w:tcPr>
            <w:tcW w:type="dxa" w:w="15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#133039</w:t>
            </w:r>
          </w:p>
        </w:tc>
        <w:tc>
          <w:tcPr>
            <w:tcW w:type="dxa" w:w="60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Hero panel, drill panel, score blocks, section rules.</w:t>
            </w:r>
          </w:p>
        </w:tc>
      </w:tr>
      <w:tr>
        <w:tc>
          <w:tcPr>
            <w:tcW w:type="dxa" w:w="18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petrol light</w:t>
            </w:r>
          </w:p>
        </w:tc>
        <w:tc>
          <w:tcPr>
            <w:tcW w:type="dxa" w:w="15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#1C4A59</w:t>
            </w:r>
          </w:p>
        </w:tc>
        <w:tc>
          <w:tcPr>
            <w:tcW w:type="dxa" w:w="60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Sub-headings, strong bars, trend line.</w:t>
            </w:r>
          </w:p>
        </w:tc>
      </w:tr>
      <w:tr>
        <w:tc>
          <w:tcPr>
            <w:tcW w:type="dxa" w:w="18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brass</w:t>
            </w:r>
          </w:p>
        </w:tc>
        <w:tc>
          <w:tcPr>
            <w:tcW w:type="dxa" w:w="15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#A8762A</w:t>
            </w:r>
          </w:p>
        </w:tc>
        <w:tc>
          <w:tcPr>
            <w:tcW w:type="dxa" w:w="60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The single accent. Gauge value arc, target lines, timestamps, current data point.</w:t>
            </w:r>
          </w:p>
        </w:tc>
      </w:tr>
      <w:tr>
        <w:tc>
          <w:tcPr>
            <w:tcW w:type="dxa" w:w="18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clip</w:t>
            </w:r>
          </w:p>
        </w:tc>
        <w:tc>
          <w:tcPr>
            <w:tcW w:type="dxa" w:w="15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#9E2B25</w:t>
            </w:r>
          </w:p>
        </w:tc>
        <w:tc>
          <w:tcPr>
            <w:tcW w:type="dxa" w:w="60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High severity, weakest dimension, out-of-band metrics.</w:t>
            </w:r>
          </w:p>
        </w:tc>
      </w:tr>
      <w:tr>
        <w:tc>
          <w:tcPr>
            <w:tcW w:type="dxa" w:w="18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warn</w:t>
            </w:r>
          </w:p>
        </w:tc>
        <w:tc>
          <w:tcPr>
            <w:tcW w:type="dxa" w:w="15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#B4772A</w:t>
            </w:r>
          </w:p>
        </w:tc>
        <w:tc>
          <w:tcPr>
            <w:tcW w:type="dxa" w:w="60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Medium severity.</w:t>
            </w:r>
          </w:p>
        </w:tc>
      </w:tr>
      <w:tr>
        <w:tc>
          <w:tcPr>
            <w:tcW w:type="dxa" w:w="18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low</w:t>
            </w:r>
          </w:p>
        </w:tc>
        <w:tc>
          <w:tcPr>
            <w:tcW w:type="dxa" w:w="15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#8A8479</w:t>
            </w:r>
          </w:p>
        </w:tc>
        <w:tc>
          <w:tcPr>
            <w:tcW w:type="dxa" w:w="60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Low severity.</w:t>
            </w:r>
          </w:p>
        </w:tc>
      </w:tr>
      <w:tr>
        <w:tc>
          <w:tcPr>
            <w:tcW w:type="dxa" w:w="18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good</w:t>
            </w:r>
          </w:p>
        </w:tc>
        <w:tc>
          <w:tcPr>
            <w:tcW w:type="dxa" w:w="1500"/>
            <w:tcMar>
              <w:top w:type="dxa" w:w="70"/>
              <w:left w:type="dxa" w:w="110"/>
              <w:bottom w:type="dxa" w:w="70"/>
              <w:right w:type="dxa" w:w="110"/>
            </w:tcMar>
          </w:tcPr>
          <w:p>
            <w:pPr>
              <w:spacing w:after="0" w:line="250"/>
            </w:pPr>
            <w:r>
              <w:rPr>
                <w:rFonts w:ascii="Consolas" w:cs="Consolas" w:eastAsia="Consolas" w:hAnsi="Consolas"/>
                <w:color w:val="15181C"/>
                <w:sz w:val="16"/>
                <w:szCs w:val="16"/>
              </w:rPr>
              <w:t xml:space="preserve">#2E6B57</w:t>
            </w:r>
          </w:p>
        </w:tc>
        <w:tc>
          <w:tcPr>
            <w:tcW w:type="dxa" w:w="60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Strengths, in-band metrics, the rewrite panel.</w:t>
            </w:r>
          </w:p>
        </w:tc>
      </w:tr>
    </w:tbl>
    <w:p>
      <w:pPr>
        <w:spacing w:after="140" w:line="276"/>
      </w:pPr>
      <w:r>
        <w:rPr>
          <w:rFonts w:ascii="Georgia" w:cs="Georgia" w:eastAsia="Georgia" w:hAnsi="Georgia"/>
          <w:color w:val="15181C"/>
          <w:sz w:val="21"/>
          <w:szCs w:val="21"/>
        </w:rPr>
        <w:t xml:space="preserve">Three typefaces with clean role separation. A humanist serif for body prose, because coaching text is read in paragraphs and a serif carries warmth that a UI sans does not. A neutral grotesque for labels, headings, and anything that behaves like an instrument reading. A geometric face used only for score numerals, which is what gives the gauge and the score blocks their character. Monospace for timestamps, because timestamps are data and should look like it. Every one of them is open licence, which matters when the renderer runs in a container.</w:t>
      </w:r>
    </w:p>
    <w:p>
      <w:pPr>
        <w:spacing w:after="140" w:line="276"/>
      </w:pPr>
      <w:r>
        <w:rPr>
          <w:rFonts w:ascii="Georgia" w:cs="Georgia" w:eastAsia="Georgia" w:hAnsi="Georgia"/>
          <w:color w:val="15181C"/>
          <w:sz w:val="21"/>
          <w:szCs w:val="21"/>
        </w:rPr>
        <w:t xml:space="preserve">Two constraints worth holding to. Keep dark panels contained to the hero, the score blocks, and the drill callouts rather than running full-bleed, because people print these and a full dark page is both expensive and unreadable on a mid-range office printer. And never let colour carry meaning on its own. Every severity level has a colour, a label, and a rail position, so the report survives greyscale printing and colour vision deficiency without any special handling.</w:t>
      </w:r>
    </w:p>
    <w:p>
      <w:pPr>
        <w:keepNext/>
        <w:pBdr>
          <w:bottom w:val="single" w:color="133039" w:sz="12" w:space="6"/>
        </w:pBdr>
        <w:spacing w:after="60" w:before="380"/>
      </w:pPr>
      <w:r>
        <w:rPr>
          <w:rFonts w:ascii="Calibri" w:cs="Calibri" w:eastAsia="Calibri" w:hAnsi="Calibri"/>
          <w:b/>
          <w:bCs/>
          <w:color w:val="133039"/>
          <w:sz w:val="28"/>
          <w:szCs w:val="28"/>
        </w:rPr>
        <w:t xml:space="preserve">How to render it</w:t>
      </w:r>
    </w:p>
    <w:p>
      <w:pPr>
        <w:spacing w:after="140" w:line="276"/>
      </w:pPr>
      <w:r>
        <w:rPr>
          <w:rFonts w:ascii="Georgia" w:cs="Georgia" w:eastAsia="Georgia" w:hAnsi="Georgia"/>
          <w:color w:val="15181C"/>
          <w:sz w:val="21"/>
          <w:szCs w:val="21"/>
        </w:rPr>
        <w:t xml:space="preserve">Generate the PDF from HTML and CSS with WeasyPrint, and generate every chart as inline SVG in Python before the render pass. That combination gets you three things that matter for this specific application.</w:t>
      </w:r>
    </w:p>
    <w:p>
      <w:pPr>
        <w:spacing w:after="140" w:line="276"/>
      </w:pPr>
      <w:r>
        <w:rPr>
          <w:rFonts w:ascii="Georgia" w:cs="Georgia" w:eastAsia="Georgia" w:hAnsi="Georgia"/>
          <w:color w:val="15181C"/>
          <w:sz w:val="21"/>
          <w:szCs w:val="21"/>
        </w:rPr>
        <w:t xml:space="preserve">It is deterministic, which is the one that should decide it. No JavaScript executes, no headless browser makes layout decisions that shift between versions, and the same evaluation JSON produces a byte-identical PDF. Given that you are using this application for drift testing, a renderer that introduces its own variance is a problem you do not want to debug on top of model variance.</w:t>
      </w:r>
    </w:p>
    <w:p>
      <w:pPr>
        <w:spacing w:after="140" w:line="276"/>
      </w:pPr>
      <w:r>
        <w:rPr>
          <w:rFonts w:ascii="Georgia" w:cs="Georgia" w:eastAsia="Georgia" w:hAnsi="Georgia"/>
          <w:color w:val="15181C"/>
          <w:sz w:val="21"/>
          <w:szCs w:val="21"/>
        </w:rPr>
        <w:t xml:space="preserve">It also keeps the output as vector with selectable text, so the file stays small and someone can copy a quote out of it. And the container stays light, which matters because the report generation step is already running as an ECS Fargate task in your pipeline and this drops straight into it.</w:t>
      </w:r>
    </w:p>
    <w:p>
      <w:pPr>
        <w:spacing w:after="140" w:line="276"/>
      </w:pPr>
      <w:r>
        <w:rPr>
          <w:rFonts w:ascii="Georgia" w:cs="Georgia" w:eastAsia="Georgia" w:hAnsi="Georgia"/>
          <w:color w:val="15181C"/>
          <w:sz w:val="21"/>
          <w:szCs w:val="21"/>
        </w:rPr>
        <w:t xml:space="preserve">The alternatives both cost you something. ReportLab gives you precise control and makes you fight for every layout decision, and the design in the mockup would take an order of magnitude longer to express. Headless Chromium gives you full CSS and JavaScript charting libraries, at the cost of a much heavier task definition, a slower cold start, and font rasterization that is not guaranteed stable across Chromium versions. If the design ever needs interactive HTML output alongside the PDF, revisit that. For a print artifact it is the wrong trade.</w:t>
      </w:r>
    </w:p>
    <w:p>
      <w:pPr>
        <w:pBdr>
          <w:left w:val="single" w:color="A8762A" w:sz="18" w:space="8"/>
        </w:pBdr>
        <w:shd w:fill="F1F0EA" w:color="auto" w:val="clear"/>
        <w:spacing w:after="200" w:before="160" w:line="276"/>
        <w:ind w:left="170" w:right="170"/>
      </w:pPr>
      <w:r>
        <w:rPr>
          <w:rFonts w:ascii="Georgia" w:cs="Georgia" w:eastAsia="Georgia" w:hAnsi="Georgia"/>
          <w:b/>
          <w:bCs/>
          <w:color w:val="15181C"/>
          <w:sz w:val="21"/>
          <w:szCs w:val="21"/>
        </w:rPr>
        <w:t xml:space="preserve">One structural note. </w:t>
      </w:r>
      <w:r>
        <w:rPr>
          <w:rFonts w:ascii="Georgia" w:cs="Georgia" w:eastAsia="Georgia" w:hAnsi="Georgia"/>
          <w:color w:val="15181C"/>
          <w:sz w:val="21"/>
          <w:szCs w:val="21"/>
        </w:rPr>
        <w:t xml:space="preserve">Keep the report template in its own deployable unit with its own pipeline, the same way you split the UI, the upload layer, and the AgentCore layer. Design iteration on this artifact will be constant and none of it should require redeploying the evaluation stack.</w:t>
      </w:r>
    </w:p>
    <w:p>
      <w:r>
        <w:br w:type="page"/>
      </w:r>
    </w:p>
    <w:p>
      <w:pPr>
        <w:keepNext/>
        <w:pBdr>
          <w:bottom w:val="single" w:color="133039" w:sz="12" w:space="6"/>
        </w:pBdr>
        <w:spacing w:after="60" w:before="380"/>
      </w:pPr>
      <w:r>
        <w:rPr>
          <w:rFonts w:ascii="Calibri" w:cs="Calibri" w:eastAsia="Calibri" w:hAnsi="Calibri"/>
          <w:b/>
          <w:bCs/>
          <w:color w:val="133039"/>
          <w:sz w:val="28"/>
          <w:szCs w:val="28"/>
        </w:rPr>
        <w:t xml:space="preserve">What to hand Kiro</w:t>
      </w:r>
    </w:p>
    <w:p>
      <w:pPr>
        <w:spacing w:after="140" w:line="276"/>
      </w:pPr>
      <w:r>
        <w:rPr>
          <w:rFonts w:ascii="Georgia" w:cs="Georgia" w:eastAsia="Georgia" w:hAnsi="Georgia"/>
          <w:color w:val="15181C"/>
          <w:sz w:val="21"/>
          <w:szCs w:val="21"/>
        </w:rPr>
        <w:t xml:space="preserve">Sequenced so that each phase produces something you could show someone. The first phase is most of the visible improvement and it does not touch the agents at all.</w:t>
      </w:r>
    </w:p>
    <w:p>
      <w:pPr>
        <w:keepNext/>
        <w:spacing w:after="70" w:before="260"/>
      </w:pPr>
      <w:r>
        <w:rPr>
          <w:rFonts w:ascii="Calibri" w:cs="Calibri" w:eastAsia="Calibri" w:hAnsi="Calibri"/>
          <w:b/>
          <w:bCs/>
          <w:color w:val="1C4A59"/>
          <w:sz w:val="23"/>
          <w:szCs w:val="23"/>
        </w:rPr>
        <w:t xml:space="preserve">Phase one. The renderer, against the data you already have</w:t>
      </w:r>
    </w:p>
    <w:p>
      <w:pPr>
        <w:spacing w:after="140" w:line="276"/>
      </w:pPr>
      <w:r>
        <w:rPr>
          <w:rFonts w:ascii="Georgia" w:cs="Georgia" w:eastAsia="Georgia" w:hAnsi="Georgia"/>
          <w:color w:val="15181C"/>
          <w:sz w:val="21"/>
          <w:szCs w:val="21"/>
        </w:rPr>
        <w:t xml:space="preserve">Take the mockup HTML as the template. Wire the existing evaluation output into it, build the SVG generators for the gauge, the ranked bars, and the talk timeline, and fix the two escaping bugs on the way through. Drop the Overall Coaching Assessment section and redistribute its three useful pieces. Cap findings at five per dimension in the renderer for now, sorted by severity, so you get the benefit before the agents are changed. This phase alone takes the report from fourteen pages to six and from evaluation log to product.</w:t>
      </w:r>
    </w:p>
    <w:p>
      <w:pPr>
        <w:keepNext/>
        <w:spacing w:after="70" w:before="260"/>
      </w:pPr>
      <w:r>
        <w:rPr>
          <w:rFonts w:ascii="Calibri" w:cs="Calibri" w:eastAsia="Calibri" w:hAnsi="Calibri"/>
          <w:b/>
          <w:bCs/>
          <w:color w:val="1C4A59"/>
          <w:sz w:val="23"/>
          <w:szCs w:val="23"/>
        </w:rPr>
        <w:t xml:space="preserve">Phase two. The agent contract</w:t>
      </w:r>
    </w:p>
    <w:p>
      <w:pPr>
        <w:spacing w:after="140" w:line="276"/>
      </w:pPr>
      <w:r>
        <w:rPr>
          <w:rFonts w:ascii="Georgia" w:cs="Georgia" w:eastAsia="Georgia" w:hAnsi="Georgia"/>
          <w:color w:val="15181C"/>
          <w:sz w:val="21"/>
          <w:szCs w:val="21"/>
        </w:rPr>
        <w:t xml:space="preserve">Introduce the JSON schema, add the verdict, rewrite, and drill fields, and enforce the caps at the source. Build the supervisor dedup and the derived three-move plan. Add evaluator versioning to every stored score, which is the prerequisite for everything in phase three and also for the drift testing you are already thinking about. Schema validation failures should fail the step function, not degrade quietly into a half-empty report.</w:t>
      </w:r>
    </w:p>
    <w:p>
      <w:pPr>
        <w:keepNext/>
        <w:spacing w:after="70" w:before="260"/>
      </w:pPr>
      <w:r>
        <w:rPr>
          <w:rFonts w:ascii="Calibri" w:cs="Calibri" w:eastAsia="Calibri" w:hAnsi="Calibri"/>
          <w:b/>
          <w:bCs/>
          <w:color w:val="1C4A59"/>
          <w:sz w:val="23"/>
          <w:szCs w:val="23"/>
        </w:rPr>
        <w:t xml:space="preserve">Phase three. Trend</w:t>
      </w:r>
    </w:p>
    <w:p>
      <w:pPr>
        <w:spacing w:after="140" w:line="276"/>
      </w:pPr>
      <w:r>
        <w:rPr>
          <w:rFonts w:ascii="Georgia" w:cs="Georgia" w:eastAsia="Georgia" w:hAnsi="Georgia"/>
          <w:color w:val="15181C"/>
          <w:sz w:val="21"/>
          <w:szCs w:val="21"/>
        </w:rPr>
        <w:t xml:space="preserve">Ship the empty state first, because it renders on every first submission and it is the re-engagement hook. Then the rollup item and the history tools, then the trend charts with the version markers, then the supervisor memory. The last one is small once the tools exist and it is the piece that changes what the product is.</w:t>
      </w:r>
    </w:p>
    <w:p>
      <w:pPr>
        <w:keepNext/>
        <w:spacing w:after="50" w:before="200"/>
      </w:pPr>
      <w:r>
        <w:rPr>
          <w:rFonts w:ascii="Calibri" w:cs="Calibri" w:eastAsia="Calibri" w:hAnsi="Calibri"/>
          <w:b/>
          <w:bCs/>
          <w:color w:val="A8762A"/>
          <w:spacing w:val="34"/>
          <w:sz w:val="15"/>
          <w:szCs w:val="15"/>
        </w:rPr>
        <w:t xml:space="preserve">BUGS TO FIX REGARDLESS OF PHASE</w:t>
      </w:r>
    </w:p>
    <w:tbl>
      <w:tblPr>
        <w:tblW w:type="dxa" w:w="9360"/>
        <w:tblBorders>
          <w:top w:val="single" w:color="C6C4BA" w:sz="2"/>
          <w:left w:val="none"/>
          <w:bottom w:val="single" w:color="C6C4BA" w:sz="2"/>
          <w:right w:val="none"/>
          <w:insideH w:val="single" w:color="C6C4BA" w:sz="2"/>
          <w:insideV w:val="none"/>
        </w:tblBorders>
      </w:tblPr>
      <w:tblGrid>
        <w:gridCol w:w="2600"/>
        <w:gridCol w:w="3200"/>
        <w:gridCol w:w="3560"/>
      </w:tblGrid>
      <w:tr>
        <w:trPr>
          <w:tblHeader/>
        </w:trPr>
        <w:tc>
          <w:tcPr>
            <w:tcW w:type="dxa" w:w="2600"/>
            <w:tcMar>
              <w:top w:type="dxa" w:w="70"/>
              <w:left w:type="dxa" w:w="110"/>
              <w:bottom w:type="dxa" w:w="70"/>
              <w:right w:type="dxa" w:w="110"/>
            </w:tcMar>
          </w:tcPr>
          <w:p>
            <w:pPr>
              <w:spacing w:after="0" w:line="250"/>
            </w:pPr>
            <w:r>
              <w:rPr>
                <w:rFonts w:ascii="Calibri" w:cs="Calibri" w:eastAsia="Calibri" w:hAnsi="Calibri"/>
                <w:b/>
                <w:bCs/>
                <w:color w:val="5A626C"/>
                <w:spacing w:val="22"/>
                <w:sz w:val="15"/>
                <w:szCs w:val="15"/>
              </w:rPr>
              <w:t xml:space="preserve">SYMPTOM</w:t>
            </w:r>
          </w:p>
        </w:tc>
        <w:tc>
          <w:tcPr>
            <w:tcW w:type="dxa" w:w="3200"/>
            <w:tcMar>
              <w:top w:type="dxa" w:w="70"/>
              <w:left w:type="dxa" w:w="110"/>
              <w:bottom w:type="dxa" w:w="70"/>
              <w:right w:type="dxa" w:w="110"/>
            </w:tcMar>
          </w:tcPr>
          <w:p>
            <w:pPr>
              <w:spacing w:after="0" w:line="250"/>
            </w:pPr>
            <w:r>
              <w:rPr>
                <w:rFonts w:ascii="Calibri" w:cs="Calibri" w:eastAsia="Calibri" w:hAnsi="Calibri"/>
                <w:b/>
                <w:bCs/>
                <w:color w:val="5A626C"/>
                <w:spacing w:val="22"/>
                <w:sz w:val="15"/>
                <w:szCs w:val="15"/>
              </w:rPr>
              <w:t xml:space="preserve">CAUSE</w:t>
            </w:r>
          </w:p>
        </w:tc>
        <w:tc>
          <w:tcPr>
            <w:tcW w:type="dxa" w:w="3560"/>
            <w:tcMar>
              <w:top w:type="dxa" w:w="70"/>
              <w:left w:type="dxa" w:w="110"/>
              <w:bottom w:type="dxa" w:w="70"/>
              <w:right w:type="dxa" w:w="110"/>
            </w:tcMar>
          </w:tcPr>
          <w:p>
            <w:pPr>
              <w:spacing w:after="0" w:line="250"/>
            </w:pPr>
            <w:r>
              <w:rPr>
                <w:rFonts w:ascii="Calibri" w:cs="Calibri" w:eastAsia="Calibri" w:hAnsi="Calibri"/>
                <w:b/>
                <w:bCs/>
                <w:color w:val="5A626C"/>
                <w:spacing w:val="22"/>
                <w:sz w:val="15"/>
                <w:szCs w:val="15"/>
              </w:rPr>
              <w:t xml:space="preserve">FIX</w:t>
            </w:r>
          </w:p>
        </w:tc>
      </w:tr>
      <w:tr>
        <w:tc>
          <w:tcPr>
            <w:tcW w:type="dxa" w:w="26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"Q&amp;A;" appears three times</w:t>
            </w:r>
          </w:p>
        </w:tc>
        <w:tc>
          <w:tcPr>
            <w:tcW w:type="dxa" w:w="32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HTML entity double-escaped on the way into the PDF</w:t>
            </w:r>
          </w:p>
        </w:tc>
        <w:tc>
          <w:tcPr>
            <w:tcW w:type="dxa" w:w="35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Escape once, at the template boundary only.</w:t>
            </w:r>
          </w:p>
        </w:tc>
      </w:tr>
      <w:tr>
        <w:tc>
          <w:tcPr>
            <w:tcW w:type="dxa" w:w="26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"subject matter., authentic"</w:t>
            </w:r>
          </w:p>
        </w:tc>
        <w:tc>
          <w:tcPr>
            <w:tcW w:type="dxa" w:w="32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Sentence-joining strengths that already end in a period</w:t>
            </w:r>
          </w:p>
        </w:tc>
        <w:tc>
          <w:tcPr>
            <w:tcW w:type="dxa" w:w="35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Strip terminal punctuation before joining, or stop joining and render as a list.</w:t>
            </w:r>
          </w:p>
        </w:tc>
      </w:tr>
      <w:tr>
        <w:tc>
          <w:tcPr>
            <w:tcW w:type="dxa" w:w="26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"how do i actually keep track"</w:t>
            </w:r>
          </w:p>
        </w:tc>
        <w:tc>
          <w:tcPr>
            <w:tcW w:type="dxa" w:w="32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Lowercasing applied to a string containing a verbatim quote</w:t>
            </w:r>
          </w:p>
        </w:tc>
        <w:tc>
          <w:tcPr>
            <w:tcW w:type="dxa" w:w="35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Never case-transform text containing evidence. Case-transform labels only.</w:t>
            </w:r>
          </w:p>
        </w:tc>
      </w:tr>
      <w:tr>
        <w:tc>
          <w:tcPr>
            <w:tcW w:type="dxa" w:w="26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Third and second person mixed</w:t>
            </w:r>
          </w:p>
        </w:tc>
        <w:tc>
          <w:tcPr>
            <w:tcW w:type="dxa" w:w="32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No voice rule in the specialist prompts</w:t>
            </w:r>
          </w:p>
        </w:tc>
        <w:tc>
          <w:tcPr>
            <w:tcW w:type="dxa" w:w="35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Second person for all coaching content. Speaker identity lives in metadata.</w:t>
            </w:r>
          </w:p>
        </w:tc>
      </w:tr>
      <w:tr>
        <w:tc>
          <w:tcPr>
            <w:tcW w:type="dxa" w:w="26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Speaker name conflict</w:t>
            </w:r>
          </w:p>
        </w:tc>
        <w:tc>
          <w:tcPr>
            <w:tcW w:type="dxa" w:w="32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Account holder and detected speaker both rendered as the subject</w:t>
            </w:r>
          </w:p>
        </w:tc>
        <w:tc>
          <w:tcPr>
            <w:tcW w:type="dxa" w:w="35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Show both in the header, coach the account holder.</w:t>
            </w:r>
          </w:p>
        </w:tc>
      </w:tr>
      <w:tr>
        <w:tc>
          <w:tcPr>
            <w:tcW w:type="dxa" w:w="26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Inconsistent dashes</w:t>
            </w:r>
          </w:p>
        </w:tc>
        <w:tc>
          <w:tcPr>
            <w:tcW w:type="dxa" w:w="320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Agent output punctuation passed through unnormalized</w:t>
            </w:r>
          </w:p>
        </w:tc>
        <w:tc>
          <w:tcPr>
            <w:tcW w:type="dxa" w:w="3560"/>
            <w:tcMar>
              <w:top w:type="dxa" w:w="70"/>
              <w:left w:type="dxa" w:w="110"/>
              <w:bottom w:type="dxa" w:w="70"/>
              <w:right w:type="dxa" w:w="110"/>
            </w:tcMar>
          </w:tcPr>
          <w:p>
            <w:pPr>
              <w:spacing w:after="0" w:line="250"/>
            </w:pPr>
            <w:r>
              <w:rPr>
                <w:rFonts w:ascii="Georgia" w:cs="Georgia" w:eastAsia="Georgia" w:hAnsi="Georgia"/>
                <w:color w:val="15181C"/>
                <w:sz w:val="18"/>
                <w:szCs w:val="18"/>
              </w:rPr>
              <w:t xml:space="preserve">Normalize punctuation in the renderer, not the prompt.</w:t>
            </w:r>
          </w:p>
        </w:tc>
      </w:tr>
    </w:tbl>
    <w:p>
      <w:pPr>
        <w:keepNext/>
        <w:pBdr>
          <w:bottom w:val="single" w:color="133039" w:sz="12" w:space="6"/>
        </w:pBdr>
        <w:spacing w:after="60" w:before="380"/>
      </w:pPr>
      <w:r>
        <w:rPr>
          <w:rFonts w:ascii="Calibri" w:cs="Calibri" w:eastAsia="Calibri" w:hAnsi="Calibri"/>
          <w:b/>
          <w:bCs/>
          <w:color w:val="133039"/>
          <w:sz w:val="28"/>
          <w:szCs w:val="28"/>
        </w:rPr>
        <w:t xml:space="preserve">The short version</w:t>
      </w:r>
    </w:p>
    <w:p>
      <w:pPr>
        <w:spacing w:after="140" w:line="276"/>
      </w:pPr>
      <w:r>
        <w:rPr>
          <w:rFonts w:ascii="Georgia" w:cs="Georgia" w:eastAsia="Georgia" w:hAnsi="Georgia"/>
          <w:color w:val="15181C"/>
          <w:sz w:val="21"/>
          <w:szCs w:val="21"/>
        </w:rPr>
        <w:t xml:space="preserve">Delete the Overall Coaching Assessment rather than moving it. Put a real scorecard on page one and separate what you measured from what the model judged. Put the talk timeline across the top, because it is the one visual nobody else has and the data is already in your output. Give every dimension a verdict sentence, five findings maximum, and one rewrite of the speaker's own words. Give the agents a JSON schema so the renderer can make layout decisions. Stub the trend page now with an honest empty state and version-stamp every score so the trend line can be trusted later.</w:t>
      </w:r>
    </w:p>
    <w:p>
      <w:pPr>
        <w:spacing w:after="140" w:line="276"/>
      </w:pPr>
      <w:r>
        <w:rPr>
          <w:rFonts w:ascii="Georgia" w:cs="Georgia" w:eastAsia="Georgia" w:hAnsi="Georgia"/>
          <w:color w:val="15181C"/>
          <w:sz w:val="21"/>
          <w:szCs w:val="21"/>
        </w:rPr>
        <w:t xml:space="preserve">The report currently reads like seven very thorough interns handing in their notes at the same time. What you want is the one senior person who read all seven sets, worked out which three things actually matter, and can point at the exact second where each one went wrong. The agents are already good enough to be that person. The report just has to let them.</w:t>
      </w:r>
    </w:p>
    <w:sectPr>
      <w:pgSz w:w="12240" w:h="15840" w:orient="portrait"/>
      <w:pgMar w:top="1150" w:right="1440" w:bottom="11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8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2026-08-26T19:54:55.406Z</dcterms:created>
  <dcterms:modified xsi:type="dcterms:W3CDTF">2026-08-26T19:54:55.406Z</dcterms:modified>
</cp:coreProperties>
</file>

<file path=docProps/custom.xml><?xml version="1.0" encoding="utf-8"?>
<Properties xmlns="http://schemas.openxmlformats.org/officeDocument/2006/custom-properties" xmlns:vt="http://schemas.openxmlformats.org/officeDocument/2006/docPropsVTypes"/>
</file>