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
          <w:iCs/>
        </w:rPr>
        <w:t xml:space="preserve">The</w:t>
      </w:r>
      <w:r>
        <w:rPr>
          <w:i/>
          <w:iCs/>
        </w:rPr>
        <w:t xml:space="preserve"> </w:t>
      </w:r>
      <w:r>
        <w:rPr>
          <w:i/>
          <w:iCs/>
        </w:rPr>
        <w:t xml:space="preserve">Kangaroo</w:t>
      </w:r>
      <w:r>
        <w:rPr>
          <w:i/>
          <w:iCs/>
        </w:rPr>
        <w:t xml:space="preserve"> </w:t>
      </w:r>
      <w:r>
        <w:rPr>
          <w:i/>
          <w:iCs/>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1 Introduction</w:t>
      </w:r>
    </w:p>
    <w:p>
      <w:pPr>
        <w:pStyle w:val="FirstParagraph"/>
      </w:pPr>
      <w:r>
        <w:t xml:space="preserve">To occupy Australia, its European invaders had to name it. This was not merely a matter of naming places, though that of course was crucial. They also needed to name the things that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
          <w:iCs/>
        </w:rPr>
        <w:t xml:space="preserve">gin</w:t>
      </w:r>
      <w:r>
        <w:t xml:space="preserve"> </w:t>
      </w:r>
      <w:r>
        <w:t xml:space="preserve">and</w:t>
      </w:r>
      <w:r>
        <w:t xml:space="preserve"> </w:t>
      </w:r>
      <w:r>
        <w:rPr>
          <w:i/>
          <w:iCs/>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
          <w:iCs/>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
          <w:iCs/>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
          <w:iCs/>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
          <w:iCs/>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
          <w:iCs/>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tricky to precisely localise the poem’s Indigenous vocabulary.</w:t>
      </w:r>
    </w:p>
    <w:bookmarkStart w:id="27" w:name="cell-fig-map"/>
    <w:tbl>
      <w:tblPr>
        <w:tblStyle w:val="Table"/>
        <w:tblW w:type="pct" w:w="5000"/>
        <w:tblLayout w:type="fixed"/>
        <w:tblLook w:firstRow="0" w:lastRow="0" w:firstColumn="0" w:lastColumn="0" w:noHBand="0" w:noVBand="0" w:val="0000"/>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
          <w:iCs/>
        </w:rPr>
        <w:t xml:space="preserve">universalist</w:t>
      </w:r>
      <w:r>
        <w:t xml:space="preserve">, while Harpur is a</w:t>
      </w:r>
      <w:r>
        <w:t xml:space="preserve"> </w:t>
      </w:r>
      <w:r>
        <w:rPr>
          <w:i/>
          <w:iCs/>
        </w:rPr>
        <w:t xml:space="preserve">particularist</w:t>
      </w:r>
      <w:r>
        <w:t xml:space="preserve">. The second aim is to clarify the problem of</w:t>
      </w:r>
      <w:r>
        <w:t xml:space="preserve"> </w:t>
      </w:r>
      <w:r>
        <w:rPr>
          <w:i/>
          <w:iCs/>
        </w:rPr>
        <w:t xml:space="preserve">linguistic representation</w:t>
      </w:r>
      <w:r>
        <w:t xml:space="preserve">—or more verbosely, the</w:t>
      </w:r>
      <w:r>
        <w:t xml:space="preserve"> </w:t>
      </w:r>
      <w:r>
        <w:rPr>
          <w:i/>
          <w:iCs/>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I perform the comparison in sections</w:t>
      </w:r>
      <w:r>
        <w:t xml:space="preserve"> </w:t>
      </w:r>
      <w:hyperlink w:anchor="eliza-hamilton-dunlop-universalism">
        <w:r>
          <w:rPr>
            <w:rStyle w:val="Hyperlink"/>
          </w:rPr>
          <w:t xml:space="preserve">2</w:t>
        </w:r>
      </w:hyperlink>
      <w:r>
        <w:t xml:space="preserve"> </w:t>
      </w:r>
      <w:r>
        <w:t xml:space="preserve">and</w:t>
      </w:r>
      <w:r>
        <w:t xml:space="preserve"> </w:t>
      </w:r>
      <w:hyperlink w:anchor="charles-harpur-particularism">
        <w:r>
          <w:rPr>
            <w:rStyle w:val="Hyperlink"/>
          </w:rPr>
          <w:t xml:space="preserve">3</w:t>
        </w:r>
      </w:hyperlink>
      <w:r>
        <w:t xml:space="preserve">.</w:t>
      </w:r>
    </w:p>
    <w:p>
      <w:pPr>
        <w:pStyle w:val="BodyText"/>
      </w:pPr>
      <w:r>
        <w:t xml:space="preserve">Dunlop and Harpur also raise the broader question of how to represent a language. Both Harpur and Dunlop wish to represent Indigenous languages as</w:t>
      </w:r>
      <w:r>
        <w:t xml:space="preserve"> </w:t>
      </w:r>
      <w:r>
        <w:rPr>
          <w:i/>
          <w:iCs/>
        </w:rPr>
        <w:t xml:space="preserve">poetic</w:t>
      </w:r>
      <w:r>
        <w:t xml:space="preserve">, but they do so in different ways. Dunlop produces a</w:t>
      </w:r>
      <w:r>
        <w:t xml:space="preserve"> </w:t>
      </w:r>
      <w:r>
        <w:rPr>
          <w:i/>
          <w:iCs/>
        </w:rPr>
        <w:t xml:space="preserve">transcription</w:t>
      </w:r>
      <w:r>
        <w:t xml:space="preserve">,</w:t>
      </w:r>
      <w:r>
        <w:t xml:space="preserve"> </w:t>
      </w:r>
      <w:r>
        <w:rPr>
          <w:i/>
          <w:iCs/>
        </w:rPr>
        <w:t xml:space="preserve">translation</w:t>
      </w:r>
      <w:r>
        <w:t xml:space="preserve"> </w:t>
      </w:r>
      <w:r>
        <w:t xml:space="preserve">and</w:t>
      </w:r>
      <w:r>
        <w:t xml:space="preserve"> </w:t>
      </w:r>
      <w:r>
        <w:rPr>
          <w:i/>
          <w:iCs/>
        </w:rPr>
        <w:t xml:space="preserve">glossary</w:t>
      </w:r>
      <w:r>
        <w:t xml:space="preserve">; Harpur produces</w:t>
      </w:r>
      <w:r>
        <w:t xml:space="preserve"> </w:t>
      </w:r>
      <w:r>
        <w:rPr>
          <w:i/>
          <w:iCs/>
        </w:rPr>
        <w:t xml:space="preserve">words</w:t>
      </w:r>
      <w:r>
        <w:t xml:space="preserve"> </w:t>
      </w:r>
      <w:r>
        <w:t xml:space="preserve">and</w:t>
      </w:r>
      <w:r>
        <w:t xml:space="preserve"> </w:t>
      </w:r>
      <w:r>
        <w:rPr>
          <w:i/>
          <w:iCs/>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w:t>
      </w:r>
      <w:r>
        <w:t xml:space="preserve"> </w:t>
      </w:r>
      <w:r>
        <w:rPr>
          <w:i/>
          <w:iCs/>
        </w:rPr>
        <w:t xml:space="preserve">syntactic</w:t>
      </w:r>
      <w:r>
        <w:t xml:space="preserve"> </w:t>
      </w:r>
      <w:r>
        <w:t xml:space="preserve">and</w:t>
      </w:r>
      <w:r>
        <w:t xml:space="preserve"> </w:t>
      </w:r>
      <w:r>
        <w:rPr>
          <w:i/>
          <w:iCs/>
        </w:rPr>
        <w:t xml:space="preserve">literary.</w:t>
      </w:r>
      <w:r>
        <w:t xml:space="preserve"> </w:t>
      </w:r>
      <w:r>
        <w:t xml:space="preserve">Harpur presents the various languages of his poem, namely Darkinyung, Gamilaraay and HRLM, as</w:t>
      </w:r>
      <w:r>
        <w:t xml:space="preserve"> </w:t>
      </w:r>
      <w:r>
        <w:rPr>
          <w:i/>
          <w:iCs/>
        </w:rPr>
        <w:t xml:space="preserve">verbal</w:t>
      </w:r>
      <w:r>
        <w:t xml:space="preserve"> </w:t>
      </w:r>
      <w:r>
        <w:t xml:space="preserve">and</w:t>
      </w:r>
      <w:r>
        <w:t xml:space="preserve"> </w:t>
      </w:r>
      <w:r>
        <w:rPr>
          <w:i/>
          <w:iCs/>
        </w:rPr>
        <w:t xml:space="preserve">oral</w:t>
      </w:r>
      <w:r>
        <w:t xml:space="preserve">. Despite these differences, Dunlop and Harpur draw on a similar stock of ideas about human language, rooted in the empiricist linguistics that then reigned in the English-speaking world. I demonstrate this shared background in</w:t>
      </w:r>
      <w:r>
        <w:t xml:space="preserve"> </w:t>
      </w:r>
      <w:hyperlink w:anchor="X2ad4013f8d59cdfb5205cf3a8980235ff25b3cf">
        <w:r>
          <w:rPr>
            <w:rStyle w:val="Hyperlink"/>
          </w:rPr>
          <w:t xml:space="preserve">section 4</w:t>
        </w:r>
      </w:hyperlink>
      <w:r>
        <w:t xml:space="preserve">.</w:t>
      </w:r>
    </w:p>
    <w:bookmarkEnd w:id="28"/>
    <w:bookmarkStart w:id="34" w:name="eliza-hamilton-dunlop-universalism"/>
    <w:p>
      <w:pPr>
        <w:pStyle w:val="Heading2"/>
      </w:pPr>
      <w:r>
        <w:t xml:space="preserve">2 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
          <w:iCs/>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
          <w:iCs/>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
          <w:iCs/>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
          <w:iCs/>
        </w:rPr>
        <w:t xml:space="preserve">text</w:t>
      </w:r>
      <w:r>
        <w:t xml:space="preserve">, but rather a</w:t>
      </w:r>
      <w:r>
        <w:t xml:space="preserve"> </w:t>
      </w:r>
      <w:r>
        <w:rPr>
          <w:i/>
          <w:iCs/>
        </w:rPr>
        <w:t xml:space="preserve">corpus</w:t>
      </w:r>
      <w:r>
        <w:t xml:space="preserve"> </w:t>
      </w:r>
      <w:r>
        <w:t xml:space="preserve">of Awabakal verse. She provides the reader a sample of Wulatji’s poetry, and shapes it into a single translation for readerly consumption—for the</w:t>
      </w:r>
      <w:r>
        <w:t xml:space="preserve"> </w:t>
      </w:r>
      <w:r>
        <w:rPr>
          <w:i/>
          <w:iCs/>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tbl-dunlop-lang">
        <w:r>
          <w:rPr>
            <w:rStyle w:val="Hyperlink"/>
          </w:rPr>
          <w:t xml:space="preserve">Table 1</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tbl>
      <w:tblPr>
        <w:tblStyle w:val="Table"/>
        <w:tblW w:type="pct" w:w="5000"/>
        <w:tblLayout w:type="fixed"/>
        <w:tblLook w:firstRow="0" w:lastRow="0" w:firstColumn="0" w:lastColumn="0" w:noHBand="0" w:noVBand="0" w:val="0000"/>
      </w:tblPr>
      <w:tblGrid>
        <w:gridCol w:w="7920"/>
      </w:tblGrid>
      <w:tr>
        <w:tc>
          <w:tcPr/>
          <w:bookmarkStart w:id="32" w:name="tbl-dunlop-lang"/>
          <w:p>
            <w:pPr>
              <w:jc w:val="center"/>
            </w:pPr>
            <w:pPr>
              <w:jc w:val="start"/>
              <w:spacing w:before="200"/>
              <w:pStyle w:val="ImageCaption"/>
            </w:pPr>
            <w:r>
              <w:t xml:space="preserve">Table 1: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tbl>
            <w:tblPr>
              <w:tblStyle w:val="Table"/>
              <w:tblW w:type="pct" w:w="5000"/>
              <w:tblLayout w:type="fixed"/>
              <w:tblLook w:firstRow="1" w:lastRow="0" w:firstColumn="0" w:lastColumn="0" w:noHBand="0" w:noVBand="0" w:val="0020"/>
            </w:tblPr>
            <w:tblGrid>
              <w:gridCol w:w="762"/>
              <w:gridCol w:w="544"/>
              <w:gridCol w:w="726"/>
              <w:gridCol w:w="2652"/>
              <w:gridCol w:w="3233"/>
            </w:tblGrid>
            <w:tr>
              <w:trPr>
                <w:tblHeader w:val="on"/>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
                      <w:iCs/>
                    </w:rPr>
                    <w:t xml:space="preserve">camp, camp fire; also town</w:t>
                  </w:r>
                </w:p>
              </w:tc>
              <w:tc>
                <w:tcPr/>
                <w:p>
                  <w:pPr>
                    <w:pStyle w:val="Compact"/>
                    <w:jc w:val="left"/>
                    <w:jc w:val="center"/>
                  </w:pPr>
                  <w:r>
                    <w:t xml:space="preserve">giba</w:t>
                  </w:r>
                  <w:r>
                    <w:t xml:space="preserve"> </w:t>
                  </w:r>
                  <w:r>
                    <w:rPr>
                      <w:i/>
                      <w:iCs/>
                    </w:rPr>
                    <w:t xml:space="preserve">stone or rock</w:t>
                  </w:r>
                  <w:r>
                    <w:t xml:space="preserve">, gunya</w:t>
                  </w:r>
                  <w:r>
                    <w:t xml:space="preserve"> </w:t>
                  </w:r>
                  <w:r>
                    <w:rPr>
                      <w:i/>
                      <w:iCs/>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
                      <w:iCs/>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
                      <w:iCs/>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
                      <w:iCs/>
                    </w:rPr>
                    <w:t xml:space="preserve">Wonga pigeon</w:t>
                  </w:r>
                  <w:r>
                    <w:t xml:space="preserve"> </w:t>
                  </w:r>
                  <w:r>
                    <w:t xml:space="preserve">(Sydney); wangawanga</w:t>
                  </w:r>
                  <w:r>
                    <w:t xml:space="preserve"> </w:t>
                  </w:r>
                  <w:r>
                    <w:rPr>
                      <w:i/>
                      <w:iCs/>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
                      <w:iCs/>
                    </w:rPr>
                    <w:t xml:space="preserve">wallaby</w:t>
                  </w:r>
                  <w:r>
                    <w:t xml:space="preserve">; paNTarr</w:t>
                  </w:r>
                  <w:r>
                    <w:t xml:space="preserve"> </w:t>
                  </w:r>
                  <w:r>
                    <w:rPr>
                      <w:i/>
                      <w:iCs/>
                    </w:rPr>
                    <w:t xml:space="preserve">kangaroo</w:t>
                  </w:r>
                </w:p>
              </w:tc>
              <w:tc>
                <w:tcPr/>
                <w:p>
                  <w:pPr>
                    <w:pStyle w:val="Compact"/>
                    <w:jc w:val="left"/>
                    <w:jc w:val="center"/>
                  </w:pPr>
                  <w:r>
                    <w:t xml:space="preserve">wulaba</w:t>
                  </w:r>
                  <w:r>
                    <w:t xml:space="preserve"> </w:t>
                  </w:r>
                  <w:r>
                    <w:rPr>
                      <w:i/>
                      <w:iCs/>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
                      <w:iCs/>
                    </w:rPr>
                    <w:t xml:space="preserve">fish</w:t>
                  </w:r>
                </w:p>
              </w:tc>
              <w:tc>
                <w:tcPr/>
                <w:p>
                  <w:pPr>
                    <w:pStyle w:val="Compact"/>
                    <w:jc w:val="left"/>
                    <w:jc w:val="center"/>
                  </w:pPr>
                  <w:r>
                    <w:t xml:space="preserve">magura</w:t>
                  </w:r>
                  <w:r>
                    <w:t xml:space="preserve"> </w:t>
                  </w:r>
                  <w:r>
                    <w:rPr>
                      <w:i/>
                      <w:iCs/>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
                      <w:iCs/>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
                      <w:iCs/>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
                      <w:iCs/>
                    </w:rPr>
                    <w:t xml:space="preserve">young maiden, woman, girl</w:t>
                  </w:r>
                </w:p>
              </w:tc>
              <w:tc>
                <w:tcPr/>
                <w:p>
                  <w:pPr>
                    <w:pStyle w:val="Compact"/>
                    <w:jc w:val="left"/>
                    <w:jc w:val="center"/>
                  </w:pPr>
                  <w:r>
                    <w:t xml:space="preserve">[The etymology of</w:t>
                  </w:r>
                  <w:r>
                    <w:t xml:space="preserve"> </w:t>
                  </w:r>
                  <w:r>
                    <w:rPr>
                      <w:i/>
                      <w:iCs/>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
                      <w:iCs/>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
                      <w:iCs/>
                    </w:rPr>
                    <w:t xml:space="preserve">vessel made from the knots of trees and used as baskets or bowls</w:t>
                  </w:r>
                </w:p>
              </w:tc>
              <w:tc>
                <w:tcPr/>
                <w:p>
                  <w:pPr>
                    <w:pStyle w:val="Compact"/>
                    <w:jc w:val="left"/>
                    <w:jc w:val="center"/>
                  </w:pPr>
                  <w:r>
                    <w:t xml:space="preserve">guliman</w:t>
                  </w:r>
                  <w:r>
                    <w:t xml:space="preserve"> </w:t>
                  </w:r>
                  <w:r>
                    <w:rPr>
                      <w:i/>
                      <w:iCs/>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
                      <w:iCs/>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
                      <w:iCs/>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
                      <w:iCs/>
                    </w:rPr>
                    <w:t xml:space="preserve">place of swamp-oaks</w:t>
                  </w:r>
                </w:p>
              </w:tc>
              <w:tc>
                <w:tcPr/>
                <w:p>
                  <w:pPr>
                    <w:pStyle w:val="Compact"/>
                  </w:pPr>
                </w:p>
              </w:tc>
            </w:tr>
          </w:tbl>
          <w:bookmarkEnd w:id="32"/>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
          <w:iCs/>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w:t>
      </w:r>
      <w:r>
        <w:t xml:space="preserve"> </w:t>
      </w:r>
      <w:r>
        <w:rPr>
          <w:i/>
          <w:iCs/>
        </w:rPr>
        <w:t xml:space="preserve">ababcc</w:t>
      </w:r>
      <w:r>
        <w:t xml:space="preserve"> </w:t>
      </w:r>
      <w:r>
        <w:t xml:space="preserve">scheme of Shakespeare’s</w:t>
      </w:r>
      <w:r>
        <w:t xml:space="preserve"> </w:t>
      </w:r>
      <w:r>
        <w:rPr>
          <w:i/>
          <w:iCs/>
        </w:rPr>
        <w:t xml:space="preserve">Venus and Adonis</w:t>
      </w:r>
      <w:r>
        <w:t xml:space="preserve"> </w:t>
      </w:r>
      <w:r>
        <w:t xml:space="preserve">(1593).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
          <w:iCs/>
        </w:rPr>
        <w:t xml:space="preserve">Reliques of Ancient English Poetry</w:t>
      </w:r>
      <w:r>
        <w:t xml:space="preserve"> </w:t>
      </w:r>
      <w:r>
        <w:t xml:space="preserve">(1765) or Walter Scott’s</w:t>
      </w:r>
      <w:r>
        <w:t xml:space="preserve"> </w:t>
      </w:r>
      <w:r>
        <w:rPr>
          <w:i/>
          <w:iCs/>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
          <w:iCs/>
        </w:rPr>
        <w:t xml:space="preserve">syntactic</w:t>
      </w:r>
      <w:r>
        <w:t xml:space="preserve"> </w:t>
      </w:r>
      <w:r>
        <w:t xml:space="preserve">and</w:t>
      </w:r>
      <w:r>
        <w:t xml:space="preserve"> </w:t>
      </w:r>
      <w:r>
        <w:rPr>
          <w:i/>
          <w:iCs/>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3"/>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4"/>
    <w:bookmarkStart w:id="39" w:name="charles-harpur-particularism"/>
    <w:p>
      <w:pPr>
        <w:pStyle w:val="Heading2"/>
      </w:pPr>
      <w:r>
        <w:t xml:space="preserve">3 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
          <w:iCs/>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
          <w:iCs/>
        </w:rPr>
        <w:t xml:space="preserve">oral</w:t>
      </w:r>
      <w:r>
        <w:t xml:space="preserve"> </w:t>
      </w:r>
      <w:r>
        <w:t xml:space="preserve">and</w:t>
      </w:r>
      <w:r>
        <w:t xml:space="preserve"> </w:t>
      </w:r>
      <w:r>
        <w:rPr>
          <w:i/>
          <w:iCs/>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tbl-harpur-lang">
        <w:r>
          <w:rPr>
            <w:rStyle w:val="Hyperlink"/>
          </w:rPr>
          <w:t xml:space="preserve">Table 2</w:t>
        </w:r>
      </w:hyperlink>
      <w:r>
        <w:t xml:space="preserve">).</w:t>
      </w:r>
      <w:r>
        <w:rPr>
          <w:rStyle w:val="FootnoteReference"/>
        </w:rPr>
        <w:footnoteReference w:id="35"/>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
          <w:iCs/>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
          <w:iCs/>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tbl>
      <w:tblPr>
        <w:tblStyle w:val="Table"/>
        <w:tblW w:type="pct" w:w="5000"/>
        <w:tblLayout w:type="fixed"/>
        <w:tblLook w:firstRow="0" w:lastRow="0" w:firstColumn="0" w:lastColumn="0" w:noHBand="0" w:noVBand="0" w:val="0000"/>
      </w:tblPr>
      <w:tblGrid>
        <w:gridCol w:w="7920"/>
      </w:tblGrid>
      <w:tr>
        <w:tc>
          <w:tcPr/>
          <w:bookmarkStart w:id="36" w:name="tbl-harpur-lang"/>
          <w:p>
            <w:pPr>
              <w:jc w:val="center"/>
            </w:pPr>
            <w:pPr>
              <w:jc w:val="start"/>
              <w:spacing w:before="200"/>
              <w:pStyle w:val="ImageCaption"/>
            </w:pPr>
            <w:r>
              <w:t xml:space="preserve">Table 2: Indigenous Vocabulary in</w:t>
            </w:r>
            <w:r>
              <w:t xml:space="preserve"> </w:t>
            </w:r>
            <w:r>
              <w:rPr>
                <w:i/>
                <w:iCs/>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tbl>
            <w:tblPr>
              <w:tblStyle w:val="Table"/>
              <w:tblW w:type="pct" w:w="5000"/>
              <w:tblLayout w:type="fixed"/>
              <w:tblLook w:firstRow="1" w:lastRow="0" w:firstColumn="0" w:lastColumn="0" w:noHBand="0" w:noVBand="0" w:val="0020"/>
            </w:tblPr>
            <w:tblGrid>
              <w:gridCol w:w="379"/>
              <w:gridCol w:w="3254"/>
              <w:gridCol w:w="705"/>
              <w:gridCol w:w="759"/>
              <w:gridCol w:w="1139"/>
              <w:gridCol w:w="515"/>
              <w:gridCol w:w="1166"/>
            </w:tblGrid>
            <w:tr>
              <w:trPr>
                <w:tblHeader w:val="on"/>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
                      <w:bCs/>
                    </w:rPr>
                    <w:t xml:space="preserve">gindang</w:t>
                  </w:r>
                </w:p>
              </w:tc>
              <w:tc>
                <w:tcPr/>
                <w:p>
                  <w:pPr>
                    <w:pStyle w:val="Compact"/>
                    <w:jc w:val="left"/>
                    <w:jc w:val="center"/>
                  </w:pPr>
                  <w:r>
                    <w:t xml:space="preserve">wilay</w:t>
                  </w:r>
                  <w:r>
                    <w:t xml:space="preserve"> </w:t>
                  </w:r>
                  <w:r>
                    <w:rPr>
                      <w:i/>
                      <w:iCs/>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
                      <w:bCs/>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
                      <w:iCs/>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
                      <w:iCs/>
                    </w:rPr>
                    <w:t xml:space="preserve">dog, wild dog</w:t>
                  </w:r>
                </w:p>
              </w:tc>
              <w:tc>
                <w:tcPr/>
                <w:p>
                  <w:pPr>
                    <w:pStyle w:val="Compact"/>
                    <w:jc w:val="left"/>
                    <w:jc w:val="center"/>
                  </w:pPr>
                  <w:r>
                    <w:rPr>
                      <w:b/>
                      <w:bCs/>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
                      <w:bCs/>
                    </w:rPr>
                    <w:t xml:space="preserve">wagarala</w:t>
                  </w:r>
                  <w:r>
                    <w:t xml:space="preserve"> </w:t>
                  </w:r>
                  <w:r>
                    <w:rPr>
                      <w:i/>
                      <w:iCs/>
                    </w:rPr>
                    <w:t xml:space="preserve">parrot</w:t>
                  </w:r>
                </w:p>
              </w:tc>
              <w:tc>
                <w:tcPr/>
                <w:p>
                  <w:pPr>
                    <w:pStyle w:val="Compact"/>
                    <w:jc w:val="left"/>
                    <w:jc w:val="center"/>
                  </w:pPr>
                  <w:r>
                    <w:t xml:space="preserve">wakalarr ~ wakilarr</w:t>
                  </w:r>
                  <w:r>
                    <w:t xml:space="preserve"> </w:t>
                  </w:r>
                  <w:r>
                    <w:rPr>
                      <w:i/>
                      <w:iCs/>
                    </w:rPr>
                    <w:t xml:space="preserve">red parrot; rosella</w:t>
                  </w:r>
                </w:p>
              </w:tc>
              <w:tc>
                <w:tcPr/>
                <w:p>
                  <w:pPr>
                    <w:pStyle w:val="Compact"/>
                  </w:pPr>
                </w:p>
              </w:tc>
              <w:tc>
                <w:tcPr/>
                <w:p>
                  <w:pPr>
                    <w:pStyle w:val="Compact"/>
                    <w:jc w:val="left"/>
                    <w:jc w:val="center"/>
                  </w:pPr>
                  <w:r>
                    <w:t xml:space="preserve">wiragala</w:t>
                  </w:r>
                  <w:r>
                    <w:t xml:space="preserve"> </w:t>
                  </w:r>
                  <w:r>
                    <w:rPr>
                      <w:i/>
                      <w:iCs/>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
                      <w:bCs/>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
                      <w:bCs/>
                    </w:rPr>
                    <w:t xml:space="preserve">maru</w:t>
                  </w:r>
                  <w:r>
                    <w:t xml:space="preserve"> </w:t>
                  </w:r>
                  <w:r>
                    <w:rPr>
                      <w:i/>
                      <w:iCs/>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
                      <w:bCs/>
                    </w:rPr>
                    <w:t xml:space="preserve">walaru</w:t>
                  </w:r>
                  <w:r>
                    <w:t xml:space="preserve"> </w:t>
                  </w:r>
                  <w:r>
                    <w:rPr>
                      <w:i/>
                      <w:iCs/>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
                      <w:bCs/>
                    </w:rPr>
                    <w:t xml:space="preserve">dhimba</w:t>
                  </w:r>
                  <w:r>
                    <w:t xml:space="preserve"> </w:t>
                  </w:r>
                  <w:r>
                    <w:rPr>
                      <w:i/>
                      <w:iCs/>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
                      <w:bCs/>
                    </w:rPr>
                    <w:t xml:space="preserve">wirayn</w:t>
                  </w:r>
                </w:p>
              </w:tc>
              <w:tc>
                <w:tcPr/>
                <w:p>
                  <w:pPr>
                    <w:pStyle w:val="Compact"/>
                    <w:jc w:val="left"/>
                    <w:jc w:val="center"/>
                  </w:pPr>
                  <w:r>
                    <w:t xml:space="preserve">wayiring</w:t>
                  </w:r>
                  <w:r>
                    <w:t xml:space="preserve"> </w:t>
                  </w:r>
                  <w:r>
                    <w:rPr>
                      <w:i/>
                      <w:iCs/>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bookmarkEnd w:id="36"/>
          <w:p/>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
          <w:iCs/>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and Jerrys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tbl-harpur-lang">
        <w:r>
          <w:rPr>
            <w:rStyle w:val="Hyperlink"/>
          </w:rPr>
          <w:t xml:space="preserve">Table 2</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
          <w:iCs/>
        </w:rPr>
        <w:t xml:space="preserve">jumbuck</w:t>
      </w:r>
      <w:r>
        <w:t xml:space="preserve"> </w:t>
      </w:r>
      <w:r>
        <w:t xml:space="preserve">is cherished by settler Australians as a slang word for sheep, immortalised in the popular song</w:t>
      </w:r>
      <w:r>
        <w:t xml:space="preserve"> </w:t>
      </w:r>
      <w:r>
        <w:rPr>
          <w:i/>
          <w:iCs/>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
          <w:iCs/>
        </w:rPr>
        <w:t xml:space="preserve">jump</w:t>
      </w:r>
      <w:r>
        <w:t xml:space="preserve">, or perhaps from the Gamilaraay word</w:t>
      </w:r>
      <w:r>
        <w:t xml:space="preserve"> </w:t>
      </w:r>
      <w:r>
        <w:rPr>
          <w:i/>
          <w:iCs/>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
          <w:iCs/>
        </w:rPr>
        <w:t xml:space="preserve">jumbuck</w:t>
      </w:r>
      <w:r>
        <w:t xml:space="preserve"> </w:t>
      </w:r>
      <w:r>
        <w:t xml:space="preserve">derives from Gamilaraay</w:t>
      </w:r>
      <w:r>
        <w:t xml:space="preserve"> </w:t>
      </w:r>
      <w:r>
        <w:rPr>
          <w:i/>
          <w:iCs/>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
          <w:iCs/>
        </w:rPr>
        <w:t xml:space="preserve">Petrogale penicillata</w:t>
      </w:r>
      <w:r>
        <w:t xml:space="preserve">). The compilers of the modern</w:t>
      </w:r>
      <w:r>
        <w:t xml:space="preserve"> </w:t>
      </w:r>
      <w:r>
        <w:rPr>
          <w:i/>
          <w:iCs/>
        </w:rPr>
        <w:t xml:space="preserve">Gamilaraay-Yuwalaraay-Yuwaalayaay</w:t>
      </w:r>
      <w:r>
        <w:t xml:space="preserve"> </w:t>
      </w:r>
      <w:r>
        <w:t xml:space="preserve">dictionary were unable to find a word specifically for the brush-tailed-rock wallaby, and record the word</w:t>
      </w:r>
      <w:r>
        <w:t xml:space="preserve"> </w:t>
      </w:r>
      <w:r>
        <w:rPr>
          <w:i/>
          <w:iCs/>
        </w:rPr>
        <w:t xml:space="preserve">dhimba</w:t>
      </w:r>
      <w:r>
        <w:t xml:space="preserve"> </w:t>
      </w:r>
      <w:r>
        <w:t xml:space="preserve">solely in its meaning of</w:t>
      </w:r>
      <w:r>
        <w:t xml:space="preserve"> </w:t>
      </w:r>
      <w:r>
        <w:rPr>
          <w:i/>
          <w:iCs/>
        </w:rPr>
        <w:t xml:space="preserve">sheep</w:t>
      </w:r>
      <w:r>
        <w:t xml:space="preserve"> </w:t>
      </w:r>
      <w:r>
        <w:t xml:space="preserve">(Lissarrague, Ash, and Giacon 2003, 62)</w:t>
      </w:r>
      <w:r>
        <w:t xml:space="preserve">. If we can trust Harpur’s testimony on this point, then the old riddle of</w:t>
      </w:r>
      <w:r>
        <w:t xml:space="preserve"> </w:t>
      </w:r>
      <w:r>
        <w:rPr>
          <w:i/>
          <w:iCs/>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
          <w:iCs/>
        </w:rPr>
        <w:t xml:space="preserve">dilbanyi</w:t>
      </w:r>
      <w:r>
        <w:t xml:space="preserve">, a word in the Sydney Language, could be a possible source. Gamilaraay</w:t>
      </w:r>
      <w:r>
        <w:t xml:space="preserve"> </w:t>
      </w:r>
      <w:r>
        <w:rPr>
          <w:i/>
          <w:iCs/>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
          <w:iCs/>
        </w:rPr>
        <w:t xml:space="preserve">facts</w:t>
      </w:r>
      <w:r>
        <w:t xml:space="preserve"> </w:t>
      </w:r>
      <w:r>
        <w:t xml:space="preserve">of the case are murky, the</w:t>
      </w:r>
      <w:r>
        <w:t xml:space="preserve"> </w:t>
      </w:r>
      <w:r>
        <w:rPr>
          <w:i/>
          <w:iCs/>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
          <w:iCs/>
        </w:rPr>
        <w:t xml:space="preserve">g</w:t>
      </w:r>
      <w:r>
        <w:t xml:space="preserve">:</w:t>
      </w:r>
      <w:r>
        <w:t xml:space="preserve"> </w:t>
      </w:r>
      <w:r>
        <w:t xml:space="preserve">“</w:t>
      </w:r>
      <w:r>
        <w:t xml:space="preserve">I say</w:t>
      </w:r>
      <w:r>
        <w:t xml:space="preserve"> </w:t>
      </w:r>
      <w:r>
        <w:rPr>
          <w:i/>
          <w:iCs/>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
          <w:iCs/>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7"/>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38"/>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
          <w:iCs/>
        </w:rPr>
        <w:t xml:space="preserve">The Kangaroo Hunt</w:t>
      </w:r>
      <w:r>
        <w:t xml:space="preserve">, Harpur claims that Indigenous people have properly seen the world, and found the ideal word to communicate what they have seen</w:t>
      </w:r>
      <w:r>
        <w:t xml:space="preserve"> </w:t>
      </w:r>
      <w:r>
        <w:t xml:space="preserve">(Webby 2013, 5)</w:t>
      </w:r>
      <w:r>
        <w:t xml:space="preserve">.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
          <w:iCs/>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 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
          <w:iCs/>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
          <w:iCs/>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
          <w:iCs/>
        </w:rPr>
        <w:t xml:space="preserve">verbal</w:t>
      </w:r>
      <w:r>
        <w:t xml:space="preserve"> </w:t>
      </w:r>
      <w:r>
        <w:t xml:space="preserve">and</w:t>
      </w:r>
      <w:r>
        <w:t xml:space="preserve"> </w:t>
      </w:r>
      <w:r>
        <w:rPr>
          <w:i/>
          <w:iCs/>
        </w:rPr>
        <w:t xml:space="preserve">oral</w:t>
      </w:r>
      <w:r>
        <w:t xml:space="preserve">—he sees language as a collection of</w:t>
      </w:r>
      <w:r>
        <w:t xml:space="preserve"> </w:t>
      </w:r>
      <w:r>
        <w:rPr>
          <w:i/>
          <w:iCs/>
        </w:rPr>
        <w:t xml:space="preserve">words</w:t>
      </w:r>
      <w:r>
        <w:t xml:space="preserve"> </w:t>
      </w:r>
      <w:r>
        <w:t xml:space="preserve">that are</w:t>
      </w:r>
      <w:r>
        <w:t xml:space="preserve"> </w:t>
      </w:r>
      <w:r>
        <w:rPr>
          <w:i/>
          <w:iCs/>
        </w:rPr>
        <w:t xml:space="preserve">spoken</w:t>
      </w:r>
      <w:r>
        <w:t xml:space="preserve"> </w:t>
      </w:r>
      <w:r>
        <w:t xml:space="preserve">to denote particular things.</w:t>
      </w:r>
    </w:p>
    <w:bookmarkEnd w:id="39"/>
    <w:bookmarkStart w:id="42" w:name="X2ad4013f8d59cdfb5205cf3a8980235ff25b3cf"/>
    <w:p>
      <w:pPr>
        <w:pStyle w:val="Heading2"/>
      </w:pPr>
      <w:r>
        <w:t xml:space="preserve">4 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It was simply obvious to Harpur and Dunlop that words don’t belong to anybody. Why not? In this section, I sketch the linguistic philosphy that justified their attitudes.</w:t>
      </w:r>
    </w:p>
    <w:p>
      <w:pPr>
        <w:pStyle w:val="BodyText"/>
      </w:pPr>
      <w:r>
        <w:t xml:space="preserve">In Harpur and Dunlop’s time, the empiricist philosophy of language predominated in the English-speaking world. Dunlop was well-versed in British empiricism, having read David Hume by the age of 12</w:t>
      </w:r>
      <w:r>
        <w:t xml:space="preserve"> </w:t>
      </w:r>
      <w:r>
        <w:t xml:space="preserve">(Hansord 2021, 76)</w:t>
      </w:r>
      <w:r>
        <w:t xml:space="preserve">. Harpur’s education is not well attested, but he was a close reader of Percy Shelley, whose debts to radical empiricism are well known.</w:t>
      </w:r>
    </w:p>
    <w:p>
      <w:pPr>
        <w:pStyle w:val="BodyText"/>
      </w:pPr>
      <w:r>
        <w:t xml:space="preserve">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w:t>
      </w:r>
      <w:r>
        <w:t xml:space="preserve"> </w:t>
      </w:r>
      <w:r>
        <w:t xml:space="preserve">(Bergheaud 1985, 159)</w:t>
      </w:r>
      <w:r>
        <w:t xml:space="preser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
          <w:iCs/>
        </w:rPr>
        <w:t xml:space="preserve">red</w:t>
      </w:r>
      <w:r>
        <w:t xml:space="preserve">,</w:t>
      </w:r>
      <w:r>
        <w:t xml:space="preserve"> </w:t>
      </w:r>
      <w:r>
        <w:rPr>
          <w:i/>
          <w:iCs/>
        </w:rPr>
        <w:t xml:space="preserve">wood</w:t>
      </w:r>
      <w:r>
        <w:t xml:space="preserve"> </w:t>
      </w:r>
      <w:r>
        <w:t xml:space="preserve">or</w:t>
      </w:r>
      <w:r>
        <w:t xml:space="preserve"> </w:t>
      </w:r>
      <w:r>
        <w:rPr>
          <w:i/>
          <w:iCs/>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
          <w:iCs/>
        </w:rPr>
        <w:t xml:space="preserve">government</w:t>
      </w:r>
      <w:r>
        <w:t xml:space="preserve"> </w:t>
      </w:r>
      <w:r>
        <w:t xml:space="preserve">or</w:t>
      </w:r>
      <w:r>
        <w:t xml:space="preserve"> </w:t>
      </w:r>
      <w:r>
        <w:rPr>
          <w:i/>
          <w:iCs/>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
          <w:iCs/>
        </w:rPr>
        <w:t xml:space="preserve">hard</w:t>
      </w:r>
      <w:r>
        <w:t xml:space="preserve"> </w:t>
      </w:r>
      <w:r>
        <w:t xml:space="preserve">or</w:t>
      </w:r>
      <w:r>
        <w:t xml:space="preserve"> </w:t>
      </w:r>
      <w:r>
        <w:rPr>
          <w:i/>
          <w:iCs/>
        </w:rPr>
        <w:t xml:space="preserve">round</w:t>
      </w:r>
      <w:r>
        <w:t xml:space="preserve">. But when we use abstract words such as</w:t>
      </w:r>
      <w:r>
        <w:t xml:space="preserve"> </w:t>
      </w:r>
      <w:r>
        <w:rPr>
          <w:i/>
          <w:iCs/>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
          <w:iCs/>
        </w:rPr>
        <w:t xml:space="preserve">signs</w:t>
      </w:r>
      <w:r>
        <w:t xml:space="preserve"> </w:t>
      </w:r>
      <w:r>
        <w:t xml:space="preserve">of</w:t>
      </w:r>
      <w:r>
        <w:t xml:space="preserve"> </w:t>
      </w:r>
      <w:r>
        <w:rPr>
          <w:i/>
          <w:iCs/>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
          <w:iCs/>
        </w:rPr>
        <w:t xml:space="preserve">an</w:t>
      </w:r>
      <w:r>
        <w:t xml:space="preserve"> </w:t>
      </w:r>
      <w:r>
        <w:t xml:space="preserve">or touch</w:t>
      </w:r>
      <w:r>
        <w:t xml:space="preserve"> </w:t>
      </w:r>
      <w:r>
        <w:rPr>
          <w:i/>
          <w:iCs/>
        </w:rPr>
        <w:t xml:space="preserve">of</w:t>
      </w:r>
      <w:r>
        <w:t xml:space="preserve">. To save the empiricist theory of language, he attempts to prove that words such as</w:t>
      </w:r>
      <w:r>
        <w:t xml:space="preserve"> </w:t>
      </w:r>
      <w:r>
        <w:rPr>
          <w:i/>
          <w:iCs/>
        </w:rPr>
        <w:t xml:space="preserve">an</w:t>
      </w:r>
      <w:r>
        <w:t xml:space="preserve"> </w:t>
      </w:r>
      <w:r>
        <w:t xml:space="preserve">or</w:t>
      </w:r>
      <w:r>
        <w:t xml:space="preserve"> </w:t>
      </w:r>
      <w:r>
        <w:rPr>
          <w:i/>
          <w:iCs/>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
          <w:iCs/>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Tooke’s ideas were later promulgated by the utilitarians, who in turn influenced the young Tennyson and Browning</w:t>
      </w:r>
      <w:r>
        <w:t xml:space="preserve"> </w:t>
      </w:r>
      <w:r>
        <w:t xml:space="preserve">(Cooper 2006, 642–43)</w:t>
      </w:r>
      <w:r>
        <w:t xml:space="preserve">. In his posthumous writings on language, Jeremy</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
          <w:iCs/>
        </w:rPr>
        <w:t xml:space="preserve">The Tower of the Dream</w:t>
      </w:r>
      <w:r>
        <w:t xml:space="preserve"> </w:t>
      </w:r>
      <w:r>
        <w:t xml:space="preserve">(1851-53, h642a) and</w:t>
      </w:r>
      <w:r>
        <w:t xml:space="preserve"> </w:t>
      </w:r>
      <w:r>
        <w:rPr>
          <w:i/>
          <w:iCs/>
        </w:rPr>
        <w:t xml:space="preserve">Cosmoplasticus</w:t>
      </w:r>
      <w:r>
        <w:t xml:space="preserve"> </w:t>
      </w:r>
      <w:r>
        <w:t xml:space="preserve">(1857, h696c). In the major work of his maturity,</w:t>
      </w:r>
      <w:r>
        <w:t xml:space="preserve"> </w:t>
      </w:r>
      <w:r>
        <w:rPr>
          <w:i/>
          <w:iCs/>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0"/>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
          <w:iCs/>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earlier Romantics, such as Samuel Taylor</w:t>
      </w:r>
      <w:r>
        <w:t xml:space="preserve"> </w:t>
      </w:r>
      <w:r>
        <w:t xml:space="preserve">Coleridge (1997)</w:t>
      </w:r>
      <w:r>
        <w:t xml:space="preserve"> </w:t>
      </w:r>
      <w:r>
        <w:t xml:space="preserve">and Felicia</w:t>
      </w:r>
      <w:r>
        <w:t xml:space="preserve"> </w:t>
      </w:r>
      <w:r>
        <w:t xml:space="preserve">Hemans (1839)</w:t>
      </w:r>
      <w:r>
        <w:t xml:space="preserve">, Harpur and Dunlop seek the</w:t>
      </w:r>
      <w:r>
        <w:t xml:space="preserve"> </w:t>
      </w:r>
      <w:r>
        <w:t xml:space="preserve">“</w:t>
      </w:r>
      <w:r>
        <w:t xml:space="preserve">one Life</w:t>
      </w:r>
      <w:r>
        <w:t xml:space="preserve">”</w:t>
      </w:r>
      <w:r>
        <w:t xml:space="preserve"> </w:t>
      </w:r>
      <w:r>
        <w:t xml:space="preserve">or</w:t>
      </w:r>
      <w:r>
        <w:t xml:space="preserve"> </w:t>
      </w:r>
      <w:r>
        <w:t xml:space="preserve">“</w:t>
      </w:r>
      <w:r>
        <w:t xml:space="preserve">soul’s world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r>
        <w:t xml:space="preserve"> </w:t>
      </w:r>
      <w:r>
        <w:t xml:space="preserve">(see also Minter 2021, 109; Hansord 2021, 79)</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
          <w:iCs/>
        </w:rPr>
        <w:t xml:space="preserve">paTu</w:t>
      </w:r>
      <w:r>
        <w:t xml:space="preserve">) cannot translate</w:t>
      </w:r>
      <w:r>
        <w:t xml:space="preserve"> </w:t>
      </w:r>
      <w:r>
        <w:t xml:space="preserve">“</w:t>
      </w:r>
      <w:r>
        <w:t xml:space="preserve">kokein</w:t>
      </w:r>
      <w:r>
        <w:t xml:space="preserve">”</w:t>
      </w:r>
      <w:r>
        <w:t xml:space="preserve"> </w:t>
      </w:r>
      <w:r>
        <w:t xml:space="preserve">(</w:t>
      </w:r>
      <w:r>
        <w:rPr>
          <w:i/>
          <w:iCs/>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1"/>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2"/>
    <w:bookmarkStart w:id="43" w:name="conclusion-agony"/>
    <w:p>
      <w:pPr>
        <w:pStyle w:val="Heading2"/>
      </w:pPr>
      <w:r>
        <w:t xml:space="preserve">5 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dismissive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
          <w:iCs/>
        </w:rPr>
        <w:t xml:space="preserve">terra nullius</w:t>
      </w:r>
      <w:r>
        <w:t xml:space="preserve"> </w:t>
      </w:r>
      <w:r>
        <w:t xml:space="preserve">(Ford and Clemens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which was to</w:t>
      </w:r>
      <w:r>
        <w:t xml:space="preserve"> </w:t>
      </w:r>
      <w:r>
        <w:t xml:space="preserve">“</w:t>
      </w:r>
      <w:r>
        <w:t xml:space="preserve">[reinscribe] the logic of colonisation</w:t>
      </w:r>
      <w:r>
        <w:t xml:space="preserve">”</w:t>
      </w:r>
      <w:r>
        <w:t xml:space="preserve"> </w:t>
      </w:r>
      <w:r>
        <w:t xml:space="preserve">in the face of its injustice</w:t>
      </w:r>
      <w:r>
        <w:t xml:space="preserve"> </w:t>
      </w:r>
      <w:r>
        <w:t xml:space="preserve">(Minter 2021, 113)</w:t>
      </w:r>
      <w:r>
        <w:t xml:space="preserve">. They wrote vexed and contradictory poetry, whose vexation has lost none of its pertinence in the third century of Australia’s colonisation.</w:t>
      </w:r>
    </w:p>
    <w:p>
      <w:pPr>
        <w:pStyle w:val="BodyText"/>
      </w:pPr>
      <w:r>
        <w:t xml:space="preserve">Wulatji, meanwhile, can speak for himself.</w:t>
      </w:r>
    </w:p>
    <w:bookmarkEnd w:id="43"/>
    <w:bookmarkStart w:id="110" w:name="acknowledgements"/>
    <w:p>
      <w:pPr>
        <w:pStyle w:val="Heading2"/>
      </w:pPr>
      <w:r>
        <w:t xml:space="preserve">6 Acknowledgements</w:t>
      </w:r>
    </w:p>
    <w:p>
      <w:pPr>
        <w:pStyle w:val="FirstParagraph"/>
      </w:pPr>
      <w:r>
        <w:t xml:space="preserve">I am grateful to Jim Wafer and Grace Karskens for sharing their unpublished notes on Harpur’s</w:t>
      </w:r>
      <w:r>
        <w:t xml:space="preserve"> </w:t>
      </w:r>
      <w:r>
        <w:rPr>
          <w:i/>
          <w:iCs/>
        </w:rPr>
        <w:t xml:space="preserve">Kangaroo Hunt</w:t>
      </w:r>
      <w:r>
        <w:t xml:space="preserve">.</w:t>
      </w:r>
    </w:p>
    <w:bookmarkStart w:id="109" w:name="refs"/>
    <w:bookmarkStart w:id="44" w:name="ref-aarsleff_study_1967"/>
    <w:p>
      <w:pPr>
        <w:pStyle w:val="Bibliography"/>
      </w:pPr>
      <w:r>
        <w:t xml:space="preserve">Aarsleff, Hans. 1967.</w:t>
      </w:r>
      <w:r>
        <w:t xml:space="preserve"> </w:t>
      </w:r>
      <w:r>
        <w:rPr>
          <w:i/>
          <w:iCs/>
        </w:rPr>
        <w:t xml:space="preserve">The</w:t>
      </w:r>
      <w:r>
        <w:rPr>
          <w:i/>
          <w:iCs/>
        </w:rPr>
        <w:t xml:space="preserve"> </w:t>
      </w:r>
      <w:r>
        <w:rPr>
          <w:i/>
          <w:iCs/>
        </w:rPr>
        <w:t xml:space="preserve">Study</w:t>
      </w:r>
      <w:r>
        <w:rPr>
          <w:i/>
          <w:iCs/>
        </w:rPr>
        <w:t xml:space="preserve"> </w:t>
      </w:r>
      <w:r>
        <w:rPr>
          <w:i/>
          <w:iCs/>
        </w:rPr>
        <w:t xml:space="preserve">of</w:t>
      </w:r>
      <w:r>
        <w:rPr>
          <w:i/>
          <w:iCs/>
        </w:rPr>
        <w:t xml:space="preserve"> </w:t>
      </w:r>
      <w:r>
        <w:rPr>
          <w:i/>
          <w:iCs/>
        </w:rPr>
        <w:t xml:space="preserve">Language</w:t>
      </w:r>
      <w:r>
        <w:rPr>
          <w:i/>
          <w:iCs/>
        </w:rPr>
        <w:t xml:space="preserve"> </w:t>
      </w:r>
      <w:r>
        <w:rPr>
          <w:i/>
          <w:iCs/>
        </w:rPr>
        <w:t xml:space="preserve">in</w:t>
      </w:r>
      <w:r>
        <w:rPr>
          <w:i/>
          <w:iCs/>
        </w:rPr>
        <w:t xml:space="preserve"> </w:t>
      </w:r>
      <w:r>
        <w:rPr>
          <w:i/>
          <w:iCs/>
        </w:rPr>
        <w:t xml:space="preserve">England</w:t>
      </w:r>
      <w:r>
        <w:rPr>
          <w:i/>
          <w:iCs/>
        </w:rPr>
        <w:t xml:space="preserve">, 1780-1860</w:t>
      </w:r>
      <w:r>
        <w:t xml:space="preserve">. Princeton: Princeton University Press.</w:t>
      </w:r>
    </w:p>
    <w:bookmarkEnd w:id="44"/>
    <w:bookmarkStart w:id="45"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
          <w:iCs/>
        </w:rPr>
        <w:t xml:space="preserve">Southerly</w:t>
      </w:r>
      <w:r>
        <w:t xml:space="preserve"> </w:t>
      </w:r>
      <w:r>
        <w:t xml:space="preserve">43 (4): 459–74.</w:t>
      </w:r>
    </w:p>
    <w:bookmarkEnd w:id="45"/>
    <w:bookmarkStart w:id="46"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
          <w:iCs/>
        </w:rPr>
        <w:t xml:space="preserve">The Works of</w:t>
      </w:r>
      <w:r>
        <w:rPr>
          <w:i/>
          <w:iCs/>
        </w:rPr>
        <w:t xml:space="preserve"> </w:t>
      </w:r>
      <w:r>
        <w:rPr>
          <w:i/>
          <w:iCs/>
        </w:rPr>
        <w:t xml:space="preserve">Jeremy</w:t>
      </w:r>
      <w:r>
        <w:rPr>
          <w:i/>
          <w:iCs/>
        </w:rPr>
        <w:t xml:space="preserve"> </w:t>
      </w:r>
      <w:r>
        <w:rPr>
          <w:i/>
          <w:iCs/>
        </w:rPr>
        <w:t xml:space="preserve">Bentham</w:t>
      </w:r>
      <w:r>
        <w:t xml:space="preserve">, edited by John Bowring, 1st ed., 8:294–357. Edinburgh: W. Tait.</w:t>
      </w:r>
    </w:p>
    <w:bookmarkEnd w:id="46"/>
    <w:bookmarkStart w:id="48" w:name="ref-bergheaud_empiricism_1985"/>
    <w:p>
      <w:pPr>
        <w:pStyle w:val="Bibliography"/>
      </w:pPr>
      <w:r>
        <w:t xml:space="preserve">Bergheaud, Patrice. 1985.</w:t>
      </w:r>
      <w:r>
        <w:t xml:space="preserve"> </w:t>
      </w:r>
      <w:r>
        <w:t xml:space="preserve">“Empiricism and Linguistics in Eighteenth-Century</w:t>
      </w:r>
      <w:r>
        <w:t xml:space="preserve"> </w:t>
      </w:r>
      <w:r>
        <w:t xml:space="preserve">Great</w:t>
      </w:r>
      <w:r>
        <w:t xml:space="preserve"> </w:t>
      </w:r>
      <w:r>
        <w:t xml:space="preserve">Britain</w:t>
      </w:r>
      <w:r>
        <w:t xml:space="preserve">.”</w:t>
      </w:r>
      <w:r>
        <w:t xml:space="preserve"> </w:t>
      </w:r>
      <w:r>
        <w:rPr>
          <w:i/>
          <w:iCs/>
        </w:rPr>
        <w:t xml:space="preserve">Topoi</w:t>
      </w:r>
      <w:r>
        <w:t xml:space="preserve"> </w:t>
      </w:r>
      <w:r>
        <w:t xml:space="preserve">4 (2): 155–63.</w:t>
      </w:r>
      <w:r>
        <w:t xml:space="preserve"> </w:t>
      </w:r>
      <w:hyperlink r:id="rId47">
        <w:r>
          <w:rPr>
            <w:rStyle w:val="Hyperlink"/>
          </w:rPr>
          <w:t xml:space="preserve">https://doi.org/10.1007/BF00135843</w:t>
        </w:r>
      </w:hyperlink>
      <w:r>
        <w:t xml:space="preserve">.</w:t>
      </w:r>
    </w:p>
    <w:bookmarkEnd w:id="48"/>
    <w:bookmarkStart w:id="49" w:name="ref-carter_road_2010"/>
    <w:p>
      <w:pPr>
        <w:pStyle w:val="Bibliography"/>
      </w:pPr>
      <w:r>
        <w:t xml:space="preserve">Carter, Paul. 2010.</w:t>
      </w:r>
      <w:r>
        <w:t xml:space="preserve"> </w:t>
      </w:r>
      <w:r>
        <w:rPr>
          <w:i/>
          <w:iCs/>
        </w:rPr>
        <w:t xml:space="preserve">The Road to</w:t>
      </w:r>
      <w:r>
        <w:rPr>
          <w:i/>
          <w:iCs/>
        </w:rPr>
        <w:t xml:space="preserve"> </w:t>
      </w:r>
      <w:r>
        <w:rPr>
          <w:i/>
          <w:iCs/>
        </w:rPr>
        <w:t xml:space="preserve">Botany</w:t>
      </w:r>
      <w:r>
        <w:rPr>
          <w:i/>
          <w:iCs/>
        </w:rPr>
        <w:t xml:space="preserve"> </w:t>
      </w:r>
      <w:r>
        <w:rPr>
          <w:i/>
          <w:iCs/>
        </w:rPr>
        <w:t xml:space="preserve">Bay</w:t>
      </w:r>
      <w:r>
        <w:rPr>
          <w:i/>
          <w:iCs/>
        </w:rPr>
        <w:t xml:space="preserve">: An Exploration of Landscape and History</w:t>
      </w:r>
      <w:r>
        <w:t xml:space="preserve">. Minneapolis: University of Minnesota Press.</w:t>
      </w:r>
    </w:p>
    <w:bookmarkEnd w:id="49"/>
    <w:bookmarkStart w:id="50" w:name="ref-coleridge_eolian_1997"/>
    <w:p>
      <w:pPr>
        <w:pStyle w:val="Bibliography"/>
      </w:pPr>
      <w:r>
        <w:t xml:space="preserve">Coleridge, Samuel. 1997.</w:t>
      </w:r>
      <w:r>
        <w:t xml:space="preserve"> </w:t>
      </w:r>
      <w:r>
        <w:t xml:space="preserve">“Eolian</w:t>
      </w:r>
      <w:r>
        <w:t xml:space="preserve"> </w:t>
      </w:r>
      <w:r>
        <w:t xml:space="preserve">Harp</w:t>
      </w:r>
      <w:r>
        <w:t xml:space="preserve">.”</w:t>
      </w:r>
      <w:r>
        <w:t xml:space="preserve"> </w:t>
      </w:r>
      <w:r>
        <w:t xml:space="preserve">In</w:t>
      </w:r>
      <w:r>
        <w:t xml:space="preserve"> </w:t>
      </w:r>
      <w:r>
        <w:rPr>
          <w:i/>
          <w:iCs/>
        </w:rPr>
        <w:t xml:space="preserve">The</w:t>
      </w:r>
      <w:r>
        <w:rPr>
          <w:i/>
          <w:iCs/>
        </w:rPr>
        <w:t xml:space="preserve"> </w:t>
      </w:r>
      <w:r>
        <w:rPr>
          <w:i/>
          <w:iCs/>
        </w:rPr>
        <w:t xml:space="preserve">Complete</w:t>
      </w:r>
      <w:r>
        <w:rPr>
          <w:i/>
          <w:iCs/>
        </w:rPr>
        <w:t xml:space="preserve"> </w:t>
      </w:r>
      <w:r>
        <w:rPr>
          <w:i/>
          <w:iCs/>
        </w:rPr>
        <w:t xml:space="preserve">Poems</w:t>
      </w:r>
      <w:r>
        <w:rPr>
          <w:i/>
          <w:iCs/>
        </w:rPr>
        <w:t xml:space="preserve"> </w:t>
      </w:r>
      <w:r>
        <w:rPr>
          <w:i/>
          <w:iCs/>
        </w:rPr>
        <w:t xml:space="preserve">of</w:t>
      </w:r>
      <w:r>
        <w:rPr>
          <w:i/>
          <w:iCs/>
        </w:rPr>
        <w:t xml:space="preserve"> </w:t>
      </w:r>
      <w:r>
        <w:rPr>
          <w:i/>
          <w:iCs/>
        </w:rPr>
        <w:t xml:space="preserve">Samuel</w:t>
      </w:r>
      <w:r>
        <w:rPr>
          <w:i/>
          <w:iCs/>
        </w:rPr>
        <w:t xml:space="preserve"> </w:t>
      </w:r>
      <w:r>
        <w:rPr>
          <w:i/>
          <w:iCs/>
        </w:rPr>
        <w:t xml:space="preserve">Taylor</w:t>
      </w:r>
      <w:r>
        <w:rPr>
          <w:i/>
          <w:iCs/>
        </w:rPr>
        <w:t xml:space="preserve"> </w:t>
      </w:r>
      <w:r>
        <w:rPr>
          <w:i/>
          <w:iCs/>
        </w:rPr>
        <w:t xml:space="preserve">Coleridge</w:t>
      </w:r>
      <w:r>
        <w:t xml:space="preserve">, edited by William Keach, 87–88. London; New York: Penguin.</w:t>
      </w:r>
    </w:p>
    <w:bookmarkEnd w:id="50"/>
    <w:bookmarkStart w:id="52" w:name="ref-cooper_womens_2006"/>
    <w:p>
      <w:pPr>
        <w:pStyle w:val="Bibliography"/>
      </w:pPr>
      <w:r>
        <w:t xml:space="preserve">Cooper, Andrew R. 2006.</w:t>
      </w:r>
      <w:r>
        <w:t xml:space="preserve"> </w:t>
      </w:r>
      <w:r>
        <w:t xml:space="preserve">“Women’s</w:t>
      </w:r>
      <w:r>
        <w:t xml:space="preserve"> </w:t>
      </w:r>
      <w:r>
        <w:t xml:space="preserve">Poetry</w:t>
      </w:r>
      <w:r>
        <w:t xml:space="preserve">, the 1830s, and</w:t>
      </w:r>
      <w:r>
        <w:t xml:space="preserve"> </w:t>
      </w:r>
      <w:r>
        <w:t xml:space="preserve">Monumental</w:t>
      </w:r>
      <w:r>
        <w:t xml:space="preserve"> </w:t>
      </w:r>
      <w:r>
        <w:t xml:space="preserve">Problems</w:t>
      </w:r>
      <w:r>
        <w:t xml:space="preserve"> </w:t>
      </w:r>
      <w:r>
        <w:t xml:space="preserve">in the</w:t>
      </w:r>
      <w:r>
        <w:t xml:space="preserve"> </w:t>
      </w:r>
      <w:r>
        <w:t xml:space="preserve">History</w:t>
      </w:r>
      <w:r>
        <w:t xml:space="preserve"> </w:t>
      </w:r>
      <w:r>
        <w:t xml:space="preserve">of</w:t>
      </w:r>
      <w:r>
        <w:t xml:space="preserve"> </w:t>
      </w:r>
      <w:r>
        <w:t xml:space="preserve">Language</w:t>
      </w:r>
      <w:r>
        <w:t xml:space="preserve"> </w:t>
      </w:r>
      <w:r>
        <w:t xml:space="preserve">Theory</w:t>
      </w:r>
      <w:r>
        <w:t xml:space="preserve">.”</w:t>
      </w:r>
      <w:r>
        <w:t xml:space="preserve"> </w:t>
      </w:r>
      <w:r>
        <w:rPr>
          <w:i/>
          <w:iCs/>
        </w:rPr>
        <w:t xml:space="preserve">Women’s Studies</w:t>
      </w:r>
      <w:r>
        <w:t xml:space="preserve"> </w:t>
      </w:r>
      <w:r>
        <w:t xml:space="preserve">35 (7): 621–55.</w:t>
      </w:r>
      <w:r>
        <w:t xml:space="preserve"> </w:t>
      </w:r>
      <w:hyperlink r:id="rId51">
        <w:r>
          <w:rPr>
            <w:rStyle w:val="Hyperlink"/>
          </w:rPr>
          <w:t xml:space="preserve">https://doi.org/10.1080/00497870600904144</w:t>
        </w:r>
      </w:hyperlink>
      <w:r>
        <w:t xml:space="preserve">.</w:t>
      </w:r>
    </w:p>
    <w:bookmarkEnd w:id="52"/>
    <w:bookmarkStart w:id="53"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
          <w:iCs/>
        </w:rPr>
        <w:t xml:space="preserve">Southerly</w:t>
      </w:r>
      <w:r>
        <w:t xml:space="preserve"> </w:t>
      </w:r>
      <w:r>
        <w:t xml:space="preserve">40 (3): 315–29.</w:t>
      </w:r>
    </w:p>
    <w:bookmarkEnd w:id="53"/>
    <w:bookmarkStart w:id="54" w:name="ref-dixon_australian_2006"/>
    <w:p>
      <w:pPr>
        <w:pStyle w:val="Bibliography"/>
      </w:pPr>
      <w:r>
        <w:t xml:space="preserve">Dixon, Robert, Bruce Moore, W. S. Ramson, and Mandy Thomas. 2006.</w:t>
      </w:r>
      <w:r>
        <w:t xml:space="preserve"> </w:t>
      </w:r>
      <w:r>
        <w:rPr>
          <w:i/>
          <w:iCs/>
        </w:rPr>
        <w:t xml:space="preserve">Australian</w:t>
      </w:r>
      <w:r>
        <w:rPr>
          <w:i/>
          <w:iCs/>
        </w:rPr>
        <w:t xml:space="preserve"> </w:t>
      </w:r>
      <w:r>
        <w:rPr>
          <w:i/>
          <w:iCs/>
        </w:rPr>
        <w:t xml:space="preserve">Aboriginal</w:t>
      </w:r>
      <w:r>
        <w:rPr>
          <w:i/>
          <w:iCs/>
        </w:rPr>
        <w:t xml:space="preserve"> </w:t>
      </w:r>
      <w:r>
        <w:rPr>
          <w:i/>
          <w:iCs/>
        </w:rPr>
        <w:t xml:space="preserve">Words</w:t>
      </w:r>
      <w:r>
        <w:rPr>
          <w:i/>
          <w:iCs/>
        </w:rPr>
        <w:t xml:space="preserve"> </w:t>
      </w:r>
      <w:r>
        <w:rPr>
          <w:i/>
          <w:iCs/>
        </w:rPr>
        <w:t xml:space="preserve">in</w:t>
      </w:r>
      <w:r>
        <w:rPr>
          <w:i/>
          <w:iCs/>
        </w:rPr>
        <w:t xml:space="preserve"> </w:t>
      </w:r>
      <w:r>
        <w:rPr>
          <w:i/>
          <w:iCs/>
        </w:rPr>
        <w:t xml:space="preserve">English</w:t>
      </w:r>
      <w:r>
        <w:rPr>
          <w:i/>
          <w:iCs/>
        </w:rPr>
        <w:t xml:space="preserve">:</w:t>
      </w:r>
      <w:r>
        <w:rPr>
          <w:i/>
          <w:iCs/>
        </w:rPr>
        <w:t xml:space="preserve"> </w:t>
      </w:r>
      <w:r>
        <w:rPr>
          <w:i/>
          <w:iCs/>
        </w:rPr>
        <w:t xml:space="preserve">Their</w:t>
      </w:r>
      <w:r>
        <w:rPr>
          <w:i/>
          <w:iCs/>
        </w:rPr>
        <w:t xml:space="preserve"> </w:t>
      </w:r>
      <w:r>
        <w:rPr>
          <w:i/>
          <w:iCs/>
        </w:rPr>
        <w:t xml:space="preserve">Origin</w:t>
      </w:r>
      <w:r>
        <w:rPr>
          <w:i/>
          <w:iCs/>
        </w:rPr>
        <w:t xml:space="preserve"> </w:t>
      </w:r>
      <w:r>
        <w:rPr>
          <w:i/>
          <w:iCs/>
        </w:rPr>
        <w:t xml:space="preserve">and</w:t>
      </w:r>
      <w:r>
        <w:rPr>
          <w:i/>
          <w:iCs/>
        </w:rPr>
        <w:t xml:space="preserve"> </w:t>
      </w:r>
      <w:r>
        <w:rPr>
          <w:i/>
          <w:iCs/>
        </w:rPr>
        <w:t xml:space="preserve">Meaning</w:t>
      </w:r>
      <w:r>
        <w:t xml:space="preserve">. Second Edition. Oxford: Oxford University Press.</w:t>
      </w:r>
    </w:p>
    <w:bookmarkEnd w:id="54"/>
    <w:bookmarkStart w:id="56" w:name="ref-dunlop_mind_1872"/>
    <w:p>
      <w:pPr>
        <w:pStyle w:val="Bibliography"/>
      </w:pPr>
      <w:r>
        <w:t xml:space="preserve">Dunlop, Eliza Hamilton. 1872a.</w:t>
      </w:r>
      <w:r>
        <w:t xml:space="preserve"> </w:t>
      </w:r>
      <w:r>
        <w:t xml:space="preserve">“Mind.”</w:t>
      </w:r>
      <w:r>
        <w:t xml:space="preserve"> </w:t>
      </w:r>
      <w:r>
        <w:rPr>
          <w:i/>
          <w:iCs/>
        </w:rPr>
        <w:t xml:space="preserve">Evening News</w:t>
      </w:r>
      <w:r>
        <w:t xml:space="preserve">, June.</w:t>
      </w:r>
      <w:r>
        <w:t xml:space="preserve"> </w:t>
      </w:r>
      <w:hyperlink r:id="rId55">
        <w:r>
          <w:rPr>
            <w:rStyle w:val="Hyperlink"/>
          </w:rPr>
          <w:t xml:space="preserve">http://nla.gov.au/nla.news-article114733889</w:t>
        </w:r>
      </w:hyperlink>
      <w:r>
        <w:t xml:space="preserve">.</w:t>
      </w:r>
    </w:p>
    <w:bookmarkEnd w:id="56"/>
    <w:bookmarkStart w:id="58" w:name="ref-dunlop_poesy_1872"/>
    <w:p>
      <w:pPr>
        <w:pStyle w:val="Bibliography"/>
      </w:pPr>
      <w:r>
        <w:t xml:space="preserve">———. 1872b.</w:t>
      </w:r>
      <w:r>
        <w:t xml:space="preserve"> </w:t>
      </w:r>
      <w:r>
        <w:t xml:space="preserve">“Poesy.”</w:t>
      </w:r>
      <w:r>
        <w:t xml:space="preserve"> </w:t>
      </w:r>
      <w:r>
        <w:rPr>
          <w:i/>
          <w:iCs/>
        </w:rPr>
        <w:t xml:space="preserve">Australian Town and Country Journal</w:t>
      </w:r>
      <w:r>
        <w:t xml:space="preserve">, October, 20.</w:t>
      </w:r>
      <w:r>
        <w:t xml:space="preserve"> </w:t>
      </w:r>
      <w:hyperlink r:id="rId57">
        <w:r>
          <w:rPr>
            <w:rStyle w:val="Hyperlink"/>
          </w:rPr>
          <w:t xml:space="preserve">http://nla.gov.au/nla.news-article70497610</w:t>
        </w:r>
      </w:hyperlink>
      <w:r>
        <w:t xml:space="preserve">.</w:t>
      </w:r>
    </w:p>
    <w:bookmarkEnd w:id="58"/>
    <w:bookmarkStart w:id="59"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175–204. Sydney: Sydney University Press.</w:t>
      </w:r>
    </w:p>
    <w:bookmarkEnd w:id="59"/>
    <w:bookmarkStart w:id="61"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60">
        <w:r>
          <w:rPr>
            <w:rStyle w:val="Hyperlink"/>
          </w:rPr>
          <w:t xml:space="preserve">https://collection.sl.nsw.gov.au/record/Yold2BN9</w:t>
        </w:r>
      </w:hyperlink>
      <w:r>
        <w:t xml:space="preserve">.</w:t>
      </w:r>
    </w:p>
    <w:bookmarkEnd w:id="61"/>
    <w:bookmarkStart w:id="63"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
          <w:iCs/>
        </w:rPr>
        <w:t xml:space="preserve">The</w:t>
      </w:r>
      <w:r>
        <w:rPr>
          <w:i/>
          <w:iCs/>
        </w:rPr>
        <w:t xml:space="preserve"> </w:t>
      </w:r>
      <w:r>
        <w:rPr>
          <w:i/>
          <w:iCs/>
        </w:rPr>
        <w:t xml:space="preserve">Southern</w:t>
      </w:r>
      <w:r>
        <w:rPr>
          <w:i/>
          <w:iCs/>
        </w:rPr>
        <w:t xml:space="preserve"> </w:t>
      </w:r>
      <w:r>
        <w:rPr>
          <w:i/>
          <w:iCs/>
        </w:rPr>
        <w:t xml:space="preserve">Euphrosyne</w:t>
      </w:r>
      <w:r>
        <w:rPr>
          <w:i/>
          <w:iCs/>
        </w:rPr>
        <w:t xml:space="preserve"> </w:t>
      </w:r>
      <w:r>
        <w:rPr>
          <w:i/>
          <w:iCs/>
        </w:rPr>
        <w:t xml:space="preserve">and</w:t>
      </w:r>
      <w:r>
        <w:rPr>
          <w:i/>
          <w:iCs/>
        </w:rPr>
        <w:t xml:space="preserve"> </w:t>
      </w:r>
      <w:r>
        <w:rPr>
          <w:i/>
          <w:iCs/>
        </w:rPr>
        <w:t xml:space="preserve">Australian</w:t>
      </w:r>
      <w:r>
        <w:rPr>
          <w:i/>
          <w:iCs/>
        </w:rPr>
        <w:t xml:space="preserve"> </w:t>
      </w:r>
      <w:r>
        <w:rPr>
          <w:i/>
          <w:iCs/>
        </w:rPr>
        <w:t xml:space="preserve">Miscellany</w:t>
      </w:r>
      <w:r>
        <w:rPr>
          <w:i/>
          <w:iCs/>
        </w:rPr>
        <w:t xml:space="preserve">: Containing Oriental Moral Takes, Original Anecdote, Poetry and Music</w:t>
      </w:r>
      <w:r>
        <w:t xml:space="preserve">, 94. London; Sydney: Whittaker &amp; Co.</w:t>
      </w:r>
      <w:r>
        <w:t xml:space="preserve"> </w:t>
      </w:r>
      <w:hyperlink r:id="rId62">
        <w:r>
          <w:rPr>
            <w:rStyle w:val="Hyperlink"/>
          </w:rPr>
          <w:t xml:space="preserve">http://nla.gov.au/nla.obj-166023361</w:t>
        </w:r>
      </w:hyperlink>
      <w:r>
        <w:t xml:space="preserve">.</w:t>
      </w:r>
    </w:p>
    <w:bookmarkEnd w:id="63"/>
    <w:bookmarkStart w:id="65"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
          <w:iCs/>
        </w:rPr>
        <w:t xml:space="preserve">JASAL</w:t>
      </w:r>
      <w:r>
        <w:t xml:space="preserve"> </w:t>
      </w:r>
      <w:r>
        <w:t xml:space="preserve">16 (2): 1–14.</w:t>
      </w:r>
      <w:r>
        <w:t xml:space="preserve"> </w:t>
      </w:r>
      <w:hyperlink r:id="rId64">
        <w:r>
          <w:rPr>
            <w:rStyle w:val="Hyperlink"/>
          </w:rPr>
          <w:t xml:space="preserve">https://openjournals.library.sydney.edu.au/JASAL/article/view/11011</w:t>
        </w:r>
      </w:hyperlink>
      <w:r>
        <w:t xml:space="preserve">.</w:t>
      </w:r>
    </w:p>
    <w:bookmarkEnd w:id="65"/>
    <w:bookmarkStart w:id="66" w:name="ref-ellis_dhurga_2020"/>
    <w:p>
      <w:pPr>
        <w:pStyle w:val="Bibliography"/>
      </w:pPr>
      <w:r>
        <w:t xml:space="preserve">Ellis, Patricia, Kerry Boyenga, Waine Donovan, and Australian Institute of Aboriginal and Torres Strait Islander Studies, eds. 2020.</w:t>
      </w:r>
      <w:r>
        <w:t xml:space="preserve"> </w:t>
      </w:r>
      <w:r>
        <w:rPr>
          <w:i/>
          <w:iCs/>
        </w:rPr>
        <w:t xml:space="preserve">The</w:t>
      </w:r>
      <w:r>
        <w:rPr>
          <w:i/>
          <w:iCs/>
        </w:rPr>
        <w:t xml:space="preserve"> </w:t>
      </w:r>
      <w:r>
        <w:rPr>
          <w:i/>
          <w:iCs/>
        </w:rPr>
        <w:t xml:space="preserve">Dhurga</w:t>
      </w:r>
      <w:r>
        <w:rPr>
          <w:i/>
          <w:iCs/>
        </w:rPr>
        <w:t xml:space="preserve"> </w:t>
      </w:r>
      <w:r>
        <w:rPr>
          <w:i/>
          <w:iCs/>
        </w:rPr>
        <w:t xml:space="preserve">Dictionary and Learner’s Grammar: A South-East Coast,</w:t>
      </w:r>
      <w:r>
        <w:rPr>
          <w:i/>
          <w:iCs/>
        </w:rPr>
        <w:t xml:space="preserve"> </w:t>
      </w:r>
      <w:r>
        <w:rPr>
          <w:i/>
          <w:iCs/>
        </w:rPr>
        <w:t xml:space="preserve">NSW</w:t>
      </w:r>
      <w:r>
        <w:rPr>
          <w:i/>
          <w:iCs/>
        </w:rPr>
        <w:t xml:space="preserve"> </w:t>
      </w:r>
      <w:r>
        <w:rPr>
          <w:i/>
          <w:iCs/>
        </w:rPr>
        <w:t xml:space="preserve">Aboriginal</w:t>
      </w:r>
      <w:r>
        <w:rPr>
          <w:i/>
          <w:iCs/>
        </w:rPr>
        <w:t xml:space="preserve"> </w:t>
      </w:r>
      <w:r>
        <w:rPr>
          <w:i/>
          <w:iCs/>
        </w:rPr>
        <w:t xml:space="preserve">Language</w:t>
      </w:r>
      <w:r>
        <w:t xml:space="preserve">. 1st ed. Canberra, ACT: Aboriginal Studies Press.</w:t>
      </w:r>
    </w:p>
    <w:bookmarkEnd w:id="66"/>
    <w:bookmarkStart w:id="68"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
          <w:iCs/>
        </w:rPr>
        <w:t xml:space="preserve">Journal of the Association for the Study of Australian Literature</w:t>
      </w:r>
      <w:r>
        <w:t xml:space="preserve"> </w:t>
      </w:r>
      <w:r>
        <w:t xml:space="preserve">3 (18).</w:t>
      </w:r>
      <w:r>
        <w:t xml:space="preserve"> </w:t>
      </w:r>
      <w:hyperlink r:id="rId67">
        <w:r>
          <w:rPr>
            <w:rStyle w:val="Hyperlink"/>
          </w:rPr>
          <w:t xml:space="preserve">https://openjournals.library.sydney.edu.au/index.php/JASAL/article/view/13026</w:t>
        </w:r>
      </w:hyperlink>
      <w:r>
        <w:t xml:space="preserve">.</w:t>
      </w:r>
    </w:p>
    <w:bookmarkEnd w:id="68"/>
    <w:bookmarkStart w:id="69" w:name="ref-ford_barron_2023"/>
    <w:p>
      <w:pPr>
        <w:pStyle w:val="Bibliography"/>
      </w:pPr>
      <w:r>
        <w:t xml:space="preserve">Ford, Thomas H., and Justin Clemens. 2023.</w:t>
      </w:r>
      <w:r>
        <w:t xml:space="preserve"> </w:t>
      </w:r>
      <w:r>
        <w:rPr>
          <w:i/>
          <w:iCs/>
        </w:rPr>
        <w:t xml:space="preserve">Barron Field in</w:t>
      </w:r>
      <w:r>
        <w:rPr>
          <w:i/>
          <w:iCs/>
        </w:rPr>
        <w:t xml:space="preserve"> </w:t>
      </w:r>
      <w:r>
        <w:rPr>
          <w:i/>
          <w:iCs/>
        </w:rPr>
        <w:t xml:space="preserve">New</w:t>
      </w:r>
      <w:r>
        <w:rPr>
          <w:i/>
          <w:iCs/>
        </w:rPr>
        <w:t xml:space="preserve"> </w:t>
      </w:r>
      <w:r>
        <w:rPr>
          <w:i/>
          <w:iCs/>
        </w:rPr>
        <w:t xml:space="preserve">South</w:t>
      </w:r>
      <w:r>
        <w:rPr>
          <w:i/>
          <w:iCs/>
        </w:rPr>
        <w:t xml:space="preserve"> </w:t>
      </w:r>
      <w:r>
        <w:rPr>
          <w:i/>
          <w:iCs/>
        </w:rPr>
        <w:t xml:space="preserve">Wales</w:t>
      </w:r>
      <w:r>
        <w:rPr>
          <w:i/>
          <w:iCs/>
        </w:rPr>
        <w:t xml:space="preserve">: The Poetics of</w:t>
      </w:r>
      <w:r>
        <w:rPr>
          <w:i/>
          <w:iCs/>
        </w:rPr>
        <w:t xml:space="preserve"> </w:t>
      </w:r>
      <w:r>
        <w:rPr>
          <w:i/>
          <w:iCs/>
        </w:rPr>
        <w:t xml:space="preserve">Terra</w:t>
      </w:r>
      <w:r>
        <w:rPr>
          <w:i/>
          <w:iCs/>
        </w:rPr>
        <w:t xml:space="preserve"> </w:t>
      </w:r>
      <w:r>
        <w:rPr>
          <w:i/>
          <w:iCs/>
        </w:rPr>
        <w:t xml:space="preserve">Nullius</w:t>
      </w:r>
      <w:r>
        <w:t xml:space="preserve">. Carlton, Victoria: Melbourne University Press.</w:t>
      </w:r>
    </w:p>
    <w:bookmarkEnd w:id="69"/>
    <w:bookmarkStart w:id="70" w:name="ref-foucault_order_2002"/>
    <w:p>
      <w:pPr>
        <w:pStyle w:val="Bibliography"/>
      </w:pPr>
      <w:r>
        <w:t xml:space="preserve">Foucault, Michel. 2002.</w:t>
      </w:r>
      <w:r>
        <w:t xml:space="preserve"> </w:t>
      </w:r>
      <w:r>
        <w:rPr>
          <w:i/>
          <w:iCs/>
        </w:rPr>
        <w:t xml:space="preserve">The</w:t>
      </w:r>
      <w:r>
        <w:rPr>
          <w:i/>
          <w:iCs/>
        </w:rPr>
        <w:t xml:space="preserve"> </w:t>
      </w:r>
      <w:r>
        <w:rPr>
          <w:i/>
          <w:iCs/>
        </w:rPr>
        <w:t xml:space="preserve">Order</w:t>
      </w:r>
      <w:r>
        <w:rPr>
          <w:i/>
          <w:iCs/>
        </w:rPr>
        <w:t xml:space="preserve"> </w:t>
      </w:r>
      <w:r>
        <w:rPr>
          <w:i/>
          <w:iCs/>
        </w:rPr>
        <w:t xml:space="preserve">of</w:t>
      </w:r>
      <w:r>
        <w:rPr>
          <w:i/>
          <w:iCs/>
        </w:rPr>
        <w:t xml:space="preserve"> </w:t>
      </w:r>
      <w:r>
        <w:rPr>
          <w:i/>
          <w:iCs/>
        </w:rPr>
        <w:t xml:space="preserve">Things</w:t>
      </w:r>
      <w:r>
        <w:rPr>
          <w:i/>
          <w:iCs/>
        </w:rPr>
        <w:t xml:space="preserve">:</w:t>
      </w:r>
      <w:r>
        <w:rPr>
          <w:i/>
          <w:iCs/>
        </w:rPr>
        <w:t xml:space="preserve"> </w:t>
      </w:r>
      <w:r>
        <w:rPr>
          <w:i/>
          <w:iCs/>
        </w:rPr>
        <w:t xml:space="preserve">An</w:t>
      </w:r>
      <w:r>
        <w:rPr>
          <w:i/>
          <w:iCs/>
        </w:rPr>
        <w:t xml:space="preserve"> </w:t>
      </w:r>
      <w:r>
        <w:rPr>
          <w:i/>
          <w:iCs/>
        </w:rPr>
        <w:t xml:space="preserve">Archaeology</w:t>
      </w:r>
      <w:r>
        <w:rPr>
          <w:i/>
          <w:iCs/>
        </w:rPr>
        <w:t xml:space="preserve"> </w:t>
      </w:r>
      <w:r>
        <w:rPr>
          <w:i/>
          <w:iCs/>
        </w:rPr>
        <w:t xml:space="preserve">of the</w:t>
      </w:r>
      <w:r>
        <w:rPr>
          <w:i/>
          <w:iCs/>
        </w:rPr>
        <w:t xml:space="preserve"> </w:t>
      </w:r>
      <w:r>
        <w:rPr>
          <w:i/>
          <w:iCs/>
        </w:rPr>
        <w:t xml:space="preserve">Human</w:t>
      </w:r>
      <w:r>
        <w:rPr>
          <w:i/>
          <w:iCs/>
        </w:rPr>
        <w:t xml:space="preserve"> </w:t>
      </w:r>
      <w:r>
        <w:rPr>
          <w:i/>
          <w:iCs/>
        </w:rPr>
        <w:t xml:space="preserve">Sciences</w:t>
      </w:r>
      <w:r>
        <w:t xml:space="preserve">. London: Routledge.</w:t>
      </w:r>
    </w:p>
    <w:bookmarkEnd w:id="70"/>
    <w:bookmarkStart w:id="71" w:name="ref-gelder_colonial_2020"/>
    <w:p>
      <w:pPr>
        <w:pStyle w:val="Bibliography"/>
      </w:pPr>
      <w:r>
        <w:t xml:space="preserve">Gelder, Ken, and Rachael Weaver. 2020.</w:t>
      </w:r>
      <w:r>
        <w:t xml:space="preserve"> </w:t>
      </w:r>
      <w:r>
        <w:rPr>
          <w:i/>
          <w:iCs/>
        </w:rPr>
        <w:t xml:space="preserve">The</w:t>
      </w:r>
      <w:r>
        <w:rPr>
          <w:i/>
          <w:iCs/>
        </w:rPr>
        <w:t xml:space="preserve"> </w:t>
      </w:r>
      <w:r>
        <w:rPr>
          <w:i/>
          <w:iCs/>
        </w:rPr>
        <w:t xml:space="preserve">Colonial</w:t>
      </w:r>
      <w:r>
        <w:rPr>
          <w:i/>
          <w:iCs/>
        </w:rPr>
        <w:t xml:space="preserve"> </w:t>
      </w:r>
      <w:r>
        <w:rPr>
          <w:i/>
          <w:iCs/>
        </w:rPr>
        <w:t xml:space="preserve">Kangaroo</w:t>
      </w:r>
      <w:r>
        <w:rPr>
          <w:i/>
          <w:iCs/>
        </w:rPr>
        <w:t xml:space="preserve"> </w:t>
      </w:r>
      <w:r>
        <w:rPr>
          <w:i/>
          <w:iCs/>
        </w:rPr>
        <w:t xml:space="preserve">Hunt</w:t>
      </w:r>
      <w:r>
        <w:t xml:space="preserve">. Ebook. Melbourne: Melbourne University Publishing.</w:t>
      </w:r>
    </w:p>
    <w:bookmarkEnd w:id="71"/>
    <w:bookmarkStart w:id="73"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2">
        <w:r>
          <w:rPr>
            <w:rStyle w:val="Hyperlink"/>
          </w:rPr>
          <w:t xml:space="preserve">https://pid.geoscience.gov.au/dataset/ga/60804</w:t>
        </w:r>
      </w:hyperlink>
      <w:r>
        <w:t xml:space="preserve">.</w:t>
      </w:r>
    </w:p>
    <w:bookmarkEnd w:id="73"/>
    <w:bookmarkStart w:id="74" w:name="ref-grant_new_2010"/>
    <w:p>
      <w:pPr>
        <w:pStyle w:val="Bibliography"/>
      </w:pPr>
      <w:r>
        <w:t xml:space="preserve">Grant, Stan, Stan Grant, and John Rudder. 2010.</w:t>
      </w:r>
      <w:r>
        <w:t xml:space="preserve"> </w:t>
      </w:r>
      <w:r>
        <w:rPr>
          <w:i/>
          <w:iCs/>
        </w:rPr>
        <w:t xml:space="preserve">A New</w:t>
      </w:r>
      <w:r>
        <w:rPr>
          <w:i/>
          <w:iCs/>
        </w:rPr>
        <w:t xml:space="preserve"> </w:t>
      </w:r>
      <w:r>
        <w:rPr>
          <w:i/>
          <w:iCs/>
        </w:rPr>
        <w:t xml:space="preserve">Wiradjuri</w:t>
      </w:r>
      <w:r>
        <w:rPr>
          <w:i/>
          <w:iCs/>
        </w:rPr>
        <w:t xml:space="preserve"> </w:t>
      </w:r>
      <w:r>
        <w:rPr>
          <w:i/>
          <w:iCs/>
        </w:rPr>
        <w:t xml:space="preserve">Dictionary</w:t>
      </w:r>
      <w:r>
        <w:t xml:space="preserve">. O’Connor, A.C.T: Restoration House.</w:t>
      </w:r>
    </w:p>
    <w:bookmarkEnd w:id="74"/>
    <w:bookmarkStart w:id="75" w:name="ref-hansord_imperial_2021"/>
    <w:p>
      <w:pPr>
        <w:pStyle w:val="Bibliography"/>
      </w:pPr>
      <w:r>
        <w:t xml:space="preserve">Hansord, Katrina. 2021.</w:t>
      </w:r>
      <w:r>
        <w:t xml:space="preserve"> </w:t>
      </w:r>
      <w:r>
        <w:t xml:space="preserve">“Imperial</w:t>
      </w:r>
      <w:r>
        <w:t xml:space="preserve"> </w:t>
      </w:r>
      <w:r>
        <w:t xml:space="preserve">Feminism</w:t>
      </w:r>
      <w:r>
        <w:t xml:space="preserve"> </w:t>
      </w:r>
      <w:r>
        <w:t xml:space="preserve">and</w:t>
      </w:r>
      <w:r>
        <w:t xml:space="preserve"> </w:t>
      </w:r>
      <w:r>
        <w:t xml:space="preserve">‘</w:t>
      </w:r>
      <w:r>
        <w:t xml:space="preserve">My</w:t>
      </w:r>
      <w:r>
        <w:t xml:space="preserve"> </w:t>
      </w:r>
      <w:r>
        <w:t xml:space="preserve">Father</w:t>
      </w:r>
      <w:r>
        <w:t xml:space="preserve">’s</w:t>
      </w:r>
      <w:r>
        <w:t xml:space="preserve"> </w:t>
      </w:r>
      <w:r>
        <w:t xml:space="preserve">Library</w:t>
      </w:r>
      <w:r>
        <w:t xml:space="preserve">’</w:t>
      </w:r>
      <w:r>
        <w:t xml:space="preserve"> </w:t>
      </w:r>
      <w:r>
        <w:t xml:space="preserve">:</w:t>
      </w:r>
      <w:r>
        <w:t xml:space="preserve"> </w:t>
      </w:r>
      <w:r>
        <w:t xml:space="preserve">Intellectual</w:t>
      </w:r>
      <w:r>
        <w:t xml:space="preserve">,</w:t>
      </w:r>
      <w:r>
        <w:t xml:space="preserve"> </w:t>
      </w:r>
      <w:r>
        <w:t xml:space="preserve">Literary</w:t>
      </w:r>
      <w:r>
        <w:t xml:space="preserve"> </w:t>
      </w:r>
      <w:r>
        <w:t xml:space="preserve">and</w:t>
      </w:r>
      <w:r>
        <w:t xml:space="preserve"> </w:t>
      </w:r>
      <w:r>
        <w:t xml:space="preserve">Political</w:t>
      </w:r>
      <w:r>
        <w:t xml:space="preserve"> </w:t>
      </w:r>
      <w:r>
        <w:t xml:space="preserve">Thought</w:t>
      </w:r>
      <w:r>
        <w:t xml:space="preserve"> </w:t>
      </w:r>
      <w:r>
        <w:t xml:space="preserve">in</w:t>
      </w:r>
      <w:r>
        <w:t xml:space="preserve"> </w:t>
      </w:r>
      <w:r>
        <w:t xml:space="preserve">Eliza</w:t>
      </w:r>
      <w:r>
        <w:t xml:space="preserve"> </w:t>
      </w:r>
      <w:r>
        <w:t xml:space="preserve">Hamilton</w:t>
      </w:r>
      <w:r>
        <w:t xml:space="preserve"> </w:t>
      </w:r>
      <w:r>
        <w:t xml:space="preserve">Dunlop</w:t>
      </w:r>
      <w:r>
        <w:t xml:space="preserve">’s</w:t>
      </w:r>
      <w:r>
        <w:t xml:space="preserve"> </w:t>
      </w:r>
      <w:r>
        <w:t xml:space="preserve">Poetry</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74–90. Sydney: Sydney University Press.</w:t>
      </w:r>
    </w:p>
    <w:bookmarkEnd w:id="75"/>
    <w:bookmarkStart w:id="77"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
          <w:iCs/>
        </w:rPr>
        <w:t xml:space="preserve">Weekly Register of Politics, Facts and General Literature</w:t>
      </w:r>
      <w:r>
        <w:t xml:space="preserve">, November.</w:t>
      </w:r>
      <w:r>
        <w:t xml:space="preserve"> </w:t>
      </w:r>
      <w:hyperlink r:id="rId76">
        <w:r>
          <w:rPr>
            <w:rStyle w:val="Hyperlink"/>
          </w:rPr>
          <w:t xml:space="preserve">http://nla.gov.au/nla.news-article228135900</w:t>
        </w:r>
      </w:hyperlink>
      <w:r>
        <w:t xml:space="preserve">.</w:t>
      </w:r>
    </w:p>
    <w:bookmarkEnd w:id="77"/>
    <w:bookmarkStart w:id="79" w:name="ref-harpur_charles_2019"/>
    <w:p>
      <w:pPr>
        <w:pStyle w:val="Bibliography"/>
      </w:pPr>
      <w:r>
        <w:t xml:space="preserve">———. 2019.</w:t>
      </w:r>
      <w:r>
        <w:t xml:space="preserve"> </w:t>
      </w:r>
      <w:r>
        <w:rPr>
          <w:i/>
          <w:iCs/>
        </w:rPr>
        <w:t xml:space="preserve">Charles</w:t>
      </w:r>
      <w:r>
        <w:rPr>
          <w:i/>
          <w:iCs/>
        </w:rPr>
        <w:t xml:space="preserve"> </w:t>
      </w:r>
      <w:r>
        <w:rPr>
          <w:i/>
          <w:iCs/>
        </w:rPr>
        <w:t xml:space="preserve">Harpur</w:t>
      </w:r>
      <w:r>
        <w:rPr>
          <w:i/>
          <w:iCs/>
        </w:rPr>
        <w:t xml:space="preserve"> </w:t>
      </w:r>
      <w:r>
        <w:rPr>
          <w:i/>
          <w:iCs/>
        </w:rPr>
        <w:t xml:space="preserve">Critical</w:t>
      </w:r>
      <w:r>
        <w:rPr>
          <w:i/>
          <w:iCs/>
        </w:rPr>
        <w:t xml:space="preserve"> </w:t>
      </w:r>
      <w:r>
        <w:rPr>
          <w:i/>
          <w:iCs/>
        </w:rPr>
        <w:t xml:space="preserve">Archive</w:t>
      </w:r>
      <w:r>
        <w:t xml:space="preserve">. Edited by Paul Eggert. Sydney: Sydney University Press.</w:t>
      </w:r>
      <w:r>
        <w:t xml:space="preserve"> </w:t>
      </w:r>
      <w:hyperlink r:id="rId78">
        <w:r>
          <w:rPr>
            <w:rStyle w:val="Hyperlink"/>
          </w:rPr>
          <w:t xml:space="preserve">http://charles-harpur.org/</w:t>
        </w:r>
      </w:hyperlink>
      <w:r>
        <w:t xml:space="preserve">.</w:t>
      </w:r>
    </w:p>
    <w:bookmarkEnd w:id="79"/>
    <w:bookmarkStart w:id="80" w:name="ref-hemans_beings_1839"/>
    <w:p>
      <w:pPr>
        <w:pStyle w:val="Bibliography"/>
      </w:pPr>
      <w:r>
        <w:t xml:space="preserve">Hemans, Felicia. 1839.</w:t>
      </w:r>
      <w:r>
        <w:t xml:space="preserve"> </w:t>
      </w:r>
      <w:r>
        <w:t xml:space="preserve">“The</w:t>
      </w:r>
      <w:r>
        <w:t xml:space="preserve"> </w:t>
      </w:r>
      <w:r>
        <w:t xml:space="preserve">Beings</w:t>
      </w:r>
      <w:r>
        <w:t xml:space="preserve"> </w:t>
      </w:r>
      <w:r>
        <w:t xml:space="preserve">of the</w:t>
      </w:r>
      <w:r>
        <w:t xml:space="preserve"> </w:t>
      </w:r>
      <w:r>
        <w:t xml:space="preserve">Mind</w:t>
      </w:r>
      <w:r>
        <w:t xml:space="preserve">.”</w:t>
      </w:r>
      <w:r>
        <w:t xml:space="preserve"> </w:t>
      </w:r>
      <w:r>
        <w:t xml:space="preserve">In</w:t>
      </w:r>
      <w:r>
        <w:t xml:space="preserve"> </w:t>
      </w:r>
      <w:r>
        <w:rPr>
          <w:i/>
          <w:iCs/>
        </w:rPr>
        <w:t xml:space="preserve">Works of</w:t>
      </w:r>
      <w:r>
        <w:rPr>
          <w:i/>
          <w:iCs/>
        </w:rPr>
        <w:t xml:space="preserve"> </w:t>
      </w:r>
      <w:r>
        <w:rPr>
          <w:i/>
          <w:iCs/>
        </w:rPr>
        <w:t xml:space="preserve">Mrs</w:t>
      </w:r>
      <w:r>
        <w:rPr>
          <w:i/>
          <w:iCs/>
        </w:rPr>
        <w:t xml:space="preserve">.</w:t>
      </w:r>
      <w:r>
        <w:rPr>
          <w:i/>
          <w:iCs/>
        </w:rPr>
        <w:t xml:space="preserve"> </w:t>
      </w:r>
      <w:r>
        <w:rPr>
          <w:i/>
          <w:iCs/>
        </w:rPr>
        <w:t xml:space="preserve">Hemans</w:t>
      </w:r>
      <w:r>
        <w:rPr>
          <w:i/>
          <w:iCs/>
        </w:rPr>
        <w:t xml:space="preserve">, with a</w:t>
      </w:r>
      <w:r>
        <w:rPr>
          <w:i/>
          <w:iCs/>
        </w:rPr>
        <w:t xml:space="preserve"> </w:t>
      </w:r>
      <w:r>
        <w:rPr>
          <w:i/>
          <w:iCs/>
        </w:rPr>
        <w:t xml:space="preserve">Memoir</w:t>
      </w:r>
      <w:r>
        <w:rPr>
          <w:i/>
          <w:iCs/>
        </w:rPr>
        <w:t xml:space="preserve"> </w:t>
      </w:r>
      <w:r>
        <w:rPr>
          <w:i/>
          <w:iCs/>
        </w:rPr>
        <w:t xml:space="preserve">by Her</w:t>
      </w:r>
      <w:r>
        <w:rPr>
          <w:i/>
          <w:iCs/>
        </w:rPr>
        <w:t xml:space="preserve"> </w:t>
      </w:r>
      <w:r>
        <w:rPr>
          <w:i/>
          <w:iCs/>
        </w:rPr>
        <w:t xml:space="preserve">Sister</w:t>
      </w:r>
      <w:r>
        <w:t xml:space="preserve">, edited by Harriett Browne, 6:116–19. Edinburgh: Blackwood.</w:t>
      </w:r>
    </w:p>
    <w:bookmarkEnd w:id="80"/>
    <w:bookmarkStart w:id="81" w:name="ref-herder_against_1993"/>
    <w:p>
      <w:pPr>
        <w:pStyle w:val="Bibliography"/>
      </w:pPr>
      <w:r>
        <w:t xml:space="preserve">Herder, Johann Gottfried von. 1993.</w:t>
      </w:r>
      <w:r>
        <w:t xml:space="preserve"> </w:t>
      </w:r>
      <w:r>
        <w:rPr>
          <w:i/>
          <w:iCs/>
        </w:rPr>
        <w:t xml:space="preserve">Against Pure Reason: Writings on Religion, Language, and History</w:t>
      </w:r>
      <w:r>
        <w:t xml:space="preserve">. Translated by Marcia J. Bunge. Fortress Texts in Modern Theology. Minneapolis: Fortress Press.</w:t>
      </w:r>
    </w:p>
    <w:bookmarkEnd w:id="81"/>
    <w:bookmarkStart w:id="82"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30–54. Sydney: Sydney University Press.</w:t>
      </w:r>
    </w:p>
    <w:bookmarkEnd w:id="82"/>
    <w:bookmarkStart w:id="83"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8–30. Sydney: Sydney University Press.</w:t>
      </w:r>
    </w:p>
    <w:bookmarkEnd w:id="83"/>
    <w:bookmarkStart w:id="84" w:name="ref-jones_darkinyung_2008"/>
    <w:p>
      <w:pPr>
        <w:pStyle w:val="Bibliography"/>
      </w:pPr>
      <w:r>
        <w:t xml:space="preserve">Jones, Caroline. 2008.</w:t>
      </w:r>
      <w:r>
        <w:t xml:space="preserve"> </w:t>
      </w:r>
      <w:r>
        <w:rPr>
          <w:i/>
          <w:iCs/>
        </w:rPr>
        <w:t xml:space="preserve">Darkinyung Grammar and Dictionary: Revitalising a Language from Historical Sources</w:t>
      </w:r>
      <w:r>
        <w:t xml:space="preserve">. Nambucca Heads, N.S.W: Muurrbay Aboriginal Language; Culture Co-operative.</w:t>
      </w:r>
    </w:p>
    <w:bookmarkEnd w:id="84"/>
    <w:bookmarkStart w:id="85" w:name="ref-kane_australian_1996"/>
    <w:p>
      <w:pPr>
        <w:pStyle w:val="Bibliography"/>
      </w:pPr>
      <w:r>
        <w:t xml:space="preserve">Kane, Paul. 1996.</w:t>
      </w:r>
      <w:r>
        <w:t xml:space="preserve"> </w:t>
      </w:r>
      <w:r>
        <w:rPr>
          <w:i/>
          <w:iCs/>
        </w:rPr>
        <w:t xml:space="preserve">Australian</w:t>
      </w:r>
      <w:r>
        <w:rPr>
          <w:i/>
          <w:iCs/>
        </w:rPr>
        <w:t xml:space="preserve"> </w:t>
      </w:r>
      <w:r>
        <w:rPr>
          <w:i/>
          <w:iCs/>
        </w:rPr>
        <w:t xml:space="preserve">Poetry</w:t>
      </w:r>
      <w:r>
        <w:rPr>
          <w:i/>
          <w:iCs/>
        </w:rPr>
        <w:t xml:space="preserve">:</w:t>
      </w:r>
      <w:r>
        <w:rPr>
          <w:i/>
          <w:iCs/>
        </w:rPr>
        <w:t xml:space="preserve"> </w:t>
      </w:r>
      <w:r>
        <w:rPr>
          <w:i/>
          <w:iCs/>
        </w:rPr>
        <w:t xml:space="preserve">Romanticism</w:t>
      </w:r>
      <w:r>
        <w:rPr>
          <w:i/>
          <w:iCs/>
        </w:rPr>
        <w:t xml:space="preserve"> </w:t>
      </w:r>
      <w:r>
        <w:rPr>
          <w:i/>
          <w:iCs/>
        </w:rPr>
        <w:t xml:space="preserve">and</w:t>
      </w:r>
      <w:r>
        <w:rPr>
          <w:i/>
          <w:iCs/>
        </w:rPr>
        <w:t xml:space="preserve"> </w:t>
      </w:r>
      <w:r>
        <w:rPr>
          <w:i/>
          <w:iCs/>
        </w:rPr>
        <w:t xml:space="preserve">Negativity</w:t>
      </w:r>
      <w:r>
        <w:t xml:space="preserve">. Cambridge: Cambridge University Press.</w:t>
      </w:r>
    </w:p>
    <w:bookmarkEnd w:id="85"/>
    <w:bookmarkStart w:id="86"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
          <w:iCs/>
        </w:rPr>
        <w:t xml:space="preserve">Stalwart the</w:t>
      </w:r>
      <w:r>
        <w:rPr>
          <w:i/>
          <w:iCs/>
        </w:rPr>
        <w:t xml:space="preserve"> </w:t>
      </w:r>
      <w:r>
        <w:rPr>
          <w:i/>
          <w:iCs/>
        </w:rPr>
        <w:t xml:space="preserve">Bushranger</w:t>
      </w:r>
      <w:r>
        <w:rPr>
          <w:i/>
          <w:iCs/>
        </w:rPr>
        <w:t xml:space="preserve">, with</w:t>
      </w:r>
      <w:r>
        <w:rPr>
          <w:i/>
          <w:iCs/>
        </w:rPr>
        <w:t xml:space="preserve"> </w:t>
      </w:r>
      <w:r>
        <w:rPr>
          <w:i/>
          <w:iCs/>
        </w:rPr>
        <w:t xml:space="preserve">The</w:t>
      </w:r>
      <w:r>
        <w:rPr>
          <w:i/>
          <w:iCs/>
        </w:rPr>
        <w:t xml:space="preserve"> </w:t>
      </w:r>
      <w:r>
        <w:rPr>
          <w:i/>
          <w:iCs/>
        </w:rPr>
        <w:t xml:space="preserve">Tragedy</w:t>
      </w:r>
      <w:r>
        <w:rPr>
          <w:i/>
          <w:iCs/>
        </w:rPr>
        <w:t xml:space="preserve"> </w:t>
      </w:r>
      <w:r>
        <w:rPr>
          <w:i/>
          <w:iCs/>
        </w:rPr>
        <w:t xml:space="preserve">of</w:t>
      </w:r>
      <w:r>
        <w:rPr>
          <w:i/>
          <w:iCs/>
        </w:rPr>
        <w:t xml:space="preserve"> </w:t>
      </w:r>
      <w:r>
        <w:rPr>
          <w:i/>
          <w:iCs/>
        </w:rPr>
        <w:t xml:space="preserve">Donohoe</w:t>
      </w:r>
      <w:r>
        <w:t xml:space="preserve">, edited by Elizabeth Perkins, vi–x. Sydney: Currency Press.</w:t>
      </w:r>
    </w:p>
    <w:bookmarkEnd w:id="86"/>
    <w:bookmarkStart w:id="87" w:name="ref-lissarrague_salvage_2006"/>
    <w:p>
      <w:pPr>
        <w:pStyle w:val="Bibliography"/>
      </w:pPr>
      <w:r>
        <w:t xml:space="preserve">Lissarrague, Amanda. 2006.</w:t>
      </w:r>
      <w:r>
        <w:t xml:space="preserve"> </w:t>
      </w:r>
      <w:r>
        <w:rPr>
          <w:i/>
          <w:iCs/>
        </w:rPr>
        <w:t xml:space="preserve">A Salvage Grammar and Wordlist of the Language from the</w:t>
      </w:r>
      <w:r>
        <w:rPr>
          <w:i/>
          <w:iCs/>
        </w:rPr>
        <w:t xml:space="preserve"> </w:t>
      </w:r>
      <w:r>
        <w:rPr>
          <w:i/>
          <w:iCs/>
        </w:rPr>
        <w:t xml:space="preserve">Hunter</w:t>
      </w:r>
      <w:r>
        <w:rPr>
          <w:i/>
          <w:iCs/>
        </w:rPr>
        <w:t xml:space="preserve"> </w:t>
      </w:r>
      <w:r>
        <w:rPr>
          <w:i/>
          <w:iCs/>
        </w:rPr>
        <w:t xml:space="preserve">River</w:t>
      </w:r>
      <w:r>
        <w:rPr>
          <w:i/>
          <w:iCs/>
        </w:rPr>
        <w:t xml:space="preserve"> </w:t>
      </w:r>
      <w:r>
        <w:rPr>
          <w:i/>
          <w:iCs/>
        </w:rPr>
        <w:t xml:space="preserve">and</w:t>
      </w:r>
      <w:r>
        <w:rPr>
          <w:i/>
          <w:iCs/>
        </w:rPr>
        <w:t xml:space="preserve"> </w:t>
      </w:r>
      <w:r>
        <w:rPr>
          <w:i/>
          <w:iCs/>
        </w:rPr>
        <w:t xml:space="preserve">Lake</w:t>
      </w:r>
      <w:r>
        <w:rPr>
          <w:i/>
          <w:iCs/>
        </w:rPr>
        <w:t xml:space="preserve"> </w:t>
      </w:r>
      <w:r>
        <w:rPr>
          <w:i/>
          <w:iCs/>
        </w:rPr>
        <w:t xml:space="preserve">Macquarie</w:t>
      </w:r>
      <w:r>
        <w:t xml:space="preserve">. Nambucca Heads, NSW: Muurrbay Aboriginal Language; Culture Cooperative.</w:t>
      </w:r>
    </w:p>
    <w:bookmarkEnd w:id="87"/>
    <w:bookmarkStart w:id="88" w:name="ref-lissarrague_gamilaraay_2003"/>
    <w:p>
      <w:pPr>
        <w:pStyle w:val="Bibliography"/>
      </w:pPr>
      <w:r>
        <w:t xml:space="preserve">Lissarrague, Amanda, Anna Ash, and John Giacon, eds. 2003.</w:t>
      </w:r>
      <w:r>
        <w:t xml:space="preserve"> </w:t>
      </w:r>
      <w:r>
        <w:rPr>
          <w:i/>
          <w:iCs/>
        </w:rPr>
        <w:t xml:space="preserve">Gamilaraay,</w:t>
      </w:r>
      <w:r>
        <w:rPr>
          <w:i/>
          <w:iCs/>
        </w:rPr>
        <w:t xml:space="preserve"> </w:t>
      </w:r>
      <w:r>
        <w:rPr>
          <w:i/>
          <w:iCs/>
        </w:rPr>
        <w:t xml:space="preserve">Yuwaalaraay</w:t>
      </w:r>
      <w:r>
        <w:rPr>
          <w:i/>
          <w:iCs/>
        </w:rPr>
        <w:t xml:space="preserve"> </w:t>
      </w:r>
      <w:r>
        <w:rPr>
          <w:i/>
          <w:iCs/>
        </w:rPr>
        <w:t xml:space="preserve">&amp;</w:t>
      </w:r>
      <w:r>
        <w:rPr>
          <w:i/>
          <w:iCs/>
        </w:rPr>
        <w:t xml:space="preserve"> </w:t>
      </w:r>
      <w:r>
        <w:rPr>
          <w:i/>
          <w:iCs/>
        </w:rPr>
        <w:t xml:space="preserve">Yuwaalayaay</w:t>
      </w:r>
      <w:r>
        <w:rPr>
          <w:i/>
          <w:iCs/>
        </w:rPr>
        <w:t xml:space="preserve"> </w:t>
      </w:r>
      <w:r>
        <w:rPr>
          <w:i/>
          <w:iCs/>
        </w:rPr>
        <w:t xml:space="preserve">Dictionary</w:t>
      </w:r>
      <w:r>
        <w:t xml:space="preserve">. Alice Springs, N.T: IAD Press.</w:t>
      </w:r>
    </w:p>
    <w:bookmarkEnd w:id="88"/>
    <w:bookmarkStart w:id="89" w:name="ref-locke_essay_1975"/>
    <w:p>
      <w:pPr>
        <w:pStyle w:val="Bibliography"/>
      </w:pPr>
      <w:r>
        <w:t xml:space="preserve">Locke, John. 1975.</w:t>
      </w:r>
      <w:r>
        <w:t xml:space="preserve"> </w:t>
      </w:r>
      <w:r>
        <w:rPr>
          <w:i/>
          <w:iCs/>
        </w:rPr>
        <w:t xml:space="preserve">An</w:t>
      </w:r>
      <w:r>
        <w:rPr>
          <w:i/>
          <w:iCs/>
        </w:rPr>
        <w:t xml:space="preserve"> </w:t>
      </w:r>
      <w:r>
        <w:rPr>
          <w:i/>
          <w:iCs/>
        </w:rPr>
        <w:t xml:space="preserve">Essay</w:t>
      </w:r>
      <w:r>
        <w:rPr>
          <w:i/>
          <w:iCs/>
        </w:rPr>
        <w:t xml:space="preserve"> </w:t>
      </w:r>
      <w:r>
        <w:rPr>
          <w:i/>
          <w:iCs/>
        </w:rPr>
        <w:t xml:space="preserve">Concerning</w:t>
      </w:r>
      <w:r>
        <w:rPr>
          <w:i/>
          <w:iCs/>
        </w:rPr>
        <w:t xml:space="preserve"> </w:t>
      </w:r>
      <w:r>
        <w:rPr>
          <w:i/>
          <w:iCs/>
        </w:rPr>
        <w:t xml:space="preserve">Human</w:t>
      </w:r>
      <w:r>
        <w:rPr>
          <w:i/>
          <w:iCs/>
        </w:rPr>
        <w:t xml:space="preserve"> </w:t>
      </w:r>
      <w:r>
        <w:rPr>
          <w:i/>
          <w:iCs/>
        </w:rPr>
        <w:t xml:space="preserve">Understanding</w:t>
      </w:r>
      <w:r>
        <w:t xml:space="preserve">. Edited by Peter H. Nidditch. Oxford: Clarendon Press.</w:t>
      </w:r>
    </w:p>
    <w:bookmarkEnd w:id="89"/>
    <w:bookmarkStart w:id="90" w:name="ref-manning_balance_1877"/>
    <w:p>
      <w:pPr>
        <w:pStyle w:val="Bibliography"/>
      </w:pPr>
      <w:r>
        <w:t xml:space="preserve">Manning, Emily. 1877.</w:t>
      </w:r>
      <w:r>
        <w:t xml:space="preserve"> </w:t>
      </w:r>
      <w:r>
        <w:rPr>
          <w:i/>
          <w:iCs/>
        </w:rPr>
        <w:t xml:space="preserve">The Balance of Pain : And Other Poems</w:t>
      </w:r>
      <w:r>
        <w:t xml:space="preserve">. London: G. Bell.</w:t>
      </w:r>
    </w:p>
    <w:bookmarkEnd w:id="90"/>
    <w:bookmarkStart w:id="91"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
          <w:iCs/>
        </w:rPr>
        <w:t xml:space="preserve">Australian Literary Studies</w:t>
      </w:r>
      <w:r>
        <w:t xml:space="preserve"> </w:t>
      </w:r>
      <w:r>
        <w:t xml:space="preserve">14 (3): 279–96.</w:t>
      </w:r>
    </w:p>
    <w:bookmarkEnd w:id="91"/>
    <w:bookmarkStart w:id="92" w:name="ref-minter_settlement_2021"/>
    <w:p>
      <w:pPr>
        <w:pStyle w:val="Bibliography"/>
      </w:pPr>
      <w:r>
        <w:t xml:space="preserve">Minter, Peter. 2021.</w:t>
      </w:r>
      <w:r>
        <w:t xml:space="preserve"> </w:t>
      </w:r>
      <w:r>
        <w:t xml:space="preserve">“Settlement</w:t>
      </w:r>
      <w:r>
        <w:t xml:space="preserve"> </w:t>
      </w:r>
      <w:r>
        <w:t xml:space="preserve">Defiled</w:t>
      </w:r>
      <w:r>
        <w:t xml:space="preserve"> </w:t>
      </w:r>
      <w:r>
        <w:t xml:space="preserve">:</w:t>
      </w:r>
      <w:r>
        <w:t xml:space="preserve"> </w:t>
      </w:r>
      <w:r>
        <w:t xml:space="preserve">Ventriloquy</w:t>
      </w:r>
      <w:r>
        <w:t xml:space="preserve">,</w:t>
      </w:r>
      <w:r>
        <w:t xml:space="preserve"> </w:t>
      </w:r>
      <w:r>
        <w:t xml:space="preserve">Pollution</w:t>
      </w:r>
      <w:r>
        <w:t xml:space="preserve"> </w:t>
      </w:r>
      <w:r>
        <w:t xml:space="preserve">and</w:t>
      </w:r>
      <w:r>
        <w:t xml:space="preserve"> </w:t>
      </w:r>
      <w:r>
        <w:t xml:space="preserve">Nature</w:t>
      </w:r>
      <w:r>
        <w:t xml:space="preserve"> </w:t>
      </w:r>
      <w:r>
        <w:t xml:space="preserve">in</w:t>
      </w:r>
      <w:r>
        <w:t xml:space="preserve"> </w:t>
      </w:r>
      <w:r>
        <w:t xml:space="preserve">Eliza</w:t>
      </w:r>
      <w:r>
        <w:t xml:space="preserve"> </w:t>
      </w:r>
      <w:r>
        <w:t xml:space="preserve">Hamilton</w:t>
      </w:r>
      <w:r>
        <w:t xml:space="preserve"> </w:t>
      </w:r>
      <w:r>
        <w:t xml:space="preserve">Dunlops</w:t>
      </w:r>
      <w:r>
        <w:t xml:space="preserve">’ ’</w:t>
      </w:r>
      <w:r>
        <w:t xml:space="preserve">The</w:t>
      </w:r>
      <w:r>
        <w:t xml:space="preserve"> </w:t>
      </w:r>
      <w:r>
        <w:t xml:space="preserve">Aboriginal</w:t>
      </w:r>
      <w:r>
        <w:t xml:space="preserve"> </w:t>
      </w:r>
      <w:r>
        <w:t xml:space="preserve">Mother</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103–15. Sydney: Sydney University Press.</w:t>
      </w:r>
    </w:p>
    <w:bookmarkEnd w:id="92"/>
    <w:bookmarkStart w:id="94"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
          <w:iCs/>
        </w:rPr>
        <w:t xml:space="preserve">Journal of Australian Studies</w:t>
      </w:r>
      <w:r>
        <w:t xml:space="preserve"> </w:t>
      </w:r>
      <w:r>
        <w:t xml:space="preserve">28 (82): 85–93.</w:t>
      </w:r>
      <w:r>
        <w:t xml:space="preserve"> </w:t>
      </w:r>
      <w:hyperlink r:id="rId93">
        <w:r>
          <w:rPr>
            <w:rStyle w:val="Hyperlink"/>
          </w:rPr>
          <w:t xml:space="preserve">https://doi.org/10.1080/14443050409387958</w:t>
        </w:r>
      </w:hyperlink>
      <w:r>
        <w:t xml:space="preserve">.</w:t>
      </w:r>
    </w:p>
    <w:bookmarkEnd w:id="94"/>
    <w:bookmarkStart w:id="95"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91–101. Sydney: Sydney University Press.</w:t>
      </w:r>
    </w:p>
    <w:bookmarkEnd w:id="95"/>
    <w:bookmarkStart w:id="96" w:name="ref-tooke_epea_1805"/>
    <w:p>
      <w:pPr>
        <w:pStyle w:val="Bibliography"/>
      </w:pPr>
      <w:r>
        <w:t xml:space="preserve">Tooke, John Horne. 1805.</w:t>
      </w:r>
      <w:r>
        <w:t xml:space="preserve"> </w:t>
      </w:r>
      <w:r>
        <w:rPr>
          <w:i/>
          <w:iCs/>
        </w:rPr>
        <w:t xml:space="preserve">Epea Pteroenta.</w:t>
      </w:r>
      <w:r>
        <w:rPr>
          <w:i/>
          <w:iCs/>
        </w:rPr>
        <w:t xml:space="preserve"> </w:t>
      </w:r>
      <w:r>
        <w:rPr>
          <w:i/>
          <w:iCs/>
        </w:rPr>
        <w:t xml:space="preserve">Or</w:t>
      </w:r>
      <w:r>
        <w:rPr>
          <w:i/>
          <w:iCs/>
        </w:rPr>
        <w:t xml:space="preserve">, the Diversions of</w:t>
      </w:r>
      <w:r>
        <w:rPr>
          <w:i/>
          <w:iCs/>
        </w:rPr>
        <w:t xml:space="preserve"> </w:t>
      </w:r>
      <w:r>
        <w:rPr>
          <w:i/>
          <w:iCs/>
        </w:rPr>
        <w:t xml:space="preserve">Purley</w:t>
      </w:r>
      <w:r>
        <w:t xml:space="preserve">. Second Edition. London: J. Johnson.</w:t>
      </w:r>
    </w:p>
    <w:bookmarkEnd w:id="96"/>
    <w:bookmarkStart w:id="97" w:name="ref-troy_sydney_1993"/>
    <w:p>
      <w:pPr>
        <w:pStyle w:val="Bibliography"/>
      </w:pPr>
      <w:r>
        <w:t xml:space="preserve">Troy, Jakelin. 1993.</w:t>
      </w:r>
      <w:r>
        <w:t xml:space="preserve"> </w:t>
      </w:r>
      <w:r>
        <w:rPr>
          <w:i/>
          <w:iCs/>
        </w:rPr>
        <w:t xml:space="preserve">The</w:t>
      </w:r>
      <w:r>
        <w:rPr>
          <w:i/>
          <w:iCs/>
        </w:rPr>
        <w:t xml:space="preserve"> </w:t>
      </w:r>
      <w:r>
        <w:rPr>
          <w:i/>
          <w:iCs/>
        </w:rPr>
        <w:t xml:space="preserve">Sydney</w:t>
      </w:r>
      <w:r>
        <w:rPr>
          <w:i/>
          <w:iCs/>
        </w:rPr>
        <w:t xml:space="preserve"> </w:t>
      </w:r>
      <w:r>
        <w:rPr>
          <w:i/>
          <w:iCs/>
        </w:rPr>
        <w:t xml:space="preserve">Language</w:t>
      </w:r>
      <w:r>
        <w:t xml:space="preserve">. Canberra: Jakelin Troy.</w:t>
      </w:r>
    </w:p>
    <w:bookmarkEnd w:id="97"/>
    <w:bookmarkStart w:id="98" w:name="ref-tuan_space_1977"/>
    <w:p>
      <w:pPr>
        <w:pStyle w:val="Bibliography"/>
      </w:pPr>
      <w:r>
        <w:t xml:space="preserve">Tuan, Yi-Fu. 1977.</w:t>
      </w:r>
      <w:r>
        <w:t xml:space="preserve"> </w:t>
      </w:r>
      <w:r>
        <w:rPr>
          <w:i/>
          <w:iCs/>
        </w:rPr>
        <w:t xml:space="preserve">Space and</w:t>
      </w:r>
      <w:r>
        <w:rPr>
          <w:i/>
          <w:iCs/>
        </w:rPr>
        <w:t xml:space="preserve"> </w:t>
      </w:r>
      <w:r>
        <w:rPr>
          <w:i/>
          <w:iCs/>
        </w:rPr>
        <w:t xml:space="preserve">Place</w:t>
      </w:r>
      <w:r>
        <w:rPr>
          <w:i/>
          <w:iCs/>
        </w:rPr>
        <w:t xml:space="preserve">:</w:t>
      </w:r>
      <w:r>
        <w:rPr>
          <w:i/>
          <w:iCs/>
        </w:rPr>
        <w:t xml:space="preserve"> </w:t>
      </w:r>
      <w:r>
        <w:rPr>
          <w:i/>
          <w:iCs/>
        </w:rPr>
        <w:t xml:space="preserve">The</w:t>
      </w:r>
      <w:r>
        <w:rPr>
          <w:i/>
          <w:iCs/>
        </w:rPr>
        <w:t xml:space="preserve"> </w:t>
      </w:r>
      <w:r>
        <w:rPr>
          <w:i/>
          <w:iCs/>
        </w:rPr>
        <w:t xml:space="preserve">Perspective</w:t>
      </w:r>
      <w:r>
        <w:rPr>
          <w:i/>
          <w:iCs/>
        </w:rPr>
        <w:t xml:space="preserve"> </w:t>
      </w:r>
      <w:r>
        <w:rPr>
          <w:i/>
          <w:iCs/>
        </w:rPr>
        <w:t xml:space="preserve">of</w:t>
      </w:r>
      <w:r>
        <w:rPr>
          <w:i/>
          <w:iCs/>
        </w:rPr>
        <w:t xml:space="preserve"> </w:t>
      </w:r>
      <w:r>
        <w:rPr>
          <w:i/>
          <w:iCs/>
        </w:rPr>
        <w:t xml:space="preserve">Experience</w:t>
      </w:r>
      <w:r>
        <w:t xml:space="preserve">. Minneapolis; London: University of Minnesota Press.</w:t>
      </w:r>
    </w:p>
    <w:bookmarkEnd w:id="98"/>
    <w:bookmarkStart w:id="100"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
          <w:iCs/>
        </w:rPr>
        <w:t xml:space="preserve">Terra</w:t>
      </w:r>
      <w:r>
        <w:rPr>
          <w:i/>
          <w:iCs/>
        </w:rPr>
        <w:t xml:space="preserve"> </w:t>
      </w:r>
      <w:r>
        <w:rPr>
          <w:i/>
          <w:iCs/>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
          <w:iCs/>
        </w:rPr>
        <w:t xml:space="preserve">World Literature Written in English</w:t>
      </w:r>
      <w:r>
        <w:t xml:space="preserve"> </w:t>
      </w:r>
      <w:r>
        <w:t xml:space="preserve">32 (2): 87–97.</w:t>
      </w:r>
      <w:r>
        <w:t xml:space="preserve"> </w:t>
      </w:r>
      <w:hyperlink r:id="rId99">
        <w:r>
          <w:rPr>
            <w:rStyle w:val="Hyperlink"/>
          </w:rPr>
          <w:t xml:space="preserve">https://doi.org/10.1080/17449859208589194</w:t>
        </w:r>
      </w:hyperlink>
      <w:r>
        <w:t xml:space="preserve">.</w:t>
      </w:r>
    </w:p>
    <w:bookmarkEnd w:id="100"/>
    <w:bookmarkStart w:id="102"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
          <w:iCs/>
        </w:rPr>
        <w:t xml:space="preserve">Recirculating</w:t>
      </w:r>
      <w:r>
        <w:rPr>
          <w:i/>
          <w:iCs/>
        </w:rPr>
        <w:t xml:space="preserve"> </w:t>
      </w:r>
      <w:r>
        <w:rPr>
          <w:i/>
          <w:iCs/>
        </w:rPr>
        <w:t xml:space="preserve">Songs</w:t>
      </w:r>
      <w:r>
        <w:rPr>
          <w:i/>
          <w:iCs/>
        </w:rPr>
        <w:t xml:space="preserve">:</w:t>
      </w:r>
      <w:r>
        <w:rPr>
          <w:i/>
          <w:iCs/>
        </w:rPr>
        <w:t xml:space="preserve"> </w:t>
      </w:r>
      <w:r>
        <w:rPr>
          <w:i/>
          <w:iCs/>
        </w:rPr>
        <w:t xml:space="preserve">Revitalising</w:t>
      </w:r>
      <w:r>
        <w:rPr>
          <w:i/>
          <w:iCs/>
        </w:rPr>
        <w:t xml:space="preserve"> </w:t>
      </w:r>
      <w:r>
        <w:rPr>
          <w:i/>
          <w:iCs/>
        </w:rPr>
        <w:t xml:space="preserve">the Singing Practices of</w:t>
      </w:r>
      <w:r>
        <w:rPr>
          <w:i/>
          <w:iCs/>
        </w:rPr>
        <w:t xml:space="preserve"> </w:t>
      </w:r>
      <w:r>
        <w:rPr>
          <w:i/>
          <w:iCs/>
        </w:rPr>
        <w:t xml:space="preserve">Indigenous</w:t>
      </w:r>
      <w:r>
        <w:rPr>
          <w:i/>
          <w:iCs/>
        </w:rPr>
        <w:t xml:space="preserve"> </w:t>
      </w:r>
      <w:r>
        <w:rPr>
          <w:i/>
          <w:iCs/>
        </w:rPr>
        <w:t xml:space="preserve">Australia</w:t>
      </w:r>
      <w:r>
        <w:t xml:space="preserve">, 193–256. Newcastle: Hunter Press.</w:t>
      </w:r>
      <w:r>
        <w:t xml:space="preserve"> </w:t>
      </w:r>
      <w:hyperlink r:id="rId101">
        <w:r>
          <w:rPr>
            <w:rStyle w:val="Hyperlink"/>
          </w:rPr>
          <w:t xml:space="preserve">https://openresearch-repository.anu.edu.au/bitstream/1885/132161/18/9_wafer.pdf</w:t>
        </w:r>
      </w:hyperlink>
      <w:r>
        <w:t xml:space="preserve">.</w:t>
      </w:r>
    </w:p>
    <w:bookmarkEnd w:id="102"/>
    <w:bookmarkStart w:id="103"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154–73. Sydney: Sydney University Press.</w:t>
      </w:r>
    </w:p>
    <w:bookmarkEnd w:id="103"/>
    <w:bookmarkStart w:id="105" w:name="ref-webby_representations_2013"/>
    <w:p>
      <w:pPr>
        <w:pStyle w:val="Bibliography"/>
      </w:pPr>
      <w:r>
        <w:t xml:space="preserve">Webby, Elizabeth. 2013.</w:t>
      </w:r>
      <w:r>
        <w:t xml:space="preserve"> </w:t>
      </w:r>
      <w:r>
        <w:t xml:space="preserve">“Representations of ’</w:t>
      </w:r>
      <w:r>
        <w:t xml:space="preserve">The</w:t>
      </w:r>
      <w:r>
        <w:t xml:space="preserve"> </w:t>
      </w:r>
      <w:r>
        <w:t xml:space="preserve">Bush</w:t>
      </w:r>
      <w:r>
        <w:t xml:space="preserve">’ in the</w:t>
      </w:r>
      <w:r>
        <w:t xml:space="preserve"> </w:t>
      </w:r>
      <w:r>
        <w:t xml:space="preserve">Poetry</w:t>
      </w:r>
      <w:r>
        <w:t xml:space="preserve"> </w:t>
      </w:r>
      <w:r>
        <w:t xml:space="preserve">of</w:t>
      </w:r>
      <w:r>
        <w:t xml:space="preserve"> </w:t>
      </w:r>
      <w:r>
        <w:t xml:space="preserve">Charles</w:t>
      </w:r>
      <w:r>
        <w:t xml:space="preserve"> </w:t>
      </w:r>
      <w:r>
        <w:t xml:space="preserve">Harpur</w:t>
      </w:r>
      <w:r>
        <w:t xml:space="preserve">.”</w:t>
      </w:r>
      <w:r>
        <w:t xml:space="preserve"> </w:t>
      </w:r>
      <w:r>
        <w:rPr>
          <w:i/>
          <w:iCs/>
        </w:rPr>
        <w:t xml:space="preserve">JASAL</w:t>
      </w:r>
      <w:r>
        <w:t xml:space="preserve"> </w:t>
      </w:r>
      <w:r>
        <w:t xml:space="preserve">14 (3): 1–8.</w:t>
      </w:r>
      <w:r>
        <w:t xml:space="preserve"> </w:t>
      </w:r>
      <w:hyperlink r:id="rId104">
        <w:r>
          <w:rPr>
            <w:rStyle w:val="Hyperlink"/>
          </w:rPr>
          <w:t xml:space="preserve">https://openjournals.library.sydney.edu.au/JASAL/article/view/10266</w:t>
        </w:r>
      </w:hyperlink>
      <w:r>
        <w:t xml:space="preserve">.</w:t>
      </w:r>
    </w:p>
    <w:bookmarkEnd w:id="105"/>
    <w:bookmarkStart w:id="106"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
          <w:iCs/>
        </w:rPr>
        <w:t xml:space="preserve">Eliza</w:t>
      </w:r>
      <w:r>
        <w:rPr>
          <w:i/>
          <w:iCs/>
        </w:rPr>
        <w:t xml:space="preserve"> </w:t>
      </w:r>
      <w:r>
        <w:rPr>
          <w:i/>
          <w:iCs/>
        </w:rPr>
        <w:t xml:space="preserve">Hamilton</w:t>
      </w:r>
      <w:r>
        <w:rPr>
          <w:i/>
          <w:iCs/>
        </w:rPr>
        <w:t xml:space="preserve"> </w:t>
      </w:r>
      <w:r>
        <w:rPr>
          <w:i/>
          <w:iCs/>
        </w:rPr>
        <w:t xml:space="preserve">Dunlop</w:t>
      </w:r>
      <w:r>
        <w:rPr>
          <w:i/>
          <w:iCs/>
        </w:rPr>
        <w:t xml:space="preserve"> </w:t>
      </w:r>
      <w:r>
        <w:rPr>
          <w:i/>
          <w:iCs/>
        </w:rPr>
        <w:t xml:space="preserve">:</w:t>
      </w:r>
      <w:r>
        <w:rPr>
          <w:i/>
          <w:iCs/>
        </w:rPr>
        <w:t xml:space="preserve"> </w:t>
      </w:r>
      <w:r>
        <w:rPr>
          <w:i/>
          <w:iCs/>
        </w:rPr>
        <w:t xml:space="preserve">Writing</w:t>
      </w:r>
      <w:r>
        <w:rPr>
          <w:i/>
          <w:iCs/>
        </w:rPr>
        <w:t xml:space="preserve"> </w:t>
      </w:r>
      <w:r>
        <w:rPr>
          <w:i/>
          <w:iCs/>
        </w:rPr>
        <w:t xml:space="preserve">from the</w:t>
      </w:r>
      <w:r>
        <w:rPr>
          <w:i/>
          <w:iCs/>
        </w:rPr>
        <w:t xml:space="preserve"> </w:t>
      </w:r>
      <w:r>
        <w:rPr>
          <w:i/>
          <w:iCs/>
        </w:rPr>
        <w:t xml:space="preserve">Colonial</w:t>
      </w:r>
      <w:r>
        <w:rPr>
          <w:i/>
          <w:iCs/>
        </w:rPr>
        <w:t xml:space="preserve"> </w:t>
      </w:r>
      <w:r>
        <w:rPr>
          <w:i/>
          <w:iCs/>
        </w:rPr>
        <w:t xml:space="preserve">Frontier</w:t>
      </w:r>
      <w:r>
        <w:t xml:space="preserve">, edited by Anna Johnston and Elizabeth Webby, ebook, 56–73. Sydney: Sydney University Press.</w:t>
      </w:r>
    </w:p>
    <w:bookmarkEnd w:id="106"/>
    <w:bookmarkStart w:id="108"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
          <w:iCs/>
        </w:rPr>
        <w:t xml:space="preserve">The Sydney Morning Herald</w:t>
      </w:r>
      <w:r>
        <w:t xml:space="preserve">, October.</w:t>
      </w:r>
      <w:r>
        <w:t xml:space="preserve"> </w:t>
      </w:r>
      <w:hyperlink r:id="rId107">
        <w:r>
          <w:rPr>
            <w:rStyle w:val="Hyperlink"/>
          </w:rPr>
          <w:t xml:space="preserve">http://nla.gov.au/nla.news-article12904464</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
          <w:iCs/>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
          <w:iCs/>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3">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5">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
          <w:iCs/>
        </w:rPr>
        <w:t xml:space="preserve">teleltella</w:t>
      </w:r>
      <w:r>
        <w:t xml:space="preserve">.</w:t>
      </w:r>
    </w:p>
  </w:footnote>
  <w:footnote w:id="37">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38">
    <w:p>
      <w:pPr>
        <w:pStyle w:val="FootnoteText"/>
      </w:pPr>
      <w:r>
        <w:rPr>
          <w:rStyle w:val="FootnoteReference"/>
        </w:rPr>
        <w:footnoteRef/>
      </w:r>
      <w:r>
        <w:t xml:space="preserve"> </w:t>
      </w:r>
      <w:r>
        <w:t xml:space="preserve">The word is Harpur’s. See for instance h185b.</w:t>
      </w:r>
    </w:p>
  </w:footnote>
  <w:footnote w:id="40">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1">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8" Target="http://charles-harpur.org/" TargetMode="External" /><Relationship Type="http://schemas.openxmlformats.org/officeDocument/2006/relationships/hyperlink" Id="rId55" Target="http://nla.gov.au/nla.news-article114733889" TargetMode="External" /><Relationship Type="http://schemas.openxmlformats.org/officeDocument/2006/relationships/hyperlink" Id="rId107" Target="http://nla.gov.au/nla.news-article12904464" TargetMode="External" /><Relationship Type="http://schemas.openxmlformats.org/officeDocument/2006/relationships/hyperlink" Id="rId76" Target="http://nla.gov.au/nla.news-article228135900" TargetMode="External" /><Relationship Type="http://schemas.openxmlformats.org/officeDocument/2006/relationships/hyperlink" Id="rId57" Target="http://nla.gov.au/nla.news-article70497610" TargetMode="External" /><Relationship Type="http://schemas.openxmlformats.org/officeDocument/2006/relationships/hyperlink" Id="rId62" Target="http://nla.gov.au/nla.obj-166023361" TargetMode="External" /><Relationship Type="http://schemas.openxmlformats.org/officeDocument/2006/relationships/hyperlink" Id="rId60" Target="https://collection.sl.nsw.gov.au/record/Yold2BN9" TargetMode="External" /><Relationship Type="http://schemas.openxmlformats.org/officeDocument/2006/relationships/hyperlink" Id="rId47" Target="https://doi.org/10.1007/BF00135843" TargetMode="External" /><Relationship Type="http://schemas.openxmlformats.org/officeDocument/2006/relationships/hyperlink" Id="rId51" Target="https://doi.org/10.1080/00497870600904144" TargetMode="External" /><Relationship Type="http://schemas.openxmlformats.org/officeDocument/2006/relationships/hyperlink" Id="rId93" Target="https://doi.org/10.1080/14443050409387958" TargetMode="External" /><Relationship Type="http://schemas.openxmlformats.org/officeDocument/2006/relationships/hyperlink" Id="rId99"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104" Target="https://openjournals.library.sydney.edu.au/JASAL/article/view/10266" TargetMode="External" /><Relationship Type="http://schemas.openxmlformats.org/officeDocument/2006/relationships/hyperlink" Id="rId64" Target="https://openjournals.library.sydney.edu.au/JASAL/article/view/11011" TargetMode="External" /><Relationship Type="http://schemas.openxmlformats.org/officeDocument/2006/relationships/hyperlink" Id="rId67" Target="https://openjournals.library.sydney.edu.au/index.php/JASAL/article/view/13026" TargetMode="External" /><Relationship Type="http://schemas.openxmlformats.org/officeDocument/2006/relationships/hyperlink" Id="rId101" Target="https://openresearch-repository.anu.edu.au/bitstream/1885/132161/18/9_wafer.pdf" TargetMode="External" /><Relationship Type="http://schemas.openxmlformats.org/officeDocument/2006/relationships/hyperlink" Id="rId72"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2024-05-22T02:39:22Z</dcterms:created>
  <dcterms:modified xsi:type="dcterms:W3CDTF">2024-05-22T02:39:22Z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