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 w:cs="Arial"/>
          <w:b/>
          <w:sz w:val="26"/>
          <w:rtl/>
          <w:szCs w:val="26"/>
          <w:bCs/>
        </w:rPr>
        <w:t>עלויות שכר לחודש למשרה מלאה – מכרז 2553/2026 (סעיף 2.5.7)</w:t>
      </w:r>
    </w:p>
    <w:p>
      <w:pPr>
        <w:bidi/>
        <w:jc w:val="right"/>
      </w:pPr>
      <w:r>
        <w:rPr>
          <w:rFonts w:ascii="Arial" w:hAnsi="Arial" w:cs="Arial"/>
          <w:b w:val="0"/>
          <w:sz w:val="20"/>
          <w:rtl/>
          <w:szCs w:val="20"/>
        </w:rPr>
        <w:t>עלות שכר בלבד, ללא אחזקת רכב, נסיעות ותקורה.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2381"/>
        <w:gridCol w:w="1247"/>
        <w:gridCol w:w="1928"/>
        <w:gridCol w:w="2041"/>
        <w:gridCol w:w="2041"/>
      </w:tblGrid>
      <w:tr>
        <w:tc>
          <w:tcPr>
            <w:tcW w:type="dxa" w:w="2381"/>
            <w:shd w:val="clear" w:color="auto" w:fill="D9E2F3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</w: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תפקיד</w:t>
            </w:r>
          </w:p>
        </w:tc>
        <w:tc>
          <w:tcPr>
            <w:tcW w:type="dxa" w:w="1247"/>
            <w:shd w:val="clear" w:color="auto" w:fill="D9E2F3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</w: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</w:r>
          </w:p>
        </w:tc>
        <w:tc>
          <w:tcPr>
            <w:tcW w:type="dxa" w:w="1928"/>
            <w:shd w:val="clear" w:color="auto" w:fill="D9E2F3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</w: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עלות שכר לפי המכרז</w:t>
            </w:r>
          </w:p>
        </w:tc>
        <w:tc>
          <w:tcPr>
            <w:tcW w:type="dxa" w:w="2041"/>
            <w:shd w:val="clear" w:color="auto" w:fill="D9E2F3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</w: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אחרי מס שכר 7.5% (מלכ"ר)</w:t>
            </w:r>
          </w:p>
        </w:tc>
        <w:tc>
          <w:tcPr>
            <w:tcW w:type="dxa" w:w="2041"/>
            <w:shd w:val="clear" w:color="auto" w:fill="D9E2F3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</w: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אחרי מע"מ 18% (חייב במע"מ)</w:t>
            </w:r>
          </w:p>
        </w:tc>
      </w:tr>
      <w:tr>
        <w:tc>
          <w:tcPr>
            <w:tcW w:type="dxa" w:w="2381"/>
            <w:vMerge w:val="restart"/>
            <w:shd w:val="clear" w:color="auto" w:fill="F2F2F2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</w: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סגן ממונה מחוזי</w:t>
            </w:r>
          </w:p>
        </w:tc>
        <w:tc>
          <w:tcPr>
            <w:tcW w:type="dxa" w:w="124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מינימום</w:t>
            </w:r>
          </w:p>
        </w:tc>
        <w:tc>
          <w:tcPr>
            <w:tcW w:type="dxa" w:w="192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16,500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15,349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13,983 ₪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24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מקסימום</w:t>
            </w:r>
          </w:p>
        </w:tc>
        <w:tc>
          <w:tcPr>
            <w:tcW w:type="dxa" w:w="192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19,000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17,674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16,102 ₪</w:t>
            </w:r>
          </w:p>
        </w:tc>
      </w:tr>
      <w:tr>
        <w:tc>
          <w:tcPr>
            <w:tcW w:type="dxa" w:w="2381"/>
            <w:vMerge w:val="restart"/>
            <w:shd w:val="clear" w:color="auto" w:fill="F2F2F2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</w: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מנהל 360 ברשות מקומית</w:t>
            </w:r>
          </w:p>
        </w:tc>
        <w:tc>
          <w:tcPr>
            <w:tcW w:type="dxa" w:w="124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מינימום</w:t>
            </w:r>
          </w:p>
        </w:tc>
        <w:tc>
          <w:tcPr>
            <w:tcW w:type="dxa" w:w="192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14,000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13,023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11,864 ₪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24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מקסימום</w:t>
            </w:r>
          </w:p>
        </w:tc>
        <w:tc>
          <w:tcPr>
            <w:tcW w:type="dxa" w:w="192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16,300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15,163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13,814 ₪</w:t>
            </w:r>
          </w:p>
        </w:tc>
      </w:tr>
      <w:tr>
        <w:tc>
          <w:tcPr>
            <w:tcW w:type="dxa" w:w="2381"/>
            <w:vMerge w:val="restart"/>
            <w:shd w:val="clear" w:color="auto" w:fill="F2F2F2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</w: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רכז פרויקטים</w:t>
            </w:r>
          </w:p>
        </w:tc>
        <w:tc>
          <w:tcPr>
            <w:tcW w:type="dxa" w:w="124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מינימום</w:t>
            </w:r>
          </w:p>
        </w:tc>
        <w:tc>
          <w:tcPr>
            <w:tcW w:type="dxa" w:w="192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14,000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13,023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11,864 ₪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24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מקסימום</w:t>
            </w:r>
          </w:p>
        </w:tc>
        <w:tc>
          <w:tcPr>
            <w:tcW w:type="dxa" w:w="192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16,300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15,163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13,814 ₪</w:t>
            </w:r>
          </w:p>
        </w:tc>
      </w:tr>
      <w:tr>
        <w:tc>
          <w:tcPr>
            <w:tcW w:type="dxa" w:w="2381"/>
            <w:vMerge w:val="restart"/>
            <w:shd w:val="clear" w:color="auto" w:fill="F2F2F2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</w: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רכז אדמיניסטרטיבי</w:t>
            </w:r>
          </w:p>
        </w:tc>
        <w:tc>
          <w:tcPr>
            <w:tcW w:type="dxa" w:w="124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מינימום</w:t>
            </w:r>
          </w:p>
        </w:tc>
        <w:tc>
          <w:tcPr>
            <w:tcW w:type="dxa" w:w="192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11,000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10,233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9,322 ₪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24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מקסימום</w:t>
            </w:r>
          </w:p>
        </w:tc>
        <w:tc>
          <w:tcPr>
            <w:tcW w:type="dxa" w:w="192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13,000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12,093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11,017 ₪</w:t>
            </w:r>
          </w:p>
        </w:tc>
      </w:tr>
      <w:tr>
        <w:tc>
          <w:tcPr>
            <w:tcW w:type="dxa" w:w="2381"/>
            <w:vMerge w:val="restart"/>
            <w:shd w:val="clear" w:color="auto" w:fill="F2F2F2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</w:r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איש עריכת תוכן</w:t>
            </w:r>
          </w:p>
        </w:tc>
        <w:tc>
          <w:tcPr>
            <w:tcW w:type="dxa" w:w="124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מינימום</w:t>
            </w:r>
          </w:p>
        </w:tc>
        <w:tc>
          <w:tcPr>
            <w:tcW w:type="dxa" w:w="192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9,500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8,837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8,051 ₪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24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מקסימום</w:t>
            </w:r>
          </w:p>
        </w:tc>
        <w:tc>
          <w:tcPr>
            <w:tcW w:type="dxa" w:w="192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11,000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10,233 ₪</w:t>
            </w:r>
          </w:p>
        </w:tc>
        <w:tc>
          <w:tcPr>
            <w:tcW w:type="dxa" w:w="2041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</w: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9,322 ₪</w:t>
            </w:r>
          </w:p>
        </w:tc>
      </w:tr>
    </w:tbl>
    <w:p/>
    <w:p>
      <w:pPr>
        <w:bidi/>
        <w:jc w:val="right"/>
      </w:pPr>
      <w:r>
        <w:rPr>
          <w:rFonts w:ascii="Arial" w:hAnsi="Arial" w:cs="Arial"/>
          <w:b/>
          <w:sz w:val="20"/>
          <w:rtl/>
          <w:szCs w:val="20"/>
          <w:bCs/>
        </w:rPr>
        <w:t>אופן החישוב:</w:t>
      </w:r>
    </w:p>
    <w:p>
      <w:pPr>
        <w:bidi/>
        <w:jc w:val="right"/>
      </w:pPr>
      <w:r>
        <w:rPr>
          <w:rFonts w:ascii="Arial" w:hAnsi="Arial" w:cs="Arial"/>
          <w:b w:val="0"/>
          <w:sz w:val="20"/>
          <w:rtl/>
          <w:szCs w:val="20"/>
        </w:rPr>
        <w:t>• מס שכר – עלות השכר חלקי 1.075 (שיעור מס שכר מקובל למלכ"ר; לפי תשובה 55 בהבהרות, מס השכר נכלל בתקרת העלות).</w:t>
      </w:r>
    </w:p>
    <w:p>
      <w:pPr>
        <w:bidi/>
        <w:jc w:val="right"/>
      </w:pPr>
      <w:r>
        <w:rPr>
          <w:rFonts w:ascii="Arial" w:hAnsi="Arial" w:cs="Arial"/>
          <w:b w:val="0"/>
          <w:sz w:val="20"/>
          <w:rtl/>
          <w:szCs w:val="20"/>
        </w:rPr>
        <w:t>• מע"מ – עלות השכר חלקי 1.18 (לפי סעיף 4.3.2 למכרז וסעיף 5.1.2 להסכם, התשלום כולל מע"מ).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