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left"/>
      </w:pPr>
      <w:r>
        <w:rPr>
          <w:rFonts w:ascii="Calibri" w:cs="Calibri" w:eastAsia="Calibri" w:hAnsi="Calibri"/>
          <w:b/>
          <w:bCs/>
          <w:color w:val="1F3864"/>
          <w:sz w:val="60"/>
          <w:szCs w:val="60"/>
        </w:rPr>
        <w:t xml:space="preserve">Replacing Ajera</w:t>
      </w:r>
    </w:p>
    <w:p>
      <w:pPr>
        <w:spacing w:after="300"/>
        <w:jc w:val="left"/>
      </w:pPr>
      <w:r>
        <w:rPr>
          <w:rFonts w:ascii="Calibri" w:cs="Calibri" w:eastAsia="Calibri" w:hAnsi="Calibri"/>
          <w:i/>
          <w:iCs/>
          <w:color w:val="595959"/>
          <w:sz w:val="26"/>
          <w:szCs w:val="26"/>
        </w:rPr>
        <w:t xml:space="preserve">Backup assessment, data-recovery options, and a phased migration plan</w:t>
      </w:r>
    </w:p>
    <w:p>
      <w:pPr>
        <w:pBdr>
          <w:top w:val="single" w:color="C55A11" w:sz="12"/>
        </w:pBdr>
        <w:spacing w:after="200"/>
      </w:pPr>
    </w:p>
    <w:p>
      <w:pPr>
        <w:spacing w:after="120" w:line="276"/>
      </w:pPr>
      <w:r>
        <w:rPr>
          <w:rFonts w:ascii="Calibri" w:cs="Calibri" w:eastAsia="Calibri" w:hAnsi="Calibri"/>
          <w:b/>
          <w:bCs/>
          <w:color w:val="1F3864"/>
          <w:sz w:val="21"/>
          <w:szCs w:val="21"/>
        </w:rPr>
        <w:t xml:space="preserve">Prepared for  </w:t>
      </w:r>
      <w:r>
        <w:rPr>
          <w:rFonts w:ascii="Calibri" w:cs="Calibri" w:eastAsia="Calibri" w:hAnsi="Calibri"/>
          <w:color w:val="262626"/>
          <w:sz w:val="21"/>
          <w:szCs w:val="21"/>
        </w:rPr>
        <w:t xml:space="preserve">Brooks Stevens Inc.</w:t>
      </w:r>
    </w:p>
    <w:p>
      <w:pPr>
        <w:spacing w:after="120" w:line="276"/>
      </w:pPr>
      <w:r>
        <w:rPr>
          <w:rFonts w:ascii="Calibri" w:cs="Calibri" w:eastAsia="Calibri" w:hAnsi="Calibri"/>
          <w:b/>
          <w:bCs/>
          <w:color w:val="1F3864"/>
          <w:sz w:val="21"/>
          <w:szCs w:val="21"/>
        </w:rPr>
        <w:t xml:space="preserve">Owner  </w:t>
      </w:r>
      <w:r>
        <w:rPr>
          <w:rFonts w:ascii="Calibri" w:cs="Calibri" w:eastAsia="Calibri" w:hAnsi="Calibri"/>
          <w:color w:val="262626"/>
          <w:sz w:val="21"/>
          <w:szCs w:val="21"/>
        </w:rPr>
        <w:t xml:space="preserve">Michael Hopkins</w:t>
      </w:r>
    </w:p>
    <w:p>
      <w:pPr>
        <w:spacing w:after="120" w:line="276"/>
      </w:pPr>
      <w:r>
        <w:rPr>
          <w:rFonts w:ascii="Calibri" w:cs="Calibri" w:eastAsia="Calibri" w:hAnsi="Calibri"/>
          <w:b/>
          <w:bCs/>
          <w:color w:val="1F3864"/>
          <w:sz w:val="21"/>
          <w:szCs w:val="21"/>
        </w:rPr>
        <w:t xml:space="preserve">Date  </w:t>
      </w:r>
      <w:r>
        <w:rPr>
          <w:rFonts w:ascii="Calibri" w:cs="Calibri" w:eastAsia="Calibri" w:hAnsi="Calibri"/>
          <w:color w:val="262626"/>
          <w:sz w:val="21"/>
          <w:szCs w:val="21"/>
        </w:rPr>
        <w:t xml:space="preserve">August 1, 2026</w:t>
      </w:r>
    </w:p>
    <w:p>
      <w:pPr>
        <w:spacing w:after="120" w:line="276"/>
      </w:pPr>
      <w:r>
        <w:rPr>
          <w:rFonts w:ascii="Calibri" w:cs="Calibri" w:eastAsia="Calibri" w:hAnsi="Calibri"/>
          <w:b/>
          <w:bCs/>
          <w:color w:val="1F3864"/>
          <w:sz w:val="21"/>
          <w:szCs w:val="21"/>
        </w:rPr>
        <w:t xml:space="preserve">Scope  </w:t>
      </w:r>
      <w:r>
        <w:rPr>
          <w:rFonts w:ascii="Calibri" w:cs="Calibri" w:eastAsia="Calibri" w:hAnsi="Calibri"/>
          <w:color w:val="262626"/>
          <w:sz w:val="21"/>
          <w:szCs w:val="21"/>
        </w:rPr>
        <w:t xml:space="preserve">Replace Ajera as the firm's time tracking, project accounting, invoicing, and financial reporting system.</w:t>
      </w:r>
    </w:p>
    <w:p>
      <w:r>
        <w:br w:type="page"/>
      </w:r>
    </w:p>
    <w:p>
      <w:pPr>
        <w:pStyle w:val="Heading1"/>
        <w:spacing w:after="120" w:before="26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color w:val="262626"/>
          <w:sz w:val="21"/>
          <w:szCs w:val="21"/>
        </w:rPr>
        <w:t xml:space="preserve">You lost access to Ajera and downloaded two backup files from Deltek. This plan reports what those files actually contain, how to get your historical data back, and how to stand up a replacement that covers everything Ajera did — time tracking by project, indirect (overhead) time, invoicing, and full business financials — starting today and scaling from your current 1–10 timekeepers toward roughly 40 over the next two years.</w:t>
      </w:r>
    </w:p>
    <w:p>
      <w:pPr>
        <w:spacing w:after="120" w:line="276"/>
      </w:pPr>
      <w:r>
        <w:rPr>
          <w:rFonts w:ascii="Calibri" w:cs="Calibri" w:eastAsia="Calibri" w:hAnsi="Calibri"/>
          <w:b/>
          <w:bCs/>
          <w:color w:val="262626"/>
          <w:sz w:val="21"/>
          <w:szCs w:val="21"/>
        </w:rPr>
        <w:t xml:space="preserve">The headline finding: </w:t>
      </w:r>
      <w:r>
        <w:rPr>
          <w:rFonts w:ascii="Calibri" w:cs="Calibri" w:eastAsia="Calibri" w:hAnsi="Calibri"/>
          <w:color w:val="262626"/>
          <w:sz w:val="21"/>
          <w:szCs w:val="21"/>
        </w:rPr>
        <w:t xml:space="preserve">the two backup files are Deltek Ajera's own proprietary, encrypted backup format — not standard SQL Server backups. They cannot be opened, restored, or read without Deltek's tooling. Your data is intact inside them, but the practical way to get it out is through Deltek Ajera Support, who can restore the backup and hand you a usable export. That recovery runs in parallel and does not block you from operating.</w:t>
      </w:r>
    </w:p>
    <w:p>
      <w:pPr>
        <w:spacing w:after="120" w:line="276"/>
      </w:pPr>
      <w:r>
        <w:rPr>
          <w:rFonts w:ascii="Calibri" w:cs="Calibri" w:eastAsia="Calibri" w:hAnsi="Calibri"/>
          <w:b/>
          <w:bCs/>
          <w:color w:val="262626"/>
          <w:sz w:val="21"/>
          <w:szCs w:val="21"/>
        </w:rPr>
        <w:t xml:space="preserve">The recommendation: </w:t>
      </w:r>
      <w:r>
        <w:rPr>
          <w:rFonts w:ascii="Calibri" w:cs="Calibri" w:eastAsia="Calibri" w:hAnsi="Calibri"/>
          <w:color w:val="262626"/>
          <w:sz w:val="21"/>
          <w:szCs w:val="21"/>
        </w:rPr>
        <w:t xml:space="preserve">start capturing time and billing immediately in the interim workbook delivered alongside this document, and select an integrated project-accounting platform as the permanent system. For a design firm of your size and trajectory, </w:t>
      </w:r>
      <w:r>
        <w:rPr>
          <w:rFonts w:ascii="Calibri" w:cs="Calibri" w:eastAsia="Calibri" w:hAnsi="Calibri"/>
          <w:b/>
          <w:bCs/>
          <w:color w:val="1F3864"/>
          <w:sz w:val="21"/>
          <w:szCs w:val="21"/>
        </w:rPr>
        <w:t xml:space="preserve">BQE Core</w:t>
      </w:r>
      <w:r>
        <w:rPr>
          <w:rFonts w:ascii="Calibri" w:cs="Calibri" w:eastAsia="Calibri" w:hAnsi="Calibri"/>
          <w:color w:val="262626"/>
          <w:sz w:val="21"/>
          <w:szCs w:val="21"/>
        </w:rPr>
        <w:t xml:space="preserve"> is the closest like-for-like replacement for Ajera (one system for time, project management, billing, and full accounting). A lighter, faster-to-start alternative is </w:t>
      </w:r>
      <w:r>
        <w:rPr>
          <w:rFonts w:ascii="Calibri" w:cs="Calibri" w:eastAsia="Calibri" w:hAnsi="Calibri"/>
          <w:b/>
          <w:bCs/>
          <w:color w:val="1F3864"/>
          <w:sz w:val="21"/>
          <w:szCs w:val="21"/>
        </w:rPr>
        <w:t xml:space="preserve">QuickBooks Online paired with a project time-and-billing app</w:t>
      </w:r>
      <w:r>
        <w:rPr>
          <w:rFonts w:ascii="Calibri" w:cs="Calibri" w:eastAsia="Calibri" w:hAnsi="Calibri"/>
          <w:color w:val="262626"/>
          <w:sz w:val="21"/>
          <w:szCs w:val="21"/>
        </w:rPr>
        <w:t xml:space="preserve"> such as Monograph. Both are laid out in Section 6.</w:t>
      </w:r>
    </w:p>
    <w:p>
      <w:pPr>
        <w:pStyle w:val="Heading1"/>
        <w:spacing w:after="120" w:before="260"/>
      </w:pPr>
      <w:r>
        <w:rPr>
          <w:rFonts w:ascii="Calibri" w:cs="Calibri" w:eastAsia="Calibri" w:hAnsi="Calibri"/>
          <w:b/>
          <w:bCs/>
          <w:color w:val="1F3864"/>
          <w:sz w:val="30"/>
          <w:szCs w:val="30"/>
        </w:rPr>
        <w:t xml:space="preserve">2.  What the backup files actually are</w:t>
      </w:r>
    </w:p>
    <w:p>
      <w:pPr>
        <w:spacing w:after="120" w:line="276"/>
      </w:pPr>
      <w:r>
        <w:rPr>
          <w:rFonts w:ascii="Calibri" w:cs="Calibri" w:eastAsia="Calibri" w:hAnsi="Calibri"/>
          <w:color w:val="262626"/>
          <w:sz w:val="21"/>
          <w:szCs w:val="21"/>
        </w:rPr>
        <w:t xml:space="preserve">You provided two files, both roughly matching the naming Deltek uses for a support-generated backup set (ServiceNow ticket SCTASK0525853):</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1500"/>
        <w:gridCol w:w="5100"/>
      </w:tblGrid>
      <w:tr>
        <w:trPr>
          <w:tblHeader/>
        </w:trPr>
        <w:tc>
          <w:tcPr>
            <w:tcW w:type="dxa" w:w="260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File</w:t>
            </w:r>
          </w:p>
        </w:tc>
        <w:tc>
          <w:tcPr>
            <w:tcW w:type="dxa" w:w="150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Size</w:t>
            </w:r>
          </w:p>
        </w:tc>
        <w:tc>
          <w:tcPr>
            <w:tcW w:type="dxa" w:w="510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What it is</w:t>
            </w:r>
          </w:p>
        </w:tc>
      </w:tr>
      <w:tr>
        <w:tc>
          <w:tcPr>
            <w:tcW w:type="dxa" w:w="26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…_DB…BAK</w:t>
            </w:r>
          </w:p>
        </w:tc>
        <w:tc>
          <w:tcPr>
            <w:tcW w:type="dxa" w:w="15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154 MB</w:t>
            </w:r>
          </w:p>
        </w:tc>
        <w:tc>
          <w:tcPr>
            <w:tcW w:type="dxa" w:w="51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Ajera operating database — projects, phases, employees, time entries, invoices, AR, and the general ledger.</w:t>
            </w:r>
          </w:p>
        </w:tc>
      </w:tr>
      <w:tr>
        <w:tc>
          <w:tcPr>
            <w:tcW w:type="dxa" w:w="26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…_FS…BAK</w:t>
            </w:r>
          </w:p>
        </w:tc>
        <w:tc>
          <w:tcPr>
            <w:tcW w:type="dxa" w:w="15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570 MB</w:t>
            </w:r>
          </w:p>
        </w:tc>
        <w:tc>
          <w:tcPr>
            <w:tcW w:type="dxa" w:w="51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Ajera file store — document attachments and files linked to projects and records.</w:t>
            </w:r>
          </w:p>
        </w:tc>
      </w:tr>
    </w:tbl>
    <w:p>
      <w:pPr>
        <w:spacing w:after="80"/>
      </w:pPr>
    </w:p>
    <w:p>
      <w:pPr>
        <w:spacing w:after="120" w:line="276"/>
      </w:pPr>
      <w:r>
        <w:rPr>
          <w:rFonts w:ascii="Calibri" w:cs="Calibri" w:eastAsia="Calibri" w:hAnsi="Calibri"/>
          <w:color w:val="262626"/>
          <w:sz w:val="21"/>
          <w:szCs w:val="21"/>
        </w:rPr>
        <w:t xml:space="preserve">I examined both files at the byte level. Three facts establish what they are:</w:t>
      </w:r>
    </w:p>
    <w:p>
      <w:pPr>
        <w:pStyle w:val="ListParagraph"/>
        <w:numPr>
          <w:ilvl w:val="0"/>
          <w:numId w:val="2"/>
        </w:numPr>
        <w:spacing w:after="70" w:line="270"/>
      </w:pPr>
      <w:r>
        <w:rPr>
          <w:rFonts w:ascii="Calibri" w:cs="Calibri" w:eastAsia="Calibri" w:hAnsi="Calibri"/>
          <w:b/>
          <w:bCs/>
          <w:color w:val="262626"/>
          <w:sz w:val="21"/>
          <w:szCs w:val="21"/>
        </w:rPr>
        <w:t xml:space="preserve">Proprietary container. </w:t>
      </w:r>
      <w:r>
        <w:rPr>
          <w:rFonts w:ascii="Calibri" w:cs="Calibri" w:eastAsia="Calibri" w:hAnsi="Calibri"/>
          <w:color w:val="262626"/>
          <w:sz w:val="21"/>
          <w:szCs w:val="21"/>
        </w:rPr>
        <w:t xml:space="preserve">Each file begins with a custom "MSSQLBAK" signature and contains none of the standard internal structures of a native Microsoft SQL Server backup (no TAPE, MSCI, MSDA, or SSET descriptor blocks). A normal SQL Server .BAK has these; these files do not.</w:t>
      </w:r>
    </w:p>
    <w:p>
      <w:pPr>
        <w:pStyle w:val="ListParagraph"/>
        <w:numPr>
          <w:ilvl w:val="0"/>
          <w:numId w:val="2"/>
        </w:numPr>
        <w:spacing w:after="70" w:line="270"/>
      </w:pPr>
      <w:r>
        <w:rPr>
          <w:rFonts w:ascii="Calibri" w:cs="Calibri" w:eastAsia="Calibri" w:hAnsi="Calibri"/>
          <w:b/>
          <w:bCs/>
          <w:color w:val="262626"/>
          <w:sz w:val="21"/>
          <w:szCs w:val="21"/>
        </w:rPr>
        <w:t xml:space="preserve">Compressed and encrypted throughout. </w:t>
      </w:r>
      <w:r>
        <w:rPr>
          <w:rFonts w:ascii="Calibri" w:cs="Calibri" w:eastAsia="Calibri" w:hAnsi="Calibri"/>
          <w:color w:val="262626"/>
          <w:sz w:val="21"/>
          <w:szCs w:val="21"/>
        </w:rPr>
        <w:t xml:space="preserve">The entire body measures ~7.96 out of 8.0 bits of entropy — statistically indistinguishable from random data. There is not a single readable table name, project name, employee name, or dollar amount anywhere in either file. That is the signature of an encrypted payload, not merely a compressed one.</w:t>
      </w:r>
    </w:p>
    <w:p>
      <w:pPr>
        <w:pStyle w:val="ListParagraph"/>
        <w:numPr>
          <w:ilvl w:val="0"/>
          <w:numId w:val="2"/>
        </w:numPr>
        <w:spacing w:after="70" w:line="270"/>
      </w:pPr>
      <w:r>
        <w:rPr>
          <w:rFonts w:ascii="Calibri" w:cs="Calibri" w:eastAsia="Calibri" w:hAnsi="Calibri"/>
          <w:b/>
          <w:bCs/>
          <w:color w:val="262626"/>
          <w:sz w:val="21"/>
          <w:szCs w:val="21"/>
        </w:rPr>
        <w:t xml:space="preserve">Restorable only by Ajera's own tool. </w:t>
      </w:r>
      <w:r>
        <w:rPr>
          <w:rFonts w:ascii="Calibri" w:cs="Calibri" w:eastAsia="Calibri" w:hAnsi="Calibri"/>
          <w:color w:val="262626"/>
          <w:sz w:val="21"/>
          <w:szCs w:val="21"/>
        </w:rPr>
        <w:t xml:space="preserve">Per Deltek's documentation, an Ajera backup is created and restored exclusively through AjeraServerAdministration.exe on an installed Ajera server — there is no native SQL "RESTORE" path. Deltek explicitly directs hosted/cloud customers to contact Ajera Support for backup and restore assistance.</w:t>
      </w:r>
    </w:p>
    <w:p>
      <w:pPr>
        <w:spacing w:after="120" w:line="276"/>
      </w:pPr>
      <w:r>
        <w:rPr>
          <w:rFonts w:ascii="Calibri" w:cs="Calibri" w:eastAsia="Calibri" w:hAnsi="Calibri"/>
          <w:b/>
          <w:bCs/>
          <w:color w:val="262626"/>
          <w:sz w:val="21"/>
          <w:szCs w:val="21"/>
        </w:rPr>
        <w:t xml:space="preserve">Conclusion. </w:t>
      </w:r>
      <w:r>
        <w:rPr>
          <w:rFonts w:ascii="Calibri" w:cs="Calibri" w:eastAsia="Calibri" w:hAnsi="Calibri"/>
          <w:color w:val="262626"/>
          <w:sz w:val="21"/>
          <w:szCs w:val="21"/>
        </w:rPr>
        <w:t xml:space="preserve">Your data is safe and complete inside these files, but they are a sealed Deltek format. Attempting to reverse-engineer or decrypt them is neither reliable nor appropriate for financial records. The correct route to the data is Deltek — covered next.</w:t>
      </w:r>
    </w:p>
    <w:p>
      <w:pPr>
        <w:pStyle w:val="Heading1"/>
        <w:spacing w:after="120" w:before="260"/>
      </w:pPr>
      <w:r>
        <w:rPr>
          <w:rFonts w:ascii="Calibri" w:cs="Calibri" w:eastAsia="Calibri" w:hAnsi="Calibri"/>
          <w:b/>
          <w:bCs/>
          <w:color w:val="1F3864"/>
          <w:sz w:val="30"/>
          <w:szCs w:val="30"/>
        </w:rPr>
        <w:t xml:space="preserve">3.  Recovering your Ajera history</w:t>
      </w:r>
    </w:p>
    <w:p>
      <w:pPr>
        <w:spacing w:after="120" w:line="276"/>
      </w:pPr>
      <w:r>
        <w:rPr>
          <w:rFonts w:ascii="Calibri" w:cs="Calibri" w:eastAsia="Calibri" w:hAnsi="Calibri"/>
          <w:color w:val="262626"/>
          <w:sz w:val="21"/>
          <w:szCs w:val="21"/>
        </w:rPr>
        <w:t xml:space="preserve">You said the history is valuable as reference — project scope and scale, historical revenue and cost, and other look-backs — and because Ajera held your general ledger, you will also want opening balances (AR, work-in-progress, and GL) to start the new system cleanly. There are three routes; pursue the first immediately.</w:t>
      </w:r>
    </w:p>
    <w:p>
      <w:pPr>
        <w:pStyle w:val="Heading2"/>
        <w:spacing w:after="80" w:before="180"/>
      </w:pPr>
      <w:r>
        <w:rPr>
          <w:rFonts w:ascii="Calibri" w:cs="Calibri" w:eastAsia="Calibri" w:hAnsi="Calibri"/>
          <w:b/>
          <w:bCs/>
          <w:color w:val="2E5496"/>
          <w:sz w:val="24"/>
          <w:szCs w:val="24"/>
        </w:rPr>
        <w:t xml:space="preserve">Route A — Deltek Ajera Support (recommended)</w:t>
      </w:r>
    </w:p>
    <w:p>
      <w:pPr>
        <w:spacing w:after="120" w:line="276"/>
      </w:pPr>
      <w:r>
        <w:rPr>
          <w:rFonts w:ascii="Calibri" w:cs="Calibri" w:eastAsia="Calibri" w:hAnsi="Calibri"/>
          <w:color w:val="262626"/>
          <w:sz w:val="21"/>
          <w:szCs w:val="21"/>
        </w:rPr>
        <w:t xml:space="preserve">You already have an open support relationship (the backups came via a ServiceNow ticket). Go back to that channel and make a specific request, because how you ask determines how usable the result is:</w:t>
      </w:r>
    </w:p>
    <w:p>
      <w:pPr>
        <w:pStyle w:val="ListParagraph"/>
        <w:numPr>
          <w:ilvl w:val="0"/>
          <w:numId w:val="3"/>
        </w:numPr>
        <w:spacing w:after="70" w:line="270"/>
      </w:pPr>
      <w:r>
        <w:rPr>
          <w:rFonts w:ascii="Calibri" w:cs="Calibri" w:eastAsia="Calibri" w:hAnsi="Calibri"/>
          <w:color w:val="262626"/>
          <w:sz w:val="21"/>
          <w:szCs w:val="21"/>
        </w:rPr>
        <w:t xml:space="preserve">Ask Deltek to restore the backup on their side and provide the data as either </w:t>
      </w:r>
      <w:r>
        <w:rPr>
          <w:rFonts w:ascii="Calibri" w:cs="Calibri" w:eastAsia="Calibri" w:hAnsi="Calibri"/>
          <w:b/>
          <w:bCs/>
          <w:color w:val="262626"/>
          <w:sz w:val="21"/>
          <w:szCs w:val="21"/>
        </w:rPr>
        <w:t xml:space="preserve">(a) a native, unencrypted SQL Server .BAK</w:t>
      </w:r>
      <w:r>
        <w:rPr>
          <w:rFonts w:ascii="Calibri" w:cs="Calibri" w:eastAsia="Calibri" w:hAnsi="Calibri"/>
          <w:color w:val="262626"/>
          <w:sz w:val="21"/>
          <w:szCs w:val="21"/>
        </w:rPr>
        <w:t xml:space="preserve">, or </w:t>
      </w:r>
      <w:r>
        <w:rPr>
          <w:rFonts w:ascii="Calibri" w:cs="Calibri" w:eastAsia="Calibri" w:hAnsi="Calibri"/>
          <w:b/>
          <w:bCs/>
          <w:color w:val="262626"/>
          <w:sz w:val="21"/>
          <w:szCs w:val="21"/>
        </w:rPr>
        <w:t xml:space="preserve">(b) exports (CSV/Excel) of the key tables and standard reports.</w:t>
      </w:r>
    </w:p>
    <w:p>
      <w:pPr>
        <w:pStyle w:val="ListParagraph"/>
        <w:numPr>
          <w:ilvl w:val="0"/>
          <w:numId w:val="3"/>
        </w:numPr>
        <w:spacing w:after="70" w:line="270"/>
      </w:pPr>
      <w:r>
        <w:rPr>
          <w:rFonts w:ascii="Calibri" w:cs="Calibri" w:eastAsia="Calibri" w:hAnsi="Calibri"/>
          <w:color w:val="262626"/>
          <w:sz w:val="21"/>
          <w:szCs w:val="21"/>
        </w:rPr>
        <w:t xml:space="preserve">Specifically request these reports/exports: </w:t>
      </w:r>
      <w:r>
        <w:rPr>
          <w:rFonts w:ascii="Calibri" w:cs="Calibri" w:eastAsia="Calibri" w:hAnsi="Calibri"/>
          <w:i/>
          <w:iCs/>
          <w:color w:val="262626"/>
          <w:sz w:val="21"/>
          <w:szCs w:val="21"/>
        </w:rPr>
        <w:t xml:space="preserve">Project list with fees and status, Employee list with rates, Time-entry detail (all history), Invoice/AR register with aging, Work-in-Progress, Trial Balance / General Ledger detail, and the standard financial statements (Income Statement and Balance Sheet) for the last 2–3 fiscal years.</w:t>
      </w:r>
    </w:p>
    <w:p>
      <w:pPr>
        <w:pStyle w:val="ListParagraph"/>
        <w:numPr>
          <w:ilvl w:val="0"/>
          <w:numId w:val="3"/>
        </w:numPr>
        <w:spacing w:after="70" w:line="270"/>
      </w:pPr>
      <w:r>
        <w:rPr>
          <w:rFonts w:ascii="Calibri" w:cs="Calibri" w:eastAsia="Calibri" w:hAnsi="Calibri"/>
          <w:color w:val="262626"/>
          <w:sz w:val="21"/>
          <w:szCs w:val="21"/>
        </w:rPr>
        <w:t xml:space="preserve">Confirm whether your data-retention / offboarding window has a deadline — hosted vendors purge former-customer data on a schedule. Nail this date down now.</w:t>
      </w:r>
    </w:p>
    <w:p>
      <w:pPr>
        <w:spacing w:after="120" w:line="276"/>
      </w:pPr>
      <w:r>
        <w:rPr>
          <w:rFonts w:ascii="Calibri" w:cs="Calibri" w:eastAsia="Calibri" w:hAnsi="Calibri"/>
          <w:b/>
          <w:bCs/>
          <w:color w:val="262626"/>
          <w:sz w:val="21"/>
          <w:szCs w:val="21"/>
        </w:rPr>
        <w:t xml:space="preserve">A native unencrypted .BAK is the best outcome: </w:t>
      </w:r>
      <w:r>
        <w:rPr>
          <w:rFonts w:ascii="Calibri" w:cs="Calibri" w:eastAsia="Calibri" w:hAnsi="Calibri"/>
          <w:color w:val="262626"/>
          <w:sz w:val="21"/>
          <w:szCs w:val="21"/>
        </w:rPr>
        <w:t xml:space="preserve">I can then load it here, map the full schema, and extract everything to clean spreadsheets or straight into the new system. The files you have today do not permit that; a native backup would.</w:t>
      </w:r>
    </w:p>
    <w:p>
      <w:pPr>
        <w:pStyle w:val="Heading2"/>
        <w:spacing w:after="80" w:before="180"/>
      </w:pPr>
      <w:r>
        <w:rPr>
          <w:rFonts w:ascii="Calibri" w:cs="Calibri" w:eastAsia="Calibri" w:hAnsi="Calibri"/>
          <w:b/>
          <w:bCs/>
          <w:color w:val="2E5496"/>
          <w:sz w:val="24"/>
          <w:szCs w:val="24"/>
        </w:rPr>
        <w:t xml:space="preserve">Route B — Self-restore on an Ajera on-prem server</w:t>
      </w:r>
    </w:p>
    <w:p>
      <w:pPr>
        <w:spacing w:after="120" w:line="276"/>
      </w:pPr>
      <w:r>
        <w:rPr>
          <w:rFonts w:ascii="Calibri" w:cs="Calibri" w:eastAsia="Calibri" w:hAnsi="Calibri"/>
          <w:color w:val="262626"/>
          <w:sz w:val="21"/>
          <w:szCs w:val="21"/>
        </w:rPr>
        <w:t xml:space="preserve">If you can obtain an Ajera installer and a temporary/eval license from Deltek, you (or IT) can install Ajera plus SQL Server Express on a Windows machine, run AjeraServerAdministration.exe → Restore Database, and then read the underlying SQL data directly. This gives you full, self-service access to the history but requires Deltek to provide the installer and license, so it usually routes back through the same support conversation as Route A.</w:t>
      </w:r>
    </w:p>
    <w:p>
      <w:pPr>
        <w:pStyle w:val="Heading2"/>
        <w:spacing w:after="80" w:before="180"/>
      </w:pPr>
      <w:r>
        <w:rPr>
          <w:rFonts w:ascii="Calibri" w:cs="Calibri" w:eastAsia="Calibri" w:hAnsi="Calibri"/>
          <w:b/>
          <w:bCs/>
          <w:color w:val="2E5496"/>
          <w:sz w:val="24"/>
          <w:szCs w:val="24"/>
        </w:rPr>
        <w:t xml:space="preserve">Route C — Specialist data-migration vendor</w:t>
      </w:r>
    </w:p>
    <w:p>
      <w:pPr>
        <w:spacing w:after="120" w:line="276"/>
      </w:pPr>
      <w:r>
        <w:rPr>
          <w:rFonts w:ascii="Calibri" w:cs="Calibri" w:eastAsia="Calibri" w:hAnsi="Calibri"/>
          <w:color w:val="262626"/>
          <w:sz w:val="21"/>
          <w:szCs w:val="21"/>
        </w:rPr>
        <w:t xml:space="preserve">Firms leaving Ajera are common enough that several consultants and the destination-software vendors (e.g. BQE) offer paid Ajera-to-new-system data migration. If the history matters enough to pay for a clean, mapped import of projects, clients, AR, and history, this is the turnkey option — and it pairs naturally with whichever platform you select.</w:t>
      </w:r>
    </w:p>
    <w:p>
      <w:pPr>
        <w:spacing w:after="120" w:line="276"/>
      </w:pPr>
      <w:r>
        <w:rPr>
          <w:rFonts w:ascii="Calibri" w:cs="Calibri" w:eastAsia="Calibri" w:hAnsi="Calibri"/>
          <w:b/>
          <w:bCs/>
          <w:color w:val="262626"/>
          <w:sz w:val="21"/>
          <w:szCs w:val="21"/>
        </w:rPr>
        <w:t xml:space="preserve">Bottom line on history: </w:t>
      </w:r>
      <w:r>
        <w:rPr>
          <w:rFonts w:ascii="Calibri" w:cs="Calibri" w:eastAsia="Calibri" w:hAnsi="Calibri"/>
          <w:color w:val="262626"/>
          <w:sz w:val="21"/>
          <w:szCs w:val="21"/>
        </w:rPr>
        <w:t xml:space="preserve">open the Deltek request today (Route A). Meanwhile, operate from the interim workbook and select your permanent system — none of that waits on the recovery.</w:t>
      </w:r>
    </w:p>
    <w:p>
      <w:pPr>
        <w:pStyle w:val="Heading1"/>
        <w:spacing w:after="120" w:before="260"/>
      </w:pPr>
      <w:r>
        <w:rPr>
          <w:rFonts w:ascii="Calibri" w:cs="Calibri" w:eastAsia="Calibri" w:hAnsi="Calibri"/>
          <w:b/>
          <w:bCs/>
          <w:color w:val="1F3864"/>
          <w:sz w:val="30"/>
          <w:szCs w:val="30"/>
        </w:rPr>
        <w:t xml:space="preserve">4.  What Ajera did — the scope you're replacing</w:t>
      </w:r>
    </w:p>
    <w:p>
      <w:pPr>
        <w:spacing w:after="120" w:line="276"/>
      </w:pPr>
      <w:r>
        <w:rPr>
          <w:rFonts w:ascii="Calibri" w:cs="Calibri" w:eastAsia="Calibri" w:hAnsi="Calibri"/>
          <w:color w:val="262626"/>
          <w:sz w:val="21"/>
          <w:szCs w:val="21"/>
        </w:rPr>
        <w:t xml:space="preserve">You confirmed Ajera was your entire back office. A replacement therefore has to cover four connected layers. Mapping them explicitly keeps the selection honest — some popular tools only cover the top two.</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2500"/>
        <w:gridCol w:w="6700"/>
      </w:tblGrid>
      <w:tr>
        <w:trPr>
          <w:tblHeader/>
        </w:trPr>
        <w:tc>
          <w:tcPr>
            <w:tcW w:type="dxa" w:w="250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Layer</w:t>
            </w:r>
          </w:p>
        </w:tc>
        <w:tc>
          <w:tcPr>
            <w:tcW w:type="dxa" w:w="670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What it includes</w:t>
            </w:r>
          </w:p>
        </w:tc>
      </w:tr>
      <w:tr>
        <w:tc>
          <w:tcPr>
            <w:tcW w:type="dxa" w:w="2500"/>
            <w:shd w:fill="EAF0FA"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Time &amp; project</w:t>
            </w:r>
          </w:p>
        </w:tc>
        <w:tc>
          <w:tcPr>
            <w:tcW w:type="dxa" w:w="67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Time entry by project and phase; indirect/overhead time (PTO, holiday, BD, admin, R&amp;D); utilization; project budgets, fees, and percent-complete tracking.</w:t>
            </w:r>
          </w:p>
        </w:tc>
      </w:tr>
      <w:tr>
        <w:tc>
          <w:tcPr>
            <w:tcW w:type="dxa" w:w="2500"/>
            <w:shd w:fill="FFFFFF"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Billing &amp; AR</w:t>
            </w:r>
          </w:p>
        </w:tc>
        <w:tc>
          <w:tcPr>
            <w:tcW w:type="dxa" w:w="67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Invoice generation (T&amp;M, fixed-fee, cost-plus), work-in-progress, accounts receivable and aging, retainers.</w:t>
            </w:r>
          </w:p>
        </w:tc>
      </w:tr>
      <w:tr>
        <w:tc>
          <w:tcPr>
            <w:tcW w:type="dxa" w:w="2500"/>
            <w:shd w:fill="EAF0FA"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Accounting / GL</w:t>
            </w:r>
          </w:p>
        </w:tc>
        <w:tc>
          <w:tcPr>
            <w:tcW w:type="dxa" w:w="67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General ledger, accounts payable, chart of accounts, journal entries, bank reconciliation, cash management.</w:t>
            </w:r>
          </w:p>
        </w:tc>
      </w:tr>
      <w:tr>
        <w:tc>
          <w:tcPr>
            <w:tcW w:type="dxa" w:w="2500"/>
            <w:shd w:fill="FFFFFF"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Financials &amp; payroll</w:t>
            </w:r>
          </w:p>
        </w:tc>
        <w:tc>
          <w:tcPr>
            <w:tcW w:type="dxa" w:w="67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Income statement, balance sheet, cash-flow and project-profitability reporting; payroll (Ajera offered an integrated payroll module).</w:t>
            </w:r>
          </w:p>
        </w:tc>
      </w:tr>
    </w:tbl>
    <w:p>
      <w:pPr>
        <w:spacing w:after="80"/>
      </w:pPr>
    </w:p>
    <w:p>
      <w:pPr>
        <w:spacing w:after="120" w:line="276"/>
      </w:pPr>
      <w:r>
        <w:rPr>
          <w:rFonts w:ascii="Calibri" w:cs="Calibri" w:eastAsia="Calibri" w:hAnsi="Calibri"/>
          <w:b/>
          <w:bCs/>
          <w:color w:val="262626"/>
          <w:sz w:val="21"/>
          <w:szCs w:val="21"/>
        </w:rPr>
        <w:t xml:space="preserve">Decision point: </w:t>
      </w:r>
      <w:r>
        <w:rPr>
          <w:rFonts w:ascii="Calibri" w:cs="Calibri" w:eastAsia="Calibri" w:hAnsi="Calibri"/>
          <w:color w:val="262626"/>
          <w:sz w:val="21"/>
          <w:szCs w:val="21"/>
        </w:rPr>
        <w:t xml:space="preserve">confirm whether payroll must live inside the new system or can stay with a dedicated provider (e.g. ADP, Gusto). Most modern stacks favor a specialized payroll provider that feeds the GL — it's usually cheaper and simpler than an all-in-one payroll module.</w:t>
      </w:r>
    </w:p>
    <w:p>
      <w:pPr>
        <w:pStyle w:val="Heading1"/>
        <w:spacing w:after="120" w:before="260"/>
      </w:pPr>
      <w:r>
        <w:rPr>
          <w:rFonts w:ascii="Calibri" w:cs="Calibri" w:eastAsia="Calibri" w:hAnsi="Calibri"/>
          <w:b/>
          <w:bCs/>
          <w:color w:val="1F3864"/>
          <w:sz w:val="30"/>
          <w:szCs w:val="30"/>
        </w:rPr>
        <w:t xml:space="preserve">5.  Immediate bridge — the interim workbook</w:t>
      </w:r>
    </w:p>
    <w:p>
      <w:pPr>
        <w:spacing w:after="120" w:line="276"/>
      </w:pPr>
      <w:r>
        <w:rPr>
          <w:rFonts w:ascii="Calibri" w:cs="Calibri" w:eastAsia="Calibri" w:hAnsi="Calibri"/>
          <w:color w:val="262626"/>
          <w:sz w:val="21"/>
          <w:szCs w:val="21"/>
        </w:rPr>
        <w:t xml:space="preserve">Delivered with this plan is a ready-to-use Excel workbook so the firm never stops capturing time and billing while the permanent system is chosen. It deliberately mirrors Ajera's structure so the data maps cleanly into whatever you adopt.</w:t>
      </w:r>
    </w:p>
    <w:p>
      <w:pPr>
        <w:pStyle w:val="ListParagraph"/>
        <w:numPr>
          <w:ilvl w:val="0"/>
          <w:numId w:val="2"/>
        </w:numPr>
        <w:spacing w:after="70" w:line="270"/>
      </w:pPr>
      <w:r>
        <w:rPr>
          <w:rFonts w:ascii="Calibri" w:cs="Calibri" w:eastAsia="Calibri" w:hAnsi="Calibri"/>
          <w:b/>
          <w:bCs/>
          <w:color w:val="262626"/>
          <w:sz w:val="21"/>
          <w:szCs w:val="21"/>
        </w:rPr>
        <w:t xml:space="preserve">Setup tabs (fill once): </w:t>
      </w:r>
      <w:r>
        <w:rPr>
          <w:rFonts w:ascii="Calibri" w:cs="Calibri" w:eastAsia="Calibri" w:hAnsi="Calibri"/>
          <w:color w:val="262626"/>
          <w:sz w:val="21"/>
          <w:szCs w:val="21"/>
        </w:rPr>
        <w:t xml:space="preserve">Employees (bill and cost rates), Projects (client, fee, type, phase), and Indirect Codes (overhead buckets, pre-populated).</w:t>
      </w:r>
    </w:p>
    <w:p>
      <w:pPr>
        <w:pStyle w:val="ListParagraph"/>
        <w:numPr>
          <w:ilvl w:val="0"/>
          <w:numId w:val="2"/>
        </w:numPr>
        <w:spacing w:after="70" w:line="270"/>
      </w:pPr>
      <w:r>
        <w:rPr>
          <w:rFonts w:ascii="Calibri" w:cs="Calibri" w:eastAsia="Calibri" w:hAnsi="Calibri"/>
          <w:b/>
          <w:bCs/>
          <w:color w:val="262626"/>
          <w:sz w:val="21"/>
          <w:szCs w:val="21"/>
        </w:rPr>
        <w:t xml:space="preserve">Time Entry: </w:t>
      </w:r>
      <w:r>
        <w:rPr>
          <w:rFonts w:ascii="Calibri" w:cs="Calibri" w:eastAsia="Calibri" w:hAnsi="Calibri"/>
          <w:color w:val="262626"/>
          <w:sz w:val="21"/>
          <w:szCs w:val="21"/>
        </w:rPr>
        <w:t xml:space="preserve">one row per person per charge per day, with dropdowns; billable flag, bill rate, billable value, and cost are calculated automatically.</w:t>
      </w:r>
    </w:p>
    <w:p>
      <w:pPr>
        <w:pStyle w:val="ListParagraph"/>
        <w:numPr>
          <w:ilvl w:val="0"/>
          <w:numId w:val="2"/>
        </w:numPr>
        <w:spacing w:after="70" w:line="270"/>
      </w:pPr>
      <w:r>
        <w:rPr>
          <w:rFonts w:ascii="Calibri" w:cs="Calibri" w:eastAsia="Calibri" w:hAnsi="Calibri"/>
          <w:b/>
          <w:bCs/>
          <w:color w:val="262626"/>
          <w:sz w:val="21"/>
          <w:szCs w:val="21"/>
        </w:rPr>
        <w:t xml:space="preserve">Automatic reports: </w:t>
      </w:r>
      <w:r>
        <w:rPr>
          <w:rFonts w:ascii="Calibri" w:cs="Calibri" w:eastAsia="Calibri" w:hAnsi="Calibri"/>
          <w:color w:val="262626"/>
          <w:sz w:val="21"/>
          <w:szCs w:val="21"/>
        </w:rPr>
        <w:t xml:space="preserve">Dashboard (firm KPIs), Project Summary (hours, billable value, cost, margin, invoiced, WIP, % fee used), Utilization by person, and an Invoice register with unbilled-WIP guidance.</w:t>
      </w:r>
    </w:p>
    <w:p>
      <w:pPr>
        <w:spacing w:after="120" w:line="276"/>
      </w:pPr>
      <w:r>
        <w:rPr>
          <w:rFonts w:ascii="Calibri" w:cs="Calibri" w:eastAsia="Calibri" w:hAnsi="Calibri"/>
          <w:b/>
          <w:bCs/>
          <w:color w:val="262626"/>
          <w:sz w:val="21"/>
          <w:szCs w:val="21"/>
        </w:rPr>
        <w:t xml:space="preserve">Use it as a bridge, not the system of record for the GL. </w:t>
      </w:r>
      <w:r>
        <w:rPr>
          <w:rFonts w:ascii="Calibri" w:cs="Calibri" w:eastAsia="Calibri" w:hAnsi="Calibri"/>
          <w:color w:val="262626"/>
          <w:sz w:val="21"/>
          <w:szCs w:val="21"/>
        </w:rPr>
        <w:t xml:space="preserve">Keep a dated backup weekly. When you cut over, its Projects, Employees, time detail, and invoice register import directly into the new platform.</w:t>
      </w:r>
    </w:p>
    <w:p>
      <w:pPr>
        <w:pStyle w:val="Heading1"/>
        <w:spacing w:after="120" w:before="260"/>
      </w:pPr>
      <w:r>
        <w:rPr>
          <w:rFonts w:ascii="Calibri" w:cs="Calibri" w:eastAsia="Calibri" w:hAnsi="Calibri"/>
          <w:b/>
          <w:bCs/>
          <w:color w:val="1F3864"/>
          <w:sz w:val="30"/>
          <w:szCs w:val="30"/>
        </w:rPr>
        <w:t xml:space="preserve">6.  Permanent replacement — recommendation</w:t>
      </w:r>
    </w:p>
    <w:p>
      <w:pPr>
        <w:spacing w:after="120" w:line="276"/>
      </w:pPr>
      <w:r>
        <w:rPr>
          <w:rFonts w:ascii="Calibri" w:cs="Calibri" w:eastAsia="Calibri" w:hAnsi="Calibri"/>
          <w:color w:val="262626"/>
          <w:sz w:val="21"/>
          <w:szCs w:val="21"/>
        </w:rPr>
        <w:t xml:space="preserve">Ajera itself is a fading option: Deltek has been steering customers toward its higher-cost Vantagepoint product, so returning to the Ajera line trades one migration for another later. Against your profile — full-accounting scope, a design/product-development firm, 1–10 timekeepers now heading toward ~40, and a preference for one integrated system — the field narrows to these:</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2050"/>
        <w:gridCol w:w="1250"/>
        <w:gridCol w:w="1350"/>
        <w:gridCol w:w="1550"/>
        <w:gridCol w:w="3000"/>
      </w:tblGrid>
      <w:tr>
        <w:trPr>
          <w:tblHeader/>
        </w:trPr>
        <w:tc>
          <w:tcPr>
            <w:tcW w:type="dxa" w:w="205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Option</w:t>
            </w:r>
          </w:p>
        </w:tc>
        <w:tc>
          <w:tcPr>
            <w:tcW w:type="dxa" w:w="125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Full GL?</w:t>
            </w:r>
          </w:p>
        </w:tc>
        <w:tc>
          <w:tcPr>
            <w:tcW w:type="dxa" w:w="135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Firm size</w:t>
            </w:r>
          </w:p>
        </w:tc>
        <w:tc>
          <w:tcPr>
            <w:tcW w:type="dxa" w:w="155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Rough cost</w:t>
            </w:r>
          </w:p>
        </w:tc>
        <w:tc>
          <w:tcPr>
            <w:tcW w:type="dxa" w:w="300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Notes</w:t>
            </w:r>
          </w:p>
        </w:tc>
      </w:tr>
      <w:tr>
        <w:tc>
          <w:tcPr>
            <w:tcW w:type="dxa" w:w="2050"/>
            <w:shd w:fill="EAF0FA" w:color="auto" w:val="clear"/>
            <w:tcMar>
              <w:top w:type="dxa" w:w="60"/>
              <w:left w:type="dxa" w:w="90"/>
              <w:bottom w:type="dxa" w:w="60"/>
              <w:right w:type="dxa" w:w="90"/>
            </w:tcMar>
          </w:tcPr>
          <w:p>
            <w:pPr>
              <w:spacing w:after="0" w:line="250"/>
              <w:jc w:val="left"/>
            </w:pPr>
            <w:r>
              <w:rPr>
                <w:rFonts w:ascii="Calibri" w:cs="Calibri" w:eastAsia="Calibri" w:hAnsi="Calibri"/>
                <w:b/>
                <w:bCs/>
                <w:color w:val="1F3864"/>
                <w:sz w:val="19"/>
                <w:szCs w:val="19"/>
              </w:rPr>
              <w:t xml:space="preserve">BQE Core  (Foundations + Accounting module)</w:t>
            </w:r>
          </w:p>
        </w:tc>
        <w:tc>
          <w:tcPr>
            <w:tcW w:type="dxa" w:w="1250"/>
            <w:shd w:fill="EAF0FA" w:color="auto" w:val="clear"/>
            <w:tcMar>
              <w:top w:type="dxa" w:w="60"/>
              <w:left w:type="dxa" w:w="90"/>
              <w:bottom w:type="dxa" w:w="60"/>
              <w:right w:type="dxa" w:w="90"/>
            </w:tcMar>
          </w:tcPr>
          <w:p>
            <w:pPr>
              <w:spacing w:after="0" w:line="250"/>
              <w:jc w:val="left"/>
            </w:pPr>
            <w:r>
              <w:rPr>
                <w:rFonts w:ascii="Calibri" w:cs="Calibri" w:eastAsia="Calibri" w:hAnsi="Calibri"/>
                <w:b/>
                <w:bCs/>
                <w:color w:val="375623"/>
                <w:sz w:val="19"/>
                <w:szCs w:val="19"/>
              </w:rPr>
              <w:t xml:space="preserve">Yes</w:t>
            </w:r>
          </w:p>
        </w:tc>
        <w:tc>
          <w:tcPr>
            <w:tcW w:type="dxa" w:w="135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10–50+</w:t>
            </w:r>
          </w:p>
        </w:tc>
        <w:tc>
          <w:tcPr>
            <w:tcW w:type="dxa" w:w="155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Mid (per-user + modules)</w:t>
            </w:r>
          </w:p>
        </w:tc>
        <w:tc>
          <w:tcPr>
            <w:tcW w:type="dxa" w:w="30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Closest to Ajera: time, PM, billing, and full accounting in one system. Built for A&amp;E/design firms. Scales to 40 cleanly. Recommended primary.</w:t>
            </w:r>
          </w:p>
        </w:tc>
      </w:tr>
      <w:tr>
        <w:tc>
          <w:tcPr>
            <w:tcW w:type="dxa" w:w="205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QuickBooks Online + Monograph (or Ruddr)</w:t>
            </w:r>
          </w:p>
        </w:tc>
        <w:tc>
          <w:tcPr>
            <w:tcW w:type="dxa" w:w="1250"/>
            <w:shd w:fill="FFFFFF" w:color="auto" w:val="clear"/>
            <w:tcMar>
              <w:top w:type="dxa" w:w="60"/>
              <w:left w:type="dxa" w:w="90"/>
              <w:bottom w:type="dxa" w:w="60"/>
              <w:right w:type="dxa" w:w="90"/>
            </w:tcMar>
          </w:tcPr>
          <w:p>
            <w:pPr>
              <w:spacing w:after="0" w:line="250"/>
              <w:jc w:val="left"/>
            </w:pPr>
            <w:r>
              <w:rPr>
                <w:rFonts w:ascii="Calibri" w:cs="Calibri" w:eastAsia="Calibri" w:hAnsi="Calibri"/>
                <w:b/>
                <w:bCs/>
                <w:color w:val="375623"/>
                <w:sz w:val="19"/>
                <w:szCs w:val="19"/>
              </w:rPr>
              <w:t xml:space="preserve">Yes (via QBO)</w:t>
            </w:r>
          </w:p>
        </w:tc>
        <w:tc>
          <w:tcPr>
            <w:tcW w:type="dxa" w:w="135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1–40</w:t>
            </w:r>
          </w:p>
        </w:tc>
        <w:tc>
          <w:tcPr>
            <w:tcW w:type="dxa" w:w="155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Lower entry</w:t>
            </w:r>
          </w:p>
        </w:tc>
        <w:tc>
          <w:tcPr>
            <w:tcW w:type="dxa" w:w="30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QBO handles GL/AP/AR/financials; Monograph handles project time, fees, and billing (design/AEC-native). Two systems to integrate. Fastest, cheapest start.</w:t>
            </w:r>
          </w:p>
        </w:tc>
      </w:tr>
      <w:tr>
        <w:tc>
          <w:tcPr>
            <w:tcW w:type="dxa" w:w="205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Unanet A/E</w:t>
            </w:r>
          </w:p>
        </w:tc>
        <w:tc>
          <w:tcPr>
            <w:tcW w:type="dxa" w:w="1250"/>
            <w:shd w:fill="EAF0FA" w:color="auto" w:val="clear"/>
            <w:tcMar>
              <w:top w:type="dxa" w:w="60"/>
              <w:left w:type="dxa" w:w="90"/>
              <w:bottom w:type="dxa" w:w="60"/>
              <w:right w:type="dxa" w:w="90"/>
            </w:tcMar>
          </w:tcPr>
          <w:p>
            <w:pPr>
              <w:spacing w:after="0" w:line="250"/>
              <w:jc w:val="left"/>
            </w:pPr>
            <w:r>
              <w:rPr>
                <w:rFonts w:ascii="Calibri" w:cs="Calibri" w:eastAsia="Calibri" w:hAnsi="Calibri"/>
                <w:b/>
                <w:bCs/>
                <w:color w:val="375623"/>
                <w:sz w:val="19"/>
                <w:szCs w:val="19"/>
              </w:rPr>
              <w:t xml:space="preserve">Yes (multi-entity)</w:t>
            </w:r>
          </w:p>
        </w:tc>
        <w:tc>
          <w:tcPr>
            <w:tcW w:type="dxa" w:w="135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30–80</w:t>
            </w:r>
          </w:p>
        </w:tc>
        <w:tc>
          <w:tcPr>
            <w:tcW w:type="dxa" w:w="155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Mid–high</w:t>
            </w:r>
          </w:p>
        </w:tc>
        <w:tc>
          <w:tcPr>
            <w:tcW w:type="dxa" w:w="30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Enterprise-grade project accounting and GL. Deeper than you need today; revisit if you scale past ~40 or add entities. Heavier setup.</w:t>
            </w:r>
          </w:p>
        </w:tc>
      </w:tr>
      <w:tr>
        <w:tc>
          <w:tcPr>
            <w:tcW w:type="dxa" w:w="205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Monograph alone</w:t>
            </w:r>
          </w:p>
        </w:tc>
        <w:tc>
          <w:tcPr>
            <w:tcW w:type="dxa" w:w="1250"/>
            <w:shd w:fill="FFFFFF" w:color="auto" w:val="clear"/>
            <w:tcMar>
              <w:top w:type="dxa" w:w="60"/>
              <w:left w:type="dxa" w:w="90"/>
              <w:bottom w:type="dxa" w:w="60"/>
              <w:right w:type="dxa" w:w="90"/>
            </w:tcMar>
          </w:tcPr>
          <w:p>
            <w:pPr>
              <w:spacing w:after="0" w:line="250"/>
              <w:jc w:val="left"/>
            </w:pPr>
            <w:r>
              <w:rPr>
                <w:rFonts w:ascii="Calibri" w:cs="Calibri" w:eastAsia="Calibri" w:hAnsi="Calibri"/>
                <w:b/>
                <w:bCs/>
                <w:color w:val="9C2B2B"/>
                <w:sz w:val="19"/>
                <w:szCs w:val="19"/>
              </w:rPr>
              <w:t xml:space="preserve">No</w:t>
            </w:r>
          </w:p>
        </w:tc>
        <w:tc>
          <w:tcPr>
            <w:tcW w:type="dxa" w:w="135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5–30</w:t>
            </w:r>
          </w:p>
        </w:tc>
        <w:tc>
          <w:tcPr>
            <w:tcW w:type="dxa" w:w="155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Mid</w:t>
            </w:r>
          </w:p>
        </w:tc>
        <w:tc>
          <w:tcPr>
            <w:tcW w:type="dxa" w:w="30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Excellent design-firm UX for time/fees/billing, but not a general ledger — must pair with QBO for accounting.</w:t>
            </w:r>
          </w:p>
        </w:tc>
      </w:tr>
    </w:tbl>
    <w:p>
      <w:pPr>
        <w:spacing w:after="100"/>
      </w:pPr>
    </w:p>
    <w:p>
      <w:pPr>
        <w:pStyle w:val="Heading2"/>
        <w:spacing w:after="80" w:before="180"/>
      </w:pPr>
      <w:r>
        <w:rPr>
          <w:rFonts w:ascii="Calibri" w:cs="Calibri" w:eastAsia="Calibri" w:hAnsi="Calibri"/>
          <w:b/>
          <w:bCs/>
          <w:color w:val="2E5496"/>
          <w:sz w:val="24"/>
          <w:szCs w:val="24"/>
        </w:rPr>
        <w:t xml:space="preserve">Recommendation</w:t>
      </w:r>
    </w:p>
    <w:p>
      <w:pPr>
        <w:spacing w:after="120" w:line="276"/>
      </w:pPr>
      <w:r>
        <w:rPr>
          <w:rFonts w:ascii="Calibri" w:cs="Calibri" w:eastAsia="Calibri" w:hAnsi="Calibri"/>
          <w:b/>
          <w:bCs/>
          <w:color w:val="1F3864"/>
          <w:sz w:val="21"/>
          <w:szCs w:val="21"/>
        </w:rPr>
        <w:t xml:space="preserve">Primary: BQE Core. </w:t>
      </w:r>
      <w:r>
        <w:rPr>
          <w:rFonts w:ascii="Calibri" w:cs="Calibri" w:eastAsia="Calibri" w:hAnsi="Calibri"/>
          <w:color w:val="262626"/>
          <w:sz w:val="21"/>
          <w:szCs w:val="21"/>
        </w:rPr>
        <w:t xml:space="preserve">It replaces Ajera on a one-for-one basis — a single system for time, project management, invoicing, and full accounting — is purpose-built for professional-services/design firms, and scales comfortably across your 1→40 growth without a second migration. Add the Accounting module so the GL, AP, and financial statements live in the same place, exactly as Ajera did.</w:t>
      </w:r>
    </w:p>
    <w:p>
      <w:pPr>
        <w:spacing w:after="120" w:line="276"/>
      </w:pPr>
      <w:r>
        <w:rPr>
          <w:rFonts w:ascii="Calibri" w:cs="Calibri" w:eastAsia="Calibri" w:hAnsi="Calibri"/>
          <w:b/>
          <w:bCs/>
          <w:color w:val="1F3864"/>
          <w:sz w:val="21"/>
          <w:szCs w:val="21"/>
        </w:rPr>
        <w:t xml:space="preserve">Pragmatic alternative: QuickBooks Online + Monograph. </w:t>
      </w:r>
      <w:r>
        <w:rPr>
          <w:rFonts w:ascii="Calibri" w:cs="Calibri" w:eastAsia="Calibri" w:hAnsi="Calibri"/>
          <w:color w:val="262626"/>
          <w:sz w:val="21"/>
          <w:szCs w:val="21"/>
        </w:rPr>
        <w:t xml:space="preserve">If you want the lowest cost and the fastest start while at 1–10 people, run accounting in QuickBooks Online (which most bookkeepers and CPAs already support) and project time/fees/billing in Monograph, syncing invoices to QBO. The trade-off is two systems to reconcile rather than one — reasonable now, worth re-evaluating against BQE Core as you approach 20+ people.</w:t>
      </w:r>
    </w:p>
    <w:p>
      <w:pPr>
        <w:spacing w:after="120" w:line="276"/>
      </w:pPr>
      <w:r>
        <w:rPr>
          <w:rFonts w:ascii="Calibri" w:cs="Calibri" w:eastAsia="Calibri" w:hAnsi="Calibri"/>
          <w:b/>
          <w:bCs/>
          <w:color w:val="262626"/>
          <w:sz w:val="21"/>
          <w:szCs w:val="21"/>
        </w:rPr>
        <w:t xml:space="preserve">Suggested path: </w:t>
      </w:r>
      <w:r>
        <w:rPr>
          <w:rFonts w:ascii="Calibri" w:cs="Calibri" w:eastAsia="Calibri" w:hAnsi="Calibri"/>
          <w:color w:val="262626"/>
          <w:sz w:val="21"/>
          <w:szCs w:val="21"/>
        </w:rPr>
        <w:t xml:space="preserve">take demos of both BQE Core and Monograph+QBO with your real projects in hand, and choose within 2–4 weeks. Both can be running well before the historical-data recovery is complete.</w:t>
      </w:r>
    </w:p>
    <w:p>
      <w:pPr>
        <w:pStyle w:val="Heading1"/>
        <w:spacing w:after="120" w:before="260"/>
      </w:pPr>
      <w:r>
        <w:rPr>
          <w:rFonts w:ascii="Calibri" w:cs="Calibri" w:eastAsia="Calibri" w:hAnsi="Calibri"/>
          <w:b/>
          <w:bCs/>
          <w:color w:val="1F3864"/>
          <w:sz w:val="30"/>
          <w:szCs w:val="30"/>
        </w:rPr>
        <w:t xml:space="preserve">7.  Migration roadmap</w:t>
      </w:r>
    </w:p>
    <w:p>
      <w:pPr>
        <w:spacing w:after="120" w:line="276"/>
      </w:pPr>
      <w:r>
        <w:rPr>
          <w:rFonts w:ascii="Calibri" w:cs="Calibri" w:eastAsia="Calibri" w:hAnsi="Calibri"/>
          <w:color w:val="262626"/>
          <w:sz w:val="21"/>
          <w:szCs w:val="21"/>
        </w:rPr>
        <w:t xml:space="preserve">Five phases. Phases 0–2 overlap; you are operating in the interim workbook the entire time, so there is no gap in time capture or billing.</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50"/>
        <w:gridCol w:w="1500"/>
        <w:gridCol w:w="4050"/>
        <w:gridCol w:w="2100"/>
      </w:tblGrid>
      <w:tr>
        <w:trPr>
          <w:tblHeader/>
        </w:trPr>
        <w:tc>
          <w:tcPr>
            <w:tcW w:type="dxa" w:w="155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Phase</w:t>
            </w:r>
          </w:p>
        </w:tc>
        <w:tc>
          <w:tcPr>
            <w:tcW w:type="dxa" w:w="150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Timing</w:t>
            </w:r>
          </w:p>
        </w:tc>
        <w:tc>
          <w:tcPr>
            <w:tcW w:type="dxa" w:w="405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Key actions</w:t>
            </w:r>
          </w:p>
        </w:tc>
        <w:tc>
          <w:tcPr>
            <w:tcW w:type="dxa" w:w="2100"/>
            <w:shd w:fill="2E5496" w:color="auto" w:val="clear"/>
            <w:tcMar>
              <w:top w:type="dxa" w:w="60"/>
              <w:left w:type="dxa" w:w="90"/>
              <w:bottom w:type="dxa" w:w="60"/>
              <w:right w:type="dxa" w:w="90"/>
            </w:tcMar>
          </w:tcPr>
          <w:p>
            <w:pPr>
              <w:spacing w:after="0" w:line="250"/>
              <w:jc w:val="left"/>
            </w:pPr>
            <w:r>
              <w:rPr>
                <w:rFonts w:ascii="Calibri" w:cs="Calibri" w:eastAsia="Calibri" w:hAnsi="Calibri"/>
                <w:b/>
                <w:bCs/>
                <w:color w:val="FFFFFF"/>
                <w:sz w:val="19"/>
                <w:szCs w:val="19"/>
              </w:rPr>
              <w:t xml:space="preserve">Outcome</w:t>
            </w:r>
          </w:p>
        </w:tc>
      </w:tr>
      <w:tr>
        <w:tc>
          <w:tcPr>
            <w:tcW w:type="dxa" w:w="1550"/>
            <w:shd w:fill="EAF0FA"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0 — Stabilize</w:t>
            </w:r>
          </w:p>
        </w:tc>
        <w:tc>
          <w:tcPr>
            <w:tcW w:type="dxa" w:w="15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Week 0–1</w:t>
            </w:r>
          </w:p>
        </w:tc>
        <w:tc>
          <w:tcPr>
            <w:tcW w:type="dxa" w:w="405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Roll out the interim workbook; brief the team on time entry. Open the Deltek data-recovery request (Section 3). Preserve the backup files (keep a second copy).</w:t>
            </w:r>
          </w:p>
        </w:tc>
        <w:tc>
          <w:tcPr>
            <w:tcW w:type="dxa" w:w="21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Time &amp; billing captured now; recovery in motion.</w:t>
            </w:r>
          </w:p>
        </w:tc>
      </w:tr>
      <w:tr>
        <w:tc>
          <w:tcPr>
            <w:tcW w:type="dxa" w:w="1550"/>
            <w:shd w:fill="FFFFFF"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1 — Select &amp; configure</w:t>
            </w:r>
          </w:p>
        </w:tc>
        <w:tc>
          <w:tcPr>
            <w:tcW w:type="dxa" w:w="15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Week 1–4</w:t>
            </w:r>
          </w:p>
        </w:tc>
        <w:tc>
          <w:tcPr>
            <w:tcW w:type="dxa" w:w="405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Demo BQE Core and QBO+Monograph with real projects. Decide. Set up chart of accounts, projects, phases, employees, rates, and indirect codes.</w:t>
            </w:r>
          </w:p>
        </w:tc>
        <w:tc>
          <w:tcPr>
            <w:tcW w:type="dxa" w:w="21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Permanent system chosen and configured.</w:t>
            </w:r>
          </w:p>
        </w:tc>
      </w:tr>
      <w:tr>
        <w:tc>
          <w:tcPr>
            <w:tcW w:type="dxa" w:w="1550"/>
            <w:shd w:fill="EAF0FA"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2 — Recover history</w:t>
            </w:r>
          </w:p>
        </w:tc>
        <w:tc>
          <w:tcPr>
            <w:tcW w:type="dxa" w:w="15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Week 1–6 (parallel)</w:t>
            </w:r>
          </w:p>
        </w:tc>
        <w:tc>
          <w:tcPr>
            <w:tcW w:type="dxa" w:w="405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Deltek restores/exports the data. Import reference history — projects, clients, historical revenue/cost — and pull the financial statements you need for look-back.</w:t>
            </w:r>
          </w:p>
        </w:tc>
        <w:tc>
          <w:tcPr>
            <w:tcW w:type="dxa" w:w="21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Historical reference available.</w:t>
            </w:r>
          </w:p>
        </w:tc>
      </w:tr>
      <w:tr>
        <w:tc>
          <w:tcPr>
            <w:tcW w:type="dxa" w:w="1550"/>
            <w:shd w:fill="FFFFFF"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3 — Cutover</w:t>
            </w:r>
          </w:p>
        </w:tc>
        <w:tc>
          <w:tcPr>
            <w:tcW w:type="dxa" w:w="15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Week 4–8</w:t>
            </w:r>
          </w:p>
        </w:tc>
        <w:tc>
          <w:tcPr>
            <w:tcW w:type="dxa" w:w="405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Enter opening balances (AR, WIP, GL trial balance). Go live on time entry and billing in the new system. Stop new entry in the workbook.</w:t>
            </w:r>
          </w:p>
        </w:tc>
        <w:tc>
          <w:tcPr>
            <w:tcW w:type="dxa" w:w="2100"/>
            <w:shd w:fill="FFFFFF"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Operating fully on the new platform.</w:t>
            </w:r>
          </w:p>
        </w:tc>
      </w:tr>
      <w:tr>
        <w:tc>
          <w:tcPr>
            <w:tcW w:type="dxa" w:w="1550"/>
            <w:shd w:fill="EAF0FA" w:color="auto" w:val="clear"/>
            <w:tcMar>
              <w:top w:type="dxa" w:w="60"/>
              <w:left w:type="dxa" w:w="90"/>
              <w:bottom w:type="dxa" w:w="60"/>
              <w:right w:type="dxa" w:w="90"/>
            </w:tcMar>
          </w:tcPr>
          <w:p>
            <w:pPr>
              <w:spacing w:after="0" w:line="250"/>
              <w:jc w:val="left"/>
            </w:pPr>
            <w:r>
              <w:rPr>
                <w:rFonts w:ascii="Calibri" w:cs="Calibri" w:eastAsia="Calibri" w:hAnsi="Calibri"/>
                <w:b/>
                <w:bCs/>
                <w:color w:val="262626"/>
                <w:sz w:val="19"/>
                <w:szCs w:val="19"/>
              </w:rPr>
              <w:t xml:space="preserve">4 — Optimize</w:t>
            </w:r>
          </w:p>
        </w:tc>
        <w:tc>
          <w:tcPr>
            <w:tcW w:type="dxa" w:w="15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Week 8+</w:t>
            </w:r>
          </w:p>
        </w:tc>
        <w:tc>
          <w:tcPr>
            <w:tcW w:type="dxa" w:w="405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Build standard reports/dashboards, connect payroll (ADP/Gusto) to the GL, retire the workbook, train for the growth to ~40 users.</w:t>
            </w:r>
          </w:p>
        </w:tc>
        <w:tc>
          <w:tcPr>
            <w:tcW w:type="dxa" w:w="2100"/>
            <w:shd w:fill="EAF0FA" w:color="auto" w:val="clear"/>
            <w:tcMar>
              <w:top w:type="dxa" w:w="60"/>
              <w:left w:type="dxa" w:w="90"/>
              <w:bottom w:type="dxa" w:w="60"/>
              <w:right w:type="dxa" w:w="90"/>
            </w:tcMar>
          </w:tcPr>
          <w:p>
            <w:pPr>
              <w:spacing w:after="0" w:line="250"/>
              <w:jc w:val="left"/>
            </w:pPr>
            <w:r>
              <w:rPr>
                <w:rFonts w:ascii="Calibri" w:cs="Calibri" w:eastAsia="Calibri" w:hAnsi="Calibri"/>
                <w:b w:val="false"/>
                <w:bCs w:val="false"/>
                <w:color w:val="262626"/>
                <w:sz w:val="19"/>
                <w:szCs w:val="19"/>
              </w:rPr>
              <w:t xml:space="preserve">Steady state; Ajera fully replaced.</w:t>
            </w:r>
          </w:p>
        </w:tc>
      </w:tr>
    </w:tbl>
    <w:p>
      <w:pPr>
        <w:pStyle w:val="Heading1"/>
        <w:spacing w:after="120" w:before="260"/>
      </w:pPr>
      <w:r>
        <w:rPr>
          <w:rFonts w:ascii="Calibri" w:cs="Calibri" w:eastAsia="Calibri" w:hAnsi="Calibri"/>
          <w:b/>
          <w:bCs/>
          <w:color w:val="1F3864"/>
          <w:sz w:val="30"/>
          <w:szCs w:val="30"/>
        </w:rPr>
        <w:t xml:space="preserve">8.  Risks &amp; decisions needed from you</w:t>
      </w:r>
    </w:p>
    <w:p>
      <w:pPr>
        <w:pStyle w:val="ListParagraph"/>
        <w:numPr>
          <w:ilvl w:val="0"/>
          <w:numId w:val="2"/>
        </w:numPr>
        <w:spacing w:after="70" w:line="270"/>
      </w:pPr>
      <w:r>
        <w:rPr>
          <w:rFonts w:ascii="Calibri" w:cs="Calibri" w:eastAsia="Calibri" w:hAnsi="Calibri"/>
          <w:b/>
          <w:bCs/>
          <w:color w:val="262626"/>
          <w:sz w:val="21"/>
          <w:szCs w:val="21"/>
        </w:rPr>
        <w:t xml:space="preserve">Data-retention deadline (highest priority). </w:t>
      </w:r>
      <w:r>
        <w:rPr>
          <w:rFonts w:ascii="Calibri" w:cs="Calibri" w:eastAsia="Calibri" w:hAnsi="Calibri"/>
          <w:color w:val="262626"/>
          <w:sz w:val="21"/>
          <w:szCs w:val="21"/>
        </w:rPr>
        <w:t xml:space="preserve">Confirm with Deltek how long your data remains recoverable on their side. Everything in Section 3 depends on acting before that window closes.</w:t>
      </w:r>
    </w:p>
    <w:p>
      <w:pPr>
        <w:pStyle w:val="ListParagraph"/>
        <w:numPr>
          <w:ilvl w:val="0"/>
          <w:numId w:val="2"/>
        </w:numPr>
        <w:spacing w:after="70" w:line="270"/>
      </w:pPr>
      <w:r>
        <w:rPr>
          <w:rFonts w:ascii="Calibri" w:cs="Calibri" w:eastAsia="Calibri" w:hAnsi="Calibri"/>
          <w:b/>
          <w:bCs/>
          <w:color w:val="262626"/>
          <w:sz w:val="21"/>
          <w:szCs w:val="21"/>
        </w:rPr>
        <w:t xml:space="preserve">Opening balances. </w:t>
      </w:r>
      <w:r>
        <w:rPr>
          <w:rFonts w:ascii="Calibri" w:cs="Calibri" w:eastAsia="Calibri" w:hAnsi="Calibri"/>
          <w:color w:val="262626"/>
          <w:sz w:val="21"/>
          <w:szCs w:val="21"/>
        </w:rPr>
        <w:t xml:space="preserve">To start the new GL cleanly you need an accurate trial balance, open AR, and WIP as of the cutover date. Your CPA/bookkeeper should be involved in Phase 3.</w:t>
      </w:r>
    </w:p>
    <w:p>
      <w:pPr>
        <w:pStyle w:val="ListParagraph"/>
        <w:numPr>
          <w:ilvl w:val="0"/>
          <w:numId w:val="2"/>
        </w:numPr>
        <w:spacing w:after="70" w:line="270"/>
      </w:pPr>
      <w:r>
        <w:rPr>
          <w:rFonts w:ascii="Calibri" w:cs="Calibri" w:eastAsia="Calibri" w:hAnsi="Calibri"/>
          <w:b/>
          <w:bCs/>
          <w:color w:val="262626"/>
          <w:sz w:val="21"/>
          <w:szCs w:val="21"/>
        </w:rPr>
        <w:t xml:space="preserve">Payroll decision. </w:t>
      </w:r>
      <w:r>
        <w:rPr>
          <w:rFonts w:ascii="Calibri" w:cs="Calibri" w:eastAsia="Calibri" w:hAnsi="Calibri"/>
          <w:color w:val="262626"/>
          <w:sz w:val="21"/>
          <w:szCs w:val="21"/>
        </w:rPr>
        <w:t xml:space="preserve">Decide whether payroll moves to a dedicated provider feeding the GL, or must live inside the new platform. This affects tool choice and cost.</w:t>
      </w:r>
    </w:p>
    <w:p>
      <w:pPr>
        <w:pStyle w:val="ListParagraph"/>
        <w:numPr>
          <w:ilvl w:val="0"/>
          <w:numId w:val="2"/>
        </w:numPr>
        <w:spacing w:after="70" w:line="270"/>
      </w:pPr>
      <w:r>
        <w:rPr>
          <w:rFonts w:ascii="Calibri" w:cs="Calibri" w:eastAsia="Calibri" w:hAnsi="Calibri"/>
          <w:b/>
          <w:bCs/>
          <w:color w:val="262626"/>
          <w:sz w:val="21"/>
          <w:szCs w:val="21"/>
        </w:rPr>
        <w:t xml:space="preserve">Two-system vs one-system. </w:t>
      </w:r>
      <w:r>
        <w:rPr>
          <w:rFonts w:ascii="Calibri" w:cs="Calibri" w:eastAsia="Calibri" w:hAnsi="Calibri"/>
          <w:color w:val="262626"/>
          <w:sz w:val="21"/>
          <w:szCs w:val="21"/>
        </w:rPr>
        <w:t xml:space="preserve">BQE Core (one system) vs QBO+Monograph (two systems). Decide based on how much you value integrated accounting against a lower, faster start.</w:t>
      </w:r>
    </w:p>
    <w:p>
      <w:pPr>
        <w:pStyle w:val="Heading1"/>
        <w:spacing w:after="120" w:before="260"/>
      </w:pPr>
      <w:r>
        <w:rPr>
          <w:rFonts w:ascii="Calibri" w:cs="Calibri" w:eastAsia="Calibri" w:hAnsi="Calibri"/>
          <w:b/>
          <w:bCs/>
          <w:color w:val="1F3864"/>
          <w:sz w:val="30"/>
          <w:szCs w:val="30"/>
        </w:rPr>
        <w:t xml:space="preserve">9.  Recommended next actions</w:t>
      </w:r>
    </w:p>
    <w:p>
      <w:pPr>
        <w:pStyle w:val="ListParagraph"/>
        <w:numPr>
          <w:ilvl w:val="0"/>
          <w:numId w:val="4"/>
        </w:numPr>
        <w:spacing w:after="70" w:line="270"/>
      </w:pPr>
      <w:r>
        <w:rPr>
          <w:rFonts w:ascii="Calibri" w:cs="Calibri" w:eastAsia="Calibri" w:hAnsi="Calibri"/>
          <w:b/>
          <w:bCs/>
          <w:color w:val="262626"/>
          <w:sz w:val="21"/>
          <w:szCs w:val="21"/>
        </w:rPr>
        <w:t xml:space="preserve">This week: </w:t>
      </w:r>
      <w:r>
        <w:rPr>
          <w:rFonts w:ascii="Calibri" w:cs="Calibri" w:eastAsia="Calibri" w:hAnsi="Calibri"/>
          <w:color w:val="262626"/>
          <w:sz w:val="21"/>
          <w:szCs w:val="21"/>
        </w:rPr>
        <w:t xml:space="preserve">distribute the interim workbook and start time entry. Confirm the setup tabs with whoever owns your project and rate data.</w:t>
      </w:r>
    </w:p>
    <w:p>
      <w:pPr>
        <w:pStyle w:val="ListParagraph"/>
        <w:numPr>
          <w:ilvl w:val="0"/>
          <w:numId w:val="4"/>
        </w:numPr>
        <w:spacing w:after="70" w:line="270"/>
      </w:pPr>
      <w:r>
        <w:rPr>
          <w:rFonts w:ascii="Calibri" w:cs="Calibri" w:eastAsia="Calibri" w:hAnsi="Calibri"/>
          <w:b/>
          <w:bCs/>
          <w:color w:val="262626"/>
          <w:sz w:val="21"/>
          <w:szCs w:val="21"/>
        </w:rPr>
        <w:t xml:space="preserve">This week: </w:t>
      </w:r>
      <w:r>
        <w:rPr>
          <w:rFonts w:ascii="Calibri" w:cs="Calibri" w:eastAsia="Calibri" w:hAnsi="Calibri"/>
          <w:color w:val="262626"/>
          <w:sz w:val="21"/>
          <w:szCs w:val="21"/>
        </w:rPr>
        <w:t xml:space="preserve">reopen the Deltek ticket and request a native/unencrypted export plus the key reports, and ask for your data-retention deadline (Section 3).</w:t>
      </w:r>
    </w:p>
    <w:p>
      <w:pPr>
        <w:pStyle w:val="ListParagraph"/>
        <w:numPr>
          <w:ilvl w:val="0"/>
          <w:numId w:val="4"/>
        </w:numPr>
        <w:spacing w:after="70" w:line="270"/>
      </w:pPr>
      <w:r>
        <w:rPr>
          <w:rFonts w:ascii="Calibri" w:cs="Calibri" w:eastAsia="Calibri" w:hAnsi="Calibri"/>
          <w:b/>
          <w:bCs/>
          <w:color w:val="262626"/>
          <w:sz w:val="21"/>
          <w:szCs w:val="21"/>
        </w:rPr>
        <w:t xml:space="preserve">Next 2–4 weeks: </w:t>
      </w:r>
      <w:r>
        <w:rPr>
          <w:rFonts w:ascii="Calibri" w:cs="Calibri" w:eastAsia="Calibri" w:hAnsi="Calibri"/>
          <w:color w:val="262626"/>
          <w:sz w:val="21"/>
          <w:szCs w:val="21"/>
        </w:rPr>
        <w:t xml:space="preserve">demo BQE Core and QuickBooks Online + Monograph with real projects; decide.</w:t>
      </w:r>
    </w:p>
    <w:p>
      <w:pPr>
        <w:pStyle w:val="ListParagraph"/>
        <w:numPr>
          <w:ilvl w:val="0"/>
          <w:numId w:val="4"/>
        </w:numPr>
        <w:spacing w:after="70" w:line="270"/>
      </w:pPr>
      <w:r>
        <w:rPr>
          <w:rFonts w:ascii="Calibri" w:cs="Calibri" w:eastAsia="Calibri" w:hAnsi="Calibri"/>
          <w:b/>
          <w:bCs/>
          <w:color w:val="262626"/>
          <w:sz w:val="21"/>
          <w:szCs w:val="21"/>
        </w:rPr>
        <w:t xml:space="preserve">Then: </w:t>
      </w:r>
      <w:r>
        <w:rPr>
          <w:rFonts w:ascii="Calibri" w:cs="Calibri" w:eastAsia="Calibri" w:hAnsi="Calibri"/>
          <w:color w:val="262626"/>
          <w:sz w:val="21"/>
          <w:szCs w:val="21"/>
        </w:rPr>
        <w:t xml:space="preserve">configure the chosen system, import history as it arrives, set opening balances with your bookkeeper, and cut over.</w:t>
      </w:r>
    </w:p>
    <w:p>
      <w:pPr>
        <w:spacing w:after="120" w:line="276"/>
      </w:pPr>
      <w:r>
        <w:rPr>
          <w:rFonts w:ascii="Calibri" w:cs="Calibri" w:eastAsia="Calibri" w:hAnsi="Calibri"/>
          <w:i/>
          <w:iCs/>
          <w:color w:val="262626"/>
          <w:sz w:val="21"/>
          <w:szCs w:val="21"/>
        </w:rPr>
        <w:t xml:space="preserve">I can help with any of these next: </w:t>
      </w:r>
      <w:r>
        <w:rPr>
          <w:rFonts w:ascii="Calibri" w:cs="Calibri" w:eastAsia="Calibri" w:hAnsi="Calibri"/>
          <w:i/>
          <w:iCs/>
          <w:color w:val="262626"/>
          <w:sz w:val="21"/>
          <w:szCs w:val="21"/>
        </w:rPr>
        <w:t xml:space="preserve">map a native Deltek export into clean spreadsheets once you obtain one, draft the exact request to Deltek, build a chart-of-accounts and project-import template for the tool you pick, or extend the interim workbook (e.g. an AP/expense tab or an AR-aging view).</w:t>
      </w:r>
    </w:p>
    <w:p>
      <w:r>
        <w:br w:type="page"/>
      </w:r>
    </w:p>
    <w:p>
      <w:pPr>
        <w:pStyle w:val="Heading1"/>
        <w:spacing w:after="120" w:before="260"/>
      </w:pPr>
      <w:r>
        <w:rPr>
          <w:rFonts w:ascii="Calibri" w:cs="Calibri" w:eastAsia="Calibri" w:hAnsi="Calibri"/>
          <w:b/>
          <w:bCs/>
          <w:color w:val="1F3864"/>
          <w:sz w:val="30"/>
          <w:szCs w:val="30"/>
        </w:rPr>
        <w:t xml:space="preserve">Appendix — technical detail of the backup investigation</w:t>
      </w:r>
    </w:p>
    <w:p>
      <w:pPr>
        <w:spacing w:after="120" w:line="276"/>
      </w:pPr>
      <w:r>
        <w:rPr>
          <w:rFonts w:ascii="Calibri" w:cs="Calibri" w:eastAsia="Calibri" w:hAnsi="Calibri"/>
          <w:color w:val="262626"/>
          <w:sz w:val="21"/>
          <w:szCs w:val="21"/>
        </w:rPr>
        <w:t xml:space="preserve">For your IT records, the specific evidence that the files are Ajera's proprietary encrypted format:</w:t>
      </w:r>
    </w:p>
    <w:p>
      <w:pPr>
        <w:pStyle w:val="ListParagraph"/>
        <w:numPr>
          <w:ilvl w:val="0"/>
          <w:numId w:val="2"/>
        </w:numPr>
        <w:spacing w:after="70" w:line="270"/>
      </w:pPr>
      <w:r>
        <w:rPr>
          <w:rFonts w:ascii="Calibri" w:cs="Calibri" w:eastAsia="Calibri" w:hAnsi="Calibri"/>
          <w:b/>
          <w:bCs/>
          <w:color w:val="262626"/>
          <w:sz w:val="21"/>
          <w:szCs w:val="21"/>
        </w:rPr>
        <w:t xml:space="preserve">File signature: </w:t>
      </w:r>
      <w:r>
        <w:rPr>
          <w:rFonts w:ascii="Calibri" w:cs="Calibri" w:eastAsia="Calibri" w:hAnsi="Calibri"/>
          <w:color w:val="262626"/>
          <w:sz w:val="21"/>
          <w:szCs w:val="21"/>
        </w:rPr>
        <w:t xml:space="preserve">both files begin with the ASCII magic bytes "MSSQLBAK" (hex 4D 53 53 51 4C 42 41 4B) followed by version fields, not the "TAPE" MTF descriptor block that opens a native SQL Server backup.</w:t>
      </w:r>
    </w:p>
    <w:p>
      <w:pPr>
        <w:pStyle w:val="ListParagraph"/>
        <w:numPr>
          <w:ilvl w:val="0"/>
          <w:numId w:val="2"/>
        </w:numPr>
        <w:spacing w:after="70" w:line="270"/>
      </w:pPr>
      <w:r>
        <w:rPr>
          <w:rFonts w:ascii="Calibri" w:cs="Calibri" w:eastAsia="Calibri" w:hAnsi="Calibri"/>
          <w:b/>
          <w:bCs/>
          <w:color w:val="262626"/>
          <w:sz w:val="21"/>
          <w:szCs w:val="21"/>
        </w:rPr>
        <w:t xml:space="preserve">No MTF structures: </w:t>
      </w:r>
      <w:r>
        <w:rPr>
          <w:rFonts w:ascii="Calibri" w:cs="Calibri" w:eastAsia="Calibri" w:hAnsi="Calibri"/>
          <w:color w:val="262626"/>
          <w:sz w:val="21"/>
          <w:szCs w:val="21"/>
        </w:rPr>
        <w:t xml:space="preserve">a full scan found zero occurrences of the standard Microsoft Tape Format descriptor blocks (TAPE, MSCI, MSDA, SSET) that every native SQL Server .BAK contains.</w:t>
      </w:r>
    </w:p>
    <w:p>
      <w:pPr>
        <w:pStyle w:val="ListParagraph"/>
        <w:numPr>
          <w:ilvl w:val="0"/>
          <w:numId w:val="2"/>
        </w:numPr>
        <w:spacing w:after="70" w:line="270"/>
      </w:pPr>
      <w:r>
        <w:rPr>
          <w:rFonts w:ascii="Calibri" w:cs="Calibri" w:eastAsia="Calibri" w:hAnsi="Calibri"/>
          <w:b/>
          <w:bCs/>
          <w:color w:val="262626"/>
          <w:sz w:val="21"/>
          <w:szCs w:val="21"/>
        </w:rPr>
        <w:t xml:space="preserve">Entropy: </w:t>
      </w:r>
      <w:r>
        <w:rPr>
          <w:rFonts w:ascii="Calibri" w:cs="Calibri" w:eastAsia="Calibri" w:hAnsi="Calibri"/>
          <w:color w:val="262626"/>
          <w:sz w:val="21"/>
          <w:szCs w:val="21"/>
        </w:rPr>
        <w:t xml:space="preserve">measured across the whole file in 4 MB windows, entropy is 7.92–7.99 bits/byte (max 8.0). Native and even compressed SQL backups leave readable catalog strings and lower-entropy regions; these files have neither.</w:t>
      </w:r>
    </w:p>
    <w:p>
      <w:pPr>
        <w:pStyle w:val="ListParagraph"/>
        <w:numPr>
          <w:ilvl w:val="0"/>
          <w:numId w:val="2"/>
        </w:numPr>
        <w:spacing w:after="70" w:line="270"/>
      </w:pPr>
      <w:r>
        <w:rPr>
          <w:rFonts w:ascii="Calibri" w:cs="Calibri" w:eastAsia="Calibri" w:hAnsi="Calibri"/>
          <w:b/>
          <w:bCs/>
          <w:color w:val="262626"/>
          <w:sz w:val="21"/>
          <w:szCs w:val="21"/>
        </w:rPr>
        <w:t xml:space="preserve">String analysis: </w:t>
      </w:r>
      <w:r>
        <w:rPr>
          <w:rFonts w:ascii="Calibri" w:cs="Calibri" w:eastAsia="Calibri" w:hAnsi="Calibri"/>
          <w:color w:val="262626"/>
          <w:sz w:val="21"/>
          <w:szCs w:val="21"/>
        </w:rPr>
        <w:t xml:space="preserve">no business terms (project, employee, invoice, client, account) and effectively no UTF-16 text are present anywhere in the payload — consistent with encryption.</w:t>
      </w:r>
    </w:p>
    <w:p>
      <w:pPr>
        <w:pStyle w:val="ListParagraph"/>
        <w:numPr>
          <w:ilvl w:val="0"/>
          <w:numId w:val="2"/>
        </w:numPr>
        <w:spacing w:after="70" w:line="270"/>
      </w:pPr>
      <w:r>
        <w:rPr>
          <w:rFonts w:ascii="Calibri" w:cs="Calibri" w:eastAsia="Calibri" w:hAnsi="Calibri"/>
          <w:b/>
          <w:bCs/>
          <w:color w:val="262626"/>
          <w:sz w:val="21"/>
          <w:szCs w:val="21"/>
        </w:rPr>
        <w:t xml:space="preserve">Vendor documentation: </w:t>
      </w:r>
      <w:r>
        <w:rPr>
          <w:rFonts w:ascii="Calibri" w:cs="Calibri" w:eastAsia="Calibri" w:hAnsi="Calibri"/>
          <w:color w:val="262626"/>
          <w:sz w:val="21"/>
          <w:szCs w:val="21"/>
        </w:rPr>
        <w:t xml:space="preserve">Deltek's Ajera help confirms restore is performed only by AjeraServerAdministration.exe, and that cloud customers must contact Ajera Support for backup assistance.</w:t>
      </w:r>
    </w:p>
    <w:p>
      <w:pPr>
        <w:spacing w:after="120" w:line="276"/>
      </w:pPr>
      <w:r>
        <w:rPr>
          <w:rFonts w:ascii="Calibri" w:cs="Calibri" w:eastAsia="Calibri" w:hAnsi="Calibri"/>
          <w:i/>
          <w:iCs/>
          <w:color w:val="262626"/>
          <w:sz w:val="21"/>
          <w:szCs w:val="21"/>
        </w:rPr>
        <w:t xml:space="preserve">Integrity note: </w:t>
      </w:r>
      <w:r>
        <w:rPr>
          <w:rFonts w:ascii="Calibri" w:cs="Calibri" w:eastAsia="Calibri" w:hAnsi="Calibri"/>
          <w:i/>
          <w:iCs/>
          <w:color w:val="262626"/>
          <w:sz w:val="21"/>
          <w:szCs w:val="21"/>
        </w:rPr>
        <w:t xml:space="preserve">the database file was verified end-to-end (MD5 a901b883…6c46) after transfer, so the files themselves are intact — the barrier is the format, not corruption.</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0"/>
      <w:jc w:val="right"/>
    </w:pPr>
    <w:r>
      <w:rPr>
        <w:rFonts w:ascii="Calibri" w:cs="Calibri" w:eastAsia="Calibri" w:hAnsi="Calibri"/>
        <w:color w:val="808080"/>
        <w:sz w:val="15"/>
        <w:szCs w:val="15"/>
      </w:rPr>
      <w:t xml:space="preserve">Replacing Ajera  ·  Brooks Stevens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Replacing Ajera — Assessment and Migration Plan</dc:title>
  <dc:creator>Claude (Cowork) for Michael Hopkins</dc:creator>
  <cp:lastModifiedBy>Un-named</cp:lastModifiedBy>
  <cp:revision>1</cp:revision>
  <dcterms:created xsi:type="dcterms:W3CDTF">2026-08-01T16:08:41.414Z</dcterms:created>
  <dcterms:modified xsi:type="dcterms:W3CDTF">2026-08-01T16:08:41.415Z</dcterms:modified>
</cp:coreProperties>
</file>

<file path=docProps/custom.xml><?xml version="1.0" encoding="utf-8"?>
<Properties xmlns="http://schemas.openxmlformats.org/officeDocument/2006/custom-properties" xmlns:vt="http://schemas.openxmlformats.org/officeDocument/2006/docPropsVTypes"/>
</file>