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color w:val="595959"/>
          <w:sz w:val="18"/>
        </w:rPr>
        <w:t>IMPACTUS PRIVATE EQUITY GROUP</w:t>
      </w:r>
    </w:p>
    <w:p>
      <w:pPr>
        <w:spacing w:after="40"/>
      </w:pPr>
      <w:r>
        <w:rPr>
          <w:b/>
          <w:i w:val="0"/>
          <w:color w:val="1F2A44"/>
          <w:sz w:val="36"/>
        </w:rPr>
        <w:t>European Private Debt and Alternative Credit Investors</w:t>
      </w:r>
    </w:p>
    <w:p>
      <w:pPr>
        <w:spacing w:after="40"/>
      </w:pPr>
      <w:r>
        <w:rPr>
          <w:b w:val="0"/>
          <w:i w:val="0"/>
          <w:color w:val="595959"/>
          <w:sz w:val="22"/>
        </w:rPr>
        <w:t>Relevance to the CPEF I Curity and Impactus Pyrolysis (IPL) raises - deep-dive analysis, investor map and contact plan</w:t>
      </w:r>
    </w:p>
    <w:p>
      <w:pPr>
        <w:spacing w:after="200"/>
      </w:pPr>
      <w:r>
        <w:rPr>
          <w:b w:val="0"/>
          <w:i/>
          <w:color w:val="595959"/>
          <w:sz w:val="18"/>
        </w:rPr>
        <w:t>Internal analysis memorandum - 22 September 2026 - prepared for K. Michaelides, Partner. Companion workbook: Impactus_EU_Private_Credit_Investor_Map_Sep2026.xlsx</w:t>
      </w:r>
    </w:p>
    <w:p>
      <w:pPr>
        <w:spacing w:after="240"/>
      </w:pPr>
      <w:r>
        <w:rPr>
          <w:b w:val="0"/>
          <w:i/>
          <w:color w:val="595959"/>
          <w:sz w:val="15"/>
        </w:rPr>
        <w:t>AIFMD Art. 23 disclosure. Impactus RAIF V.C.I.C. Plc is a Registered Alternative Investment Fund (CySEC RAIF16) externally managed by Argus Management Ltd (CySEC AIFM 44/56/2013). This memorandum is an internal analytical document prepared for the Sponsor. It is not an offer, solicitation or marketing communication in any jurisdiction. Interests in the Fund and its sub-funds (Impactus Private Equity Fund, CPEF I Curity, Impactus Pyrolysis / IVP) are available only to professional and well-informed investors within the meaning of AIFMD Art. 4(1)(ag), MiFID II and the Cyprus Alternative Investment Funds Law 124(I)/2018. Prospective investors must read the AIFMD Art. 23 disclosure document, the relevant offering supplement and term sheet before any investment decision. Targets are gross, forward-looking and not guaranteed; capital is at risk. Third-party names are used for identification only and do not imply endorsement.</w:t>
      </w:r>
    </w:p>
    <w:p>
      <w:pPr>
        <w:pStyle w:val="Heading1"/>
      </w:pPr>
      <w:r>
        <w:t>1. The core truth</w:t>
      </w:r>
    </w:p>
    <w:p>
      <w:pPr>
        <w:spacing w:after="120"/>
      </w:pPr>
      <w:r>
        <w:rPr>
          <w:b w:val="0"/>
          <w:i w:val="0"/>
        </w:rPr>
        <w:t>The European private credit market is large, liquid and rotating towards Europe, and almost none of it is built for what Impactus needs. The Cascade article maps roughly one hundred asset-based finance (ABF) investors; ABF lends against granular pools of receivables, loans and leases with observable performance data. Thermo Lysi is a single first-of-a-kind (FOAK) plant with no operating history, and Curity Pharma is an early-revenue producer in a sector most institutional lenders screen out. Of the article's universe, roughly one fifth - the special-situations, real-asset and energy-credit desks - could in principle write a €20m to €40m secured hybrid behind a Greek bank senior facility, and none could write the €5m equity ticket currently on offer. The money that has actually financed European tyre pyrolysis in 2024 to 2026 came from grants, strategic equity and offtaker-linked debt, not from credit funds. The practical conclusion is that the IPL capital plan should be re-sequenced around the offtakers, the reopened EIB venture-debt file and the Hellenic Innovation and Infrastructure Fund (HIIF), with one special-situations lender run as competitive tension; and that CPEF should not spend effort on institutional credit until twelve months of audited German sales exist.</w:t>
      </w:r>
    </w:p>
    <w:p>
      <w:pPr>
        <w:pStyle w:val="Heading1"/>
      </w:pPr>
      <w:r>
        <w:t>2. The bear case first - argued in the counterparties' own words</w:t>
      </w:r>
    </w:p>
    <w:p>
      <w:pPr>
        <w:spacing w:after="120"/>
      </w:pPr>
      <w:r>
        <w:rPr>
          <w:b w:val="0"/>
          <w:i w:val="0"/>
        </w:rPr>
        <w:t>Each objection below is the one the named actor has already raised, or will raise in week one of diligence. The position in Section 7 is built to survive them, not to avoid them.</w:t>
      </w:r>
    </w:p>
    <w:p>
      <w:pPr>
        <w:pStyle w:val="Heading2"/>
      </w:pPr>
      <w:r>
        <w:t>2.1 Alberto Casorati, EIB Cleantech Equity and Growth Capital (30 April 2026)</w:t>
      </w:r>
    </w:p>
    <w:p>
      <w:pPr>
        <w:spacing w:after="120"/>
      </w:pPr>
      <w:r>
        <w:rPr>
          <w:b w:val="0"/>
          <w:i w:val="0"/>
        </w:rPr>
        <w:t>"While the EIB venture debt with its quasi-equity characteristics is designed to take such risks (often in the context of First Of A Kind projects) along with the equity investors, we want to avoid deploying our risk capital as a mezzanine exposing us to equity risk but not to its reward." That is the whole case against the €35m venture-debt tranche as currently priced: 4% cash plus 5% PIK plus a warrant, a 10% blended return, ranking ahead of €21m of shareholder capital but below the senior facility, on a plant whose licensor (Pyrum) reported FY2025 revenue of €4.1m and delayed break-even. The EIB reopened the file in September through Sirec and is asking three concrete questions. The tranche will not clear at 10% blended with a token warrant. Junior capital for a FOAK industrial asset clears at 14% to 18% all-in with 10% to 20% warrant coverage.</w:t>
      </w:r>
    </w:p>
    <w:p>
      <w:pPr>
        <w:pStyle w:val="Heading2"/>
      </w:pPr>
      <w:r>
        <w:t>2.2 Credia Bank credit committee</w:t>
      </w:r>
    </w:p>
    <w:p>
      <w:pPr>
        <w:spacing w:after="120"/>
      </w:pPr>
      <w:r>
        <w:rPr>
          <w:b w:val="0"/>
          <w:i w:val="0"/>
        </w:rPr>
        <w:t>The senior facility is sized at 1.5x DSCR on the PwC model, which assumes a €100/t gate fee across 45ktpa and €1,500/t for recovered carbon black. The contracted position is €62/t on 11ktpa (about €15/t across the full plant) and the rCB price is a CIF Dillingen reference that Impactus itself haircuts to €1,350/t for logistics. The committee will size on contracted cash flows only. On the model, senior capacity at 6.5% over ten years is €78.2m, which reconciles to the €77.4m in the Sponsor plan; on the contracted gate fee it is €64.0m. Every €10/t of gate fee on the full throughput is worth about €1.7m of senior debt. The Ecoelastika amendment is therefore worth more than any lender meeting.</w:t>
      </w:r>
    </w:p>
    <w:p>
      <w:pPr>
        <w:pStyle w:val="Heading2"/>
      </w:pPr>
      <w:r>
        <w:t>2.3 The PMO (Fordoers, 2 September 2026)</w:t>
      </w:r>
    </w:p>
    <w:p>
      <w:pPr>
        <w:spacing w:after="120"/>
      </w:pPr>
      <w:r>
        <w:rPr>
          <w:b w:val="0"/>
          <w:i w:val="0"/>
        </w:rPr>
        <w:t>Their own deck says December FID is not feasible: capex intensity unresolved between €120m and €150m for the plant, textile content at 24% to 25% against a 12% specification, a quarter of the components carrying a design or legality gap, and revenue adequacy resting on the gate fee. Munich Re withdrew its technology performance insurance product in February 2026. A credit investor who reads the PMO minutes before they are re-baselined with an end-date and a budget will price the reset as an open-ended delay. The reset must reach CINEA, HIIF and the EIB as a dated milestone schedule, not as a strategy narrative.</w:t>
      </w:r>
    </w:p>
    <w:p>
      <w:pPr>
        <w:pStyle w:val="Heading2"/>
      </w:pPr>
      <w:r>
        <w:t>2.4 The LP due-diligence lead at a Cyprus provident fund, and EY as auditor</w:t>
      </w:r>
    </w:p>
    <w:p>
      <w:pPr>
        <w:spacing w:after="120"/>
      </w:pPr>
      <w:r>
        <w:rPr>
          <w:b w:val="0"/>
          <w:i w:val="0"/>
        </w:rPr>
        <w:t>EY has already asked, on behalf of the Doctors' Provident Fund, for audited accounts, the valuation basis and the workings behind a fair-value uplift; the latest audited accounts of Impactus Pyrolysis Ltd are FY2023 with a qualified opinion. The Investor Pack states an 8% net coupon paid every term since 2022 while both platform assets are pre-revenue, and the Sponsor's own August 2025 note identified about €3m of new money needed for 2027 to 2028 operating costs and coupon. A DD lead will ask whether the coupon is serviced from asset cash flows or from subscriptions. Until a cash bridge answers that question in writing, every institutional conversation about the PE Fund is exposed.</w:t>
      </w:r>
    </w:p>
    <w:p>
      <w:pPr>
        <w:pStyle w:val="Heading2"/>
      </w:pPr>
      <w:r>
        <w:t>2.5 A special-situations portfolio manager</w:t>
      </w:r>
    </w:p>
    <w:p>
      <w:pPr>
        <w:spacing w:after="120"/>
      </w:pPr>
      <w:r>
        <w:rPr>
          <w:b w:val="0"/>
          <w:i w:val="0"/>
        </w:rPr>
        <w:t>No European tyre-pyrolysis project has closed non-recourse senior debt from a bank or an infrastructure-debt fund. Circtec (€150m) was funded by Novo Holdings and A.P. Moller equity, Dutch grants and a €12.5m bp offtaker loan; Bolder Antwerp by Tiger Infrastructure equity and a €32m Innovation Fund grant; Infiniteria by Antin equity, and it is now in reorganisation and arbitration. Plastic Energy's UK entities went into administration in April 2026, Viridor proposed closing Quantafuel in May 2026, Brightmark defaulted on US$172.5m of green bonds. The PM's opening position is that this asset class has a pattern of technology and offtake failure, and that the correct instrument is equity or offtaker capital, not fund debt. That is why the price of any hybrid will be high and why the offtakers must be in the stack first.</w:t>
      </w:r>
    </w:p>
    <w:p>
      <w:pPr>
        <w:pStyle w:val="Heading2"/>
      </w:pPr>
      <w:r>
        <w:t>2.6 A specialist cannabis lender's credit officer</w:t>
      </w:r>
    </w:p>
    <w:p>
      <w:pPr>
        <w:spacing w:after="120"/>
      </w:pPr>
      <w:r>
        <w:rPr>
          <w:b w:val="0"/>
          <w:i w:val="0"/>
        </w:rPr>
        <w:t>German pharmacy flower prices fell from €8.33/g in January 2025 to €4.52/g in March 2026; statutory health-insurance reimbursement of flower ended on 30 July 2026; imports rose 2.8x to 201 tonnes in 2025, so volume is not the problem, price is. Every European distressed exit recovered a fraction of invested capital (Clever Leaves' Portuguese assets sold for €2.5m; RPK / Holigen for US$2.0m). Advanced Flower Capital carries 35.7% of its book on non-accrual. No specialist lender has a documented European loan. The officer will underwrite at the BfArM tender reference of €2.30/g, not at Curity's €4.85/g base case, and will lend only against hard security and contracted German offtake.</w:t>
      </w:r>
    </w:p>
    <w:p>
      <w:pPr>
        <w:pStyle w:val="Heading1"/>
      </w:pPr>
      <w:r>
        <w:t>3. What the article's market actually is</w:t>
      </w:r>
    </w:p>
    <w:p>
      <w:pPr>
        <w:spacing w:after="120"/>
      </w:pPr>
      <w:r>
        <w:rPr>
          <w:b w:val="0"/>
          <w:i w:val="0"/>
        </w:rPr>
        <w:t>Cascade Debt's page is the '2026 Europe Private ABF Investor Market Map': about a hundred firms classified by each firm's dedicated ABL/ABF and private-credit strategy, bucketed by AUM (under US$5b, US$5b to US$20b, US$20b to US$100b, over US$100b). The page itself is blocked from this environment; the map image you supplied has been transcribed firm by firm into the Cascade_Map_2026 tab and scored. Five logos are illegible; candidate identifications (Fasanara, Fedaia, Avenue Capital) are flagged as unverified.</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val="clear" w:color="auto" w:fill="1F2A44"/>
          </w:tcPr>
          <w:p>
            <w:r/>
            <w:r>
              <w:rPr>
                <w:b/>
                <w:color w:val="FFFFFF"/>
                <w:sz w:val="17"/>
              </w:rPr>
              <w:t>Metric</w:t>
            </w:r>
          </w:p>
        </w:tc>
        <w:tc>
          <w:tcPr>
            <w:tcW w:type="dxa" w:w="2948"/>
            <w:shd w:val="clear" w:color="auto" w:fill="1F2A44"/>
          </w:tcPr>
          <w:p>
            <w:r/>
            <w:r>
              <w:rPr>
                <w:b/>
                <w:color w:val="FFFFFF"/>
                <w:sz w:val="17"/>
              </w:rPr>
              <w:t>Figure</w:t>
            </w:r>
          </w:p>
        </w:tc>
        <w:tc>
          <w:tcPr>
            <w:tcW w:type="dxa" w:w="1814"/>
            <w:shd w:val="clear" w:color="auto" w:fill="1F2A44"/>
          </w:tcPr>
          <w:p>
            <w:r/>
            <w:r>
              <w:rPr>
                <w:b/>
                <w:color w:val="FFFFFF"/>
                <w:sz w:val="17"/>
              </w:rPr>
              <w:t>Source</w:t>
            </w:r>
          </w:p>
        </w:tc>
        <w:tc>
          <w:tcPr>
            <w:tcW w:type="dxa" w:w="2948"/>
            <w:shd w:val="clear" w:color="auto" w:fill="1F2A44"/>
          </w:tcPr>
          <w:p>
            <w:r/>
            <w:r>
              <w:rPr>
                <w:b/>
                <w:color w:val="FFFFFF"/>
                <w:sz w:val="17"/>
              </w:rPr>
              <w:t>Why it matters here</w:t>
            </w:r>
          </w:p>
        </w:tc>
      </w:tr>
      <w:tr>
        <w:tc>
          <w:tcPr>
            <w:tcW w:type="dxa" w:w="2381"/>
          </w:tcPr>
          <w:p>
            <w:r/>
            <w:r>
              <w:rPr>
                <w:sz w:val="17"/>
              </w:rPr>
              <w:t>Europe private debt fundraising 2025</w:t>
            </w:r>
          </w:p>
        </w:tc>
        <w:tc>
          <w:tcPr>
            <w:tcW w:type="dxa" w:w="2948"/>
          </w:tcPr>
          <w:p>
            <w:r/>
            <w:r>
              <w:rPr>
                <w:sz w:val="17"/>
              </w:rPr>
              <w:t>US$79.4b (PitchBook); US$69.9b (S&amp;P / With Intelligence); second-highest year</w:t>
            </w:r>
          </w:p>
        </w:tc>
        <w:tc>
          <w:tcPr>
            <w:tcW w:type="dxa" w:w="1814"/>
          </w:tcPr>
          <w:p>
            <w:r/>
            <w:r>
              <w:rPr>
                <w:sz w:val="17"/>
              </w:rPr>
              <w:t>PitchBook; S&amp;P</w:t>
            </w:r>
          </w:p>
        </w:tc>
        <w:tc>
          <w:tcPr>
            <w:tcW w:type="dxa" w:w="2948"/>
          </w:tcPr>
          <w:p>
            <w:r/>
            <w:r>
              <w:rPr>
                <w:sz w:val="17"/>
              </w:rPr>
              <w:t>Capital is available; fit is the constraint</w:t>
            </w:r>
          </w:p>
        </w:tc>
      </w:tr>
      <w:tr>
        <w:tc>
          <w:tcPr>
            <w:tcW w:type="dxa" w:w="2381"/>
          </w:tcPr>
          <w:p>
            <w:r/>
            <w:r>
              <w:rPr>
                <w:sz w:val="17"/>
              </w:rPr>
              <w:t>Europe share of global private credit fundraising</w:t>
            </w:r>
          </w:p>
        </w:tc>
        <w:tc>
          <w:tcPr>
            <w:tcW w:type="dxa" w:w="2948"/>
          </w:tcPr>
          <w:p>
            <w:r/>
            <w:r>
              <w:rPr>
                <w:sz w:val="17"/>
              </w:rPr>
              <w:t>23% (2024) to 46% (2025)</w:t>
            </w:r>
          </w:p>
        </w:tc>
        <w:tc>
          <w:tcPr>
            <w:tcW w:type="dxa" w:w="1814"/>
          </w:tcPr>
          <w:p>
            <w:r/>
            <w:r>
              <w:rPr>
                <w:sz w:val="17"/>
              </w:rPr>
              <w:t>Alternative Credit Investor, 16-12-2025</w:t>
            </w:r>
          </w:p>
        </w:tc>
        <w:tc>
          <w:tcPr>
            <w:tcW w:type="dxa" w:w="2948"/>
          </w:tcPr>
          <w:p>
            <w:r/>
            <w:r>
              <w:rPr>
                <w:sz w:val="17"/>
              </w:rPr>
              <w:t>The window for European stories is open</w:t>
            </w:r>
          </w:p>
        </w:tc>
      </w:tr>
      <w:tr>
        <w:tc>
          <w:tcPr>
            <w:tcW w:type="dxa" w:w="2381"/>
          </w:tcPr>
          <w:p>
            <w:r/>
            <w:r>
              <w:rPr>
                <w:sz w:val="17"/>
              </w:rPr>
              <w:t>Direct lending share of European capital raised</w:t>
            </w:r>
          </w:p>
        </w:tc>
        <w:tc>
          <w:tcPr>
            <w:tcW w:type="dxa" w:w="2948"/>
          </w:tcPr>
          <w:p>
            <w:r/>
            <w:r>
              <w:rPr>
                <w:sz w:val="17"/>
              </w:rPr>
              <w:t>61.5% (9M 2025)</w:t>
            </w:r>
          </w:p>
        </w:tc>
        <w:tc>
          <w:tcPr>
            <w:tcW w:type="dxa" w:w="1814"/>
          </w:tcPr>
          <w:p>
            <w:r/>
            <w:r>
              <w:rPr>
                <w:sz w:val="17"/>
              </w:rPr>
              <w:t>Preqin via ACI</w:t>
            </w:r>
          </w:p>
        </w:tc>
        <w:tc>
          <w:tcPr>
            <w:tcW w:type="dxa" w:w="2948"/>
          </w:tcPr>
          <w:p>
            <w:r/>
            <w:r>
              <w:rPr>
                <w:sz w:val="17"/>
              </w:rPr>
              <w:t>Most of the money is sponsor-backed corporate lending, not project or growth credit</w:t>
            </w:r>
          </w:p>
        </w:tc>
      </w:tr>
      <w:tr>
        <w:tc>
          <w:tcPr>
            <w:tcW w:type="dxa" w:w="2381"/>
          </w:tcPr>
          <w:p>
            <w:r/>
            <w:r>
              <w:rPr>
                <w:sz w:val="17"/>
              </w:rPr>
              <w:t>Concentration</w:t>
            </w:r>
          </w:p>
        </w:tc>
        <w:tc>
          <w:tcPr>
            <w:tcW w:type="dxa" w:w="2948"/>
          </w:tcPr>
          <w:p>
            <w:r/>
            <w:r>
              <w:rPr>
                <w:sz w:val="17"/>
              </w:rPr>
              <w:t>93.1% of 2025 fundraising to managers on Fund IV or later</w:t>
            </w:r>
          </w:p>
        </w:tc>
        <w:tc>
          <w:tcPr>
            <w:tcW w:type="dxa" w:w="1814"/>
          </w:tcPr>
          <w:p>
            <w:r/>
            <w:r>
              <w:rPr>
                <w:sz w:val="17"/>
              </w:rPr>
              <w:t>PitchBook 2025 annual report</w:t>
            </w:r>
          </w:p>
        </w:tc>
        <w:tc>
          <w:tcPr>
            <w:tcW w:type="dxa" w:w="2948"/>
          </w:tcPr>
          <w:p>
            <w:r/>
            <w:r>
              <w:rPr>
                <w:sz w:val="17"/>
              </w:rPr>
              <w:t>A first-time sub-€100m GP will not raise from these allocators directly</w:t>
            </w:r>
          </w:p>
        </w:tc>
      </w:tr>
      <w:tr>
        <w:tc>
          <w:tcPr>
            <w:tcW w:type="dxa" w:w="2381"/>
          </w:tcPr>
          <w:p>
            <w:r/>
            <w:r>
              <w:rPr>
                <w:sz w:val="17"/>
              </w:rPr>
              <w:t>Direct lending deal volume Q2 2026</w:t>
            </w:r>
          </w:p>
        </w:tc>
        <w:tc>
          <w:tcPr>
            <w:tcW w:type="dxa" w:w="2948"/>
          </w:tcPr>
          <w:p>
            <w:r/>
            <w:r>
              <w:rPr>
                <w:sz w:val="17"/>
              </w:rPr>
              <w:t>€28.4b / 296 deals, down 25% year on year</w:t>
            </w:r>
          </w:p>
        </w:tc>
        <w:tc>
          <w:tcPr>
            <w:tcW w:type="dxa" w:w="1814"/>
          </w:tcPr>
          <w:p>
            <w:r/>
            <w:r>
              <w:rPr>
                <w:sz w:val="17"/>
              </w:rPr>
              <w:t>ACI, 25-08-2026</w:t>
            </w:r>
          </w:p>
        </w:tc>
        <w:tc>
          <w:tcPr>
            <w:tcW w:type="dxa" w:w="2948"/>
          </w:tcPr>
          <w:p>
            <w:r/>
            <w:r>
              <w:rPr>
                <w:sz w:val="17"/>
              </w:rPr>
              <w:t>Lenders are competing for assets; pricing power is with borrowers who fit</w:t>
            </w:r>
          </w:p>
        </w:tc>
      </w:tr>
      <w:tr>
        <w:tc>
          <w:tcPr>
            <w:tcW w:type="dxa" w:w="2381"/>
          </w:tcPr>
          <w:p>
            <w:r/>
            <w:r>
              <w:rPr>
                <w:sz w:val="17"/>
              </w:rPr>
              <w:t>Unitranche pricing, mid-market</w:t>
            </w:r>
          </w:p>
        </w:tc>
        <w:tc>
          <w:tcPr>
            <w:tcW w:type="dxa" w:w="2948"/>
          </w:tcPr>
          <w:p>
            <w:r/>
            <w:r>
              <w:rPr>
                <w:sz w:val="17"/>
              </w:rPr>
              <w:t>Euribor + 525 to 625bps; 5.0x to 6.5x EBITDA</w:t>
            </w:r>
          </w:p>
        </w:tc>
        <w:tc>
          <w:tcPr>
            <w:tcW w:type="dxa" w:w="1814"/>
          </w:tcPr>
          <w:p>
            <w:r/>
            <w:r>
              <w:rPr>
                <w:sz w:val="17"/>
              </w:rPr>
              <w:t>Valuation Research Corp Q2 2026</w:t>
            </w:r>
          </w:p>
        </w:tc>
        <w:tc>
          <w:tcPr>
            <w:tcW w:type="dxa" w:w="2948"/>
          </w:tcPr>
          <w:p>
            <w:r/>
            <w:r>
              <w:rPr>
                <w:sz w:val="17"/>
              </w:rPr>
              <w:t>Benchmark for a corporate credit; Thermo Lysi is not that credit</w:t>
            </w:r>
          </w:p>
        </w:tc>
      </w:tr>
      <w:tr>
        <w:tc>
          <w:tcPr>
            <w:tcW w:type="dxa" w:w="2381"/>
          </w:tcPr>
          <w:p>
            <w:r/>
            <w:r>
              <w:rPr>
                <w:sz w:val="17"/>
              </w:rPr>
              <w:t>Special-situations fundraising H1 2026</w:t>
            </w:r>
          </w:p>
        </w:tc>
        <w:tc>
          <w:tcPr>
            <w:tcW w:type="dxa" w:w="2948"/>
          </w:tcPr>
          <w:p>
            <w:r/>
            <w:r>
              <w:rPr>
                <w:sz w:val="17"/>
              </w:rPr>
              <w:t>Alchemy, Metric, Tikehau each closed €1b+; pipeline c.£100b</w:t>
            </w:r>
          </w:p>
        </w:tc>
        <w:tc>
          <w:tcPr>
            <w:tcW w:type="dxa" w:w="1814"/>
          </w:tcPr>
          <w:p>
            <w:r/>
            <w:r>
              <w:rPr>
                <w:sz w:val="17"/>
              </w:rPr>
              <w:t>With Intelligence; ACI</w:t>
            </w:r>
          </w:p>
        </w:tc>
        <w:tc>
          <w:tcPr>
            <w:tcW w:type="dxa" w:w="2948"/>
          </w:tcPr>
          <w:p>
            <w:r/>
            <w:r>
              <w:rPr>
                <w:sz w:val="17"/>
              </w:rPr>
              <w:t>The mandate for PIK, warrants and FOAK sits here</w:t>
            </w:r>
          </w:p>
        </w:tc>
      </w:tr>
      <w:tr>
        <w:tc>
          <w:tcPr>
            <w:tcW w:type="dxa" w:w="2381"/>
          </w:tcPr>
          <w:p>
            <w:r/>
            <w:r>
              <w:rPr>
                <w:sz w:val="17"/>
              </w:rPr>
              <w:t>European infrastructure debt 2025</w:t>
            </w:r>
          </w:p>
        </w:tc>
        <w:tc>
          <w:tcPr>
            <w:tcW w:type="dxa" w:w="2948"/>
          </w:tcPr>
          <w:p>
            <w:r/>
            <w:r>
              <w:rPr>
                <w:sz w:val="17"/>
              </w:rPr>
              <w:t>Record £68b financed; Infranity €3.2b, Eiffel €1.2b, Rivage €700m target</w:t>
            </w:r>
          </w:p>
        </w:tc>
        <w:tc>
          <w:tcPr>
            <w:tcW w:type="dxa" w:w="1814"/>
          </w:tcPr>
          <w:p>
            <w:r/>
            <w:r>
              <w:rPr>
                <w:sz w:val="17"/>
              </w:rPr>
              <w:t>Aviva; ACI; Infrastructure Investor</w:t>
            </w:r>
          </w:p>
        </w:tc>
        <w:tc>
          <w:tcPr>
            <w:tcW w:type="dxa" w:w="2948"/>
          </w:tcPr>
          <w:p>
            <w:r/>
            <w:r>
              <w:rPr>
                <w:sz w:val="17"/>
              </w:rPr>
              <w:t>Enhanced-return and climate-debt sleeves are the only infra-debt entry for a FOAK plant</w:t>
            </w:r>
          </w:p>
        </w:tc>
      </w:tr>
      <w:tr>
        <w:tc>
          <w:tcPr>
            <w:tcW w:type="dxa" w:w="2381"/>
          </w:tcPr>
          <w:p>
            <w:r/>
            <w:r>
              <w:rPr>
                <w:sz w:val="17"/>
              </w:rPr>
              <w:t>ECB deposit rate</w:t>
            </w:r>
          </w:p>
        </w:tc>
        <w:tc>
          <w:tcPr>
            <w:tcW w:type="dxa" w:w="2948"/>
          </w:tcPr>
          <w:p>
            <w:r/>
            <w:r>
              <w:rPr>
                <w:sz w:val="17"/>
              </w:rPr>
              <w:t>2.00% to 2.50% between June and September 2026</w:t>
            </w:r>
          </w:p>
        </w:tc>
        <w:tc>
          <w:tcPr>
            <w:tcW w:type="dxa" w:w="1814"/>
          </w:tcPr>
          <w:p>
            <w:r/>
            <w:r>
              <w:rPr>
                <w:sz w:val="17"/>
              </w:rPr>
              <w:t>ECB</w:t>
            </w:r>
          </w:p>
        </w:tc>
        <w:tc>
          <w:tcPr>
            <w:tcW w:type="dxa" w:w="2948"/>
          </w:tcPr>
          <w:p>
            <w:r/>
            <w:r>
              <w:rPr>
                <w:sz w:val="17"/>
              </w:rPr>
              <w:t>Every senior term sheet quoted in H1 2026 is 25 to 50bps stale</w:t>
            </w:r>
          </w:p>
        </w:tc>
      </w:tr>
      <w:tr>
        <w:tc>
          <w:tcPr>
            <w:tcW w:type="dxa" w:w="2381"/>
          </w:tcPr>
          <w:p>
            <w:r/>
            <w:r>
              <w:rPr>
                <w:sz w:val="17"/>
              </w:rPr>
              <w:t>Private credit stress signals</w:t>
            </w:r>
          </w:p>
        </w:tc>
        <w:tc>
          <w:tcPr>
            <w:tcW w:type="dxa" w:w="2948"/>
          </w:tcPr>
          <w:p>
            <w:r/>
            <w:r>
              <w:rPr>
                <w:sz w:val="17"/>
              </w:rPr>
              <w:t>Proskauer default 2.51% (Q2 2026); Lincoln 'bad PIK' 6.4%; Fitch US record 6.0%</w:t>
            </w:r>
          </w:p>
        </w:tc>
        <w:tc>
          <w:tcPr>
            <w:tcW w:type="dxa" w:w="1814"/>
          </w:tcPr>
          <w:p>
            <w:r/>
            <w:r>
              <w:rPr>
                <w:sz w:val="17"/>
              </w:rPr>
              <w:t>Proskauer; Lincoln; Fitch</w:t>
            </w:r>
          </w:p>
        </w:tc>
        <w:tc>
          <w:tcPr>
            <w:tcW w:type="dxa" w:w="2948"/>
          </w:tcPr>
          <w:p>
            <w:r/>
            <w:r>
              <w:rPr>
                <w:sz w:val="17"/>
              </w:rPr>
              <w:t>Committees are tightening on PIK - the 5% PIK in the VD tranche will be read as a warning sign</w:t>
            </w:r>
          </w:p>
        </w:tc>
      </w:tr>
      <w:tr>
        <w:tc>
          <w:tcPr>
            <w:tcW w:type="dxa" w:w="2381"/>
          </w:tcPr>
          <w:p>
            <w:r/>
            <w:r>
              <w:rPr>
                <w:sz w:val="17"/>
              </w:rPr>
              <w:t>AIFMD II and Cyprus</w:t>
            </w:r>
          </w:p>
        </w:tc>
        <w:tc>
          <w:tcPr>
            <w:tcW w:type="dxa" w:w="2948"/>
          </w:tcPr>
          <w:p>
            <w:r/>
            <w:r>
              <w:rPr>
                <w:sz w:val="17"/>
              </w:rPr>
              <w:t>Transposition due 16-04-2026; Cyprus not fully transposed; RAIFs may not run loan-originating strategies</w:t>
            </w:r>
          </w:p>
        </w:tc>
        <w:tc>
          <w:tcPr>
            <w:tcW w:type="dxa" w:w="1814"/>
          </w:tcPr>
          <w:p>
            <w:r/>
            <w:r>
              <w:rPr>
                <w:sz w:val="17"/>
              </w:rPr>
              <w:t>Jones Day; Chambers; LCK</w:t>
            </w:r>
          </w:p>
        </w:tc>
        <w:tc>
          <w:tcPr>
            <w:tcW w:type="dxa" w:w="2948"/>
          </w:tcPr>
          <w:p>
            <w:r/>
            <w:r>
              <w:rPr>
                <w:sz w:val="17"/>
              </w:rPr>
              <w:t>Note programmes must stay at holdco level, outside the RAIF's perimeter</w:t>
            </w:r>
          </w:p>
        </w:tc>
      </w:tr>
      <w:tr>
        <w:tc>
          <w:tcPr>
            <w:tcW w:type="dxa" w:w="2381"/>
          </w:tcPr>
          <w:p>
            <w:r/>
            <w:r>
              <w:rPr>
                <w:sz w:val="17"/>
              </w:rPr>
              <w:t>EIB Group in Greece 2025</w:t>
            </w:r>
          </w:p>
        </w:tc>
        <w:tc>
          <w:tcPr>
            <w:tcW w:type="dxa" w:w="2948"/>
          </w:tcPr>
          <w:p>
            <w:r/>
            <w:r>
              <w:rPr>
                <w:sz w:val="17"/>
              </w:rPr>
              <w:t>Record €3.5b; venture debt €17.5m to Joltie</w:t>
            </w:r>
          </w:p>
        </w:tc>
        <w:tc>
          <w:tcPr>
            <w:tcW w:type="dxa" w:w="1814"/>
          </w:tcPr>
          <w:p>
            <w:r/>
            <w:r>
              <w:rPr>
                <w:sz w:val="17"/>
              </w:rPr>
              <w:t>EIB press 2026-041</w:t>
            </w:r>
          </w:p>
        </w:tc>
        <w:tc>
          <w:tcPr>
            <w:tcW w:type="dxa" w:w="2948"/>
          </w:tcPr>
          <w:p>
            <w:r/>
            <w:r>
              <w:rPr>
                <w:sz w:val="17"/>
              </w:rPr>
              <w:t>EIB venture debt exists in Greece at the €15m to €20m scale</w:t>
            </w:r>
          </w:p>
        </w:tc>
      </w:tr>
    </w:tbl>
    <w:p>
      <w:pPr>
        <w:spacing w:after="40"/>
      </w:pPr>
    </w:p>
    <w:p>
      <w:pPr>
        <w:pStyle w:val="Heading2"/>
      </w:pPr>
      <w:r>
        <w:t>3.1 Which segment fits which need</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948"/>
            <w:shd w:val="clear" w:color="auto" w:fill="1F2A44"/>
          </w:tcPr>
          <w:p>
            <w:r/>
            <w:r>
              <w:rPr>
                <w:b/>
                <w:color w:val="FFFFFF"/>
                <w:sz w:val="17"/>
              </w:rPr>
              <w:t>Segment</w:t>
            </w:r>
          </w:p>
        </w:tc>
        <w:tc>
          <w:tcPr>
            <w:tcW w:type="dxa" w:w="1134"/>
            <w:shd w:val="clear" w:color="auto" w:fill="1F2A44"/>
          </w:tcPr>
          <w:p>
            <w:r/>
            <w:r>
              <w:rPr>
                <w:b/>
                <w:color w:val="FFFFFF"/>
                <w:sz w:val="17"/>
              </w:rPr>
              <w:t>IPL fit (0-5)</w:t>
            </w:r>
          </w:p>
        </w:tc>
        <w:tc>
          <w:tcPr>
            <w:tcW w:type="dxa" w:w="1134"/>
            <w:shd w:val="clear" w:color="auto" w:fill="1F2A44"/>
          </w:tcPr>
          <w:p>
            <w:r/>
            <w:r>
              <w:rPr>
                <w:b/>
                <w:color w:val="FFFFFF"/>
                <w:sz w:val="17"/>
              </w:rPr>
              <w:t>CPEF fit (0-5)</w:t>
            </w:r>
          </w:p>
        </w:tc>
        <w:tc>
          <w:tcPr>
            <w:tcW w:type="dxa" w:w="4876"/>
            <w:shd w:val="clear" w:color="auto" w:fill="1F2A44"/>
          </w:tcPr>
          <w:p>
            <w:r/>
            <w:r>
              <w:rPr>
                <w:b/>
                <w:color w:val="FFFFFF"/>
                <w:sz w:val="17"/>
              </w:rPr>
              <w:t>Verdict</w:t>
            </w:r>
          </w:p>
        </w:tc>
      </w:tr>
      <w:tr>
        <w:tc>
          <w:tcPr>
            <w:tcW w:type="dxa" w:w="2948"/>
          </w:tcPr>
          <w:p>
            <w:r/>
            <w:r>
              <w:rPr>
                <w:sz w:val="17"/>
              </w:rPr>
              <w:t>ABF (the Cascade universe)</w:t>
            </w:r>
          </w:p>
        </w:tc>
        <w:tc>
          <w:tcPr>
            <w:tcW w:type="dxa" w:w="1134"/>
          </w:tcPr>
          <w:p>
            <w:r/>
            <w:r>
              <w:rPr>
                <w:sz w:val="17"/>
              </w:rPr>
              <w:t>1</w:t>
            </w:r>
          </w:p>
        </w:tc>
        <w:tc>
          <w:tcPr>
            <w:tcW w:type="dxa" w:w="1134"/>
          </w:tcPr>
          <w:p>
            <w:r/>
            <w:r>
              <w:rPr>
                <w:sz w:val="17"/>
              </w:rPr>
              <w:t>2</w:t>
            </w:r>
          </w:p>
        </w:tc>
        <w:tc>
          <w:tcPr>
            <w:tcW w:type="dxa" w:w="4876"/>
          </w:tcPr>
          <w:p>
            <w:r/>
            <w:r>
              <w:rPr>
                <w:sz w:val="17"/>
              </w:rPr>
              <w:t>Granular pools only; single FOAK plant does not fit; Curity receivables line possible in 2027</w:t>
            </w:r>
          </w:p>
        </w:tc>
      </w:tr>
      <w:tr>
        <w:tc>
          <w:tcPr>
            <w:tcW w:type="dxa" w:w="2948"/>
          </w:tcPr>
          <w:p>
            <w:r/>
            <w:r>
              <w:rPr>
                <w:sz w:val="17"/>
              </w:rPr>
              <w:t>Sponsor-backed direct lending</w:t>
            </w:r>
          </w:p>
        </w:tc>
        <w:tc>
          <w:tcPr>
            <w:tcW w:type="dxa" w:w="1134"/>
          </w:tcPr>
          <w:p>
            <w:r/>
            <w:r>
              <w:rPr>
                <w:sz w:val="17"/>
              </w:rPr>
              <w:t>0</w:t>
            </w:r>
          </w:p>
        </w:tc>
        <w:tc>
          <w:tcPr>
            <w:tcW w:type="dxa" w:w="1134"/>
          </w:tcPr>
          <w:p>
            <w:r/>
            <w:r>
              <w:rPr>
                <w:sz w:val="17"/>
              </w:rPr>
              <w:t>1</w:t>
            </w:r>
          </w:p>
        </w:tc>
        <w:tc>
          <w:tcPr>
            <w:tcW w:type="dxa" w:w="4876"/>
          </w:tcPr>
          <w:p>
            <w:r/>
            <w:r>
              <w:rPr>
                <w:sz w:val="17"/>
              </w:rPr>
              <w:t>Needs audited EBITDA and usually a PE sponsor; exclude</w:t>
            </w:r>
          </w:p>
        </w:tc>
      </w:tr>
      <w:tr>
        <w:tc>
          <w:tcPr>
            <w:tcW w:type="dxa" w:w="2948"/>
          </w:tcPr>
          <w:p>
            <w:r/>
            <w:r>
              <w:rPr>
                <w:sz w:val="17"/>
              </w:rPr>
              <w:t>Lower-mid-market / SME credit (Southern Europe)</w:t>
            </w:r>
          </w:p>
        </w:tc>
        <w:tc>
          <w:tcPr>
            <w:tcW w:type="dxa" w:w="1134"/>
          </w:tcPr>
          <w:p>
            <w:r/>
            <w:r>
              <w:rPr>
                <w:sz w:val="17"/>
              </w:rPr>
              <w:t>2</w:t>
            </w:r>
          </w:p>
        </w:tc>
        <w:tc>
          <w:tcPr>
            <w:tcW w:type="dxa" w:w="1134"/>
          </w:tcPr>
          <w:p>
            <w:r/>
            <w:r>
              <w:rPr>
                <w:sz w:val="17"/>
              </w:rPr>
              <w:t>3</w:t>
            </w:r>
          </w:p>
        </w:tc>
        <w:tc>
          <w:tcPr>
            <w:tcW w:type="dxa" w:w="4876"/>
          </w:tcPr>
          <w:p>
            <w:r/>
            <w:r>
              <w:rPr>
                <w:sz w:val="17"/>
              </w:rPr>
              <w:t>Only core-credit segment writing €3m to €30m; Kartesia, Capza, Muzinich; Greek AIFs (Elikonos, Halcyon)</w:t>
            </w:r>
          </w:p>
        </w:tc>
      </w:tr>
      <w:tr>
        <w:tc>
          <w:tcPr>
            <w:tcW w:type="dxa" w:w="2948"/>
          </w:tcPr>
          <w:p>
            <w:r/>
            <w:r>
              <w:rPr>
                <w:sz w:val="17"/>
              </w:rPr>
              <w:t>Special situations / opportunistic</w:t>
            </w:r>
          </w:p>
        </w:tc>
        <w:tc>
          <w:tcPr>
            <w:tcW w:type="dxa" w:w="1134"/>
          </w:tcPr>
          <w:p>
            <w:r/>
            <w:r>
              <w:rPr>
                <w:sz w:val="17"/>
              </w:rPr>
              <w:t>4</w:t>
            </w:r>
          </w:p>
        </w:tc>
        <w:tc>
          <w:tcPr>
            <w:tcW w:type="dxa" w:w="1134"/>
          </w:tcPr>
          <w:p>
            <w:r/>
            <w:r>
              <w:rPr>
                <w:sz w:val="17"/>
              </w:rPr>
              <w:t>2</w:t>
            </w:r>
          </w:p>
        </w:tc>
        <w:tc>
          <w:tcPr>
            <w:tcW w:type="dxa" w:w="4876"/>
          </w:tcPr>
          <w:p>
            <w:r/>
            <w:r>
              <w:rPr>
                <w:sz w:val="17"/>
              </w:rPr>
              <w:t>Natural home for the €35m hybrid at 14% to 18% all-in; cannabis case by case</w:t>
            </w:r>
          </w:p>
        </w:tc>
      </w:tr>
      <w:tr>
        <w:tc>
          <w:tcPr>
            <w:tcW w:type="dxa" w:w="2948"/>
          </w:tcPr>
          <w:p>
            <w:r/>
            <w:r>
              <w:rPr>
                <w:sz w:val="17"/>
              </w:rPr>
              <w:t>Infrastructure and energy-transition debt</w:t>
            </w:r>
          </w:p>
        </w:tc>
        <w:tc>
          <w:tcPr>
            <w:tcW w:type="dxa" w:w="1134"/>
          </w:tcPr>
          <w:p>
            <w:r/>
            <w:r>
              <w:rPr>
                <w:sz w:val="17"/>
              </w:rPr>
              <w:t>3</w:t>
            </w:r>
          </w:p>
        </w:tc>
        <w:tc>
          <w:tcPr>
            <w:tcW w:type="dxa" w:w="1134"/>
          </w:tcPr>
          <w:p>
            <w:r/>
            <w:r>
              <w:rPr>
                <w:sz w:val="17"/>
              </w:rPr>
              <w:t>0</w:t>
            </w:r>
          </w:p>
        </w:tc>
        <w:tc>
          <w:tcPr>
            <w:tcW w:type="dxa" w:w="4876"/>
          </w:tcPr>
          <w:p>
            <w:r/>
            <w:r>
              <w:rPr>
                <w:sz w:val="17"/>
              </w:rPr>
              <w:t>Enhanced-return sleeves only (Infranity ERDF, Rivage High Yield, Eiffel bridge, Sienna, AB CarVal clean energy)</w:t>
            </w:r>
          </w:p>
        </w:tc>
      </w:tr>
      <w:tr>
        <w:tc>
          <w:tcPr>
            <w:tcW w:type="dxa" w:w="2948"/>
          </w:tcPr>
          <w:p>
            <w:r/>
            <w:r>
              <w:rPr>
                <w:sz w:val="17"/>
              </w:rPr>
              <w:t>Venture / growth debt</w:t>
            </w:r>
          </w:p>
        </w:tc>
        <w:tc>
          <w:tcPr>
            <w:tcW w:type="dxa" w:w="1134"/>
          </w:tcPr>
          <w:p>
            <w:r/>
            <w:r>
              <w:rPr>
                <w:sz w:val="17"/>
              </w:rPr>
              <w:t>2</w:t>
            </w:r>
          </w:p>
        </w:tc>
        <w:tc>
          <w:tcPr>
            <w:tcW w:type="dxa" w:w="1134"/>
          </w:tcPr>
          <w:p>
            <w:r/>
            <w:r>
              <w:rPr>
                <w:sz w:val="17"/>
              </w:rPr>
              <w:t>3</w:t>
            </w:r>
          </w:p>
        </w:tc>
        <w:tc>
          <w:tcPr>
            <w:tcW w:type="dxa" w:w="4876"/>
          </w:tcPr>
          <w:p>
            <w:r/>
            <w:r>
              <w:rPr>
                <w:sz w:val="17"/>
              </w:rPr>
              <w:t>Right ticket, wrong stage for IPL; Curity at 12 months of audited sales; Kreos (Constantinides) is the Greek door</w:t>
            </w:r>
          </w:p>
        </w:tc>
      </w:tr>
      <w:tr>
        <w:tc>
          <w:tcPr>
            <w:tcW w:type="dxa" w:w="2948"/>
          </w:tcPr>
          <w:p>
            <w:r/>
            <w:r>
              <w:rPr>
                <w:sz w:val="17"/>
              </w:rPr>
              <w:t>Development finance</w:t>
            </w:r>
          </w:p>
        </w:tc>
        <w:tc>
          <w:tcPr>
            <w:tcW w:type="dxa" w:w="1134"/>
          </w:tcPr>
          <w:p>
            <w:r/>
            <w:r>
              <w:rPr>
                <w:sz w:val="17"/>
              </w:rPr>
              <w:t>4</w:t>
            </w:r>
          </w:p>
        </w:tc>
        <w:tc>
          <w:tcPr>
            <w:tcW w:type="dxa" w:w="1134"/>
          </w:tcPr>
          <w:p>
            <w:r/>
            <w:r>
              <w:rPr>
                <w:sz w:val="17"/>
              </w:rPr>
              <w:t>1</w:t>
            </w:r>
          </w:p>
        </w:tc>
        <w:tc>
          <w:tcPr>
            <w:tcW w:type="dxa" w:w="4876"/>
          </w:tcPr>
          <w:p>
            <w:r/>
            <w:r>
              <w:rPr>
                <w:sz w:val="17"/>
              </w:rPr>
              <w:t>EIB VD reopened; EBRD Greece closed Dec 2025; HDB / RRF windows closed Aug 2026</w:t>
            </w:r>
          </w:p>
        </w:tc>
      </w:tr>
      <w:tr>
        <w:tc>
          <w:tcPr>
            <w:tcW w:type="dxa" w:w="2948"/>
          </w:tcPr>
          <w:p>
            <w:r/>
            <w:r>
              <w:rPr>
                <w:sz w:val="17"/>
              </w:rPr>
              <w:t>Impact / climate credit</w:t>
            </w:r>
          </w:p>
        </w:tc>
        <w:tc>
          <w:tcPr>
            <w:tcW w:type="dxa" w:w="1134"/>
          </w:tcPr>
          <w:p>
            <w:r/>
            <w:r>
              <w:rPr>
                <w:sz w:val="17"/>
              </w:rPr>
              <w:t>4</w:t>
            </w:r>
          </w:p>
        </w:tc>
        <w:tc>
          <w:tcPr>
            <w:tcW w:type="dxa" w:w="1134"/>
          </w:tcPr>
          <w:p>
            <w:r/>
            <w:r>
              <w:rPr>
                <w:sz w:val="17"/>
              </w:rPr>
              <w:t>0</w:t>
            </w:r>
          </w:p>
        </w:tc>
        <w:tc>
          <w:tcPr>
            <w:tcW w:type="dxa" w:w="4876"/>
          </w:tcPr>
          <w:p>
            <w:r/>
            <w:r>
              <w:rPr>
                <w:sz w:val="17"/>
              </w:rPr>
              <w:t>Best mandate fit: Polestar (Xycle lender), Rivage ECDS, Blue Earth, Triodos</w:t>
            </w:r>
          </w:p>
        </w:tc>
      </w:tr>
      <w:tr>
        <w:tc>
          <w:tcPr>
            <w:tcW w:type="dxa" w:w="2948"/>
          </w:tcPr>
          <w:p>
            <w:r/>
            <w:r>
              <w:rPr>
                <w:sz w:val="17"/>
              </w:rPr>
              <w:t>Strategic / offtaker capital</w:t>
            </w:r>
          </w:p>
        </w:tc>
        <w:tc>
          <w:tcPr>
            <w:tcW w:type="dxa" w:w="1134"/>
          </w:tcPr>
          <w:p>
            <w:r/>
            <w:r>
              <w:rPr>
                <w:sz w:val="17"/>
              </w:rPr>
              <w:t>5</w:t>
            </w:r>
          </w:p>
        </w:tc>
        <w:tc>
          <w:tcPr>
            <w:tcW w:type="dxa" w:w="1134"/>
          </w:tcPr>
          <w:p>
            <w:r/>
            <w:r>
              <w:rPr>
                <w:sz w:val="17"/>
              </w:rPr>
              <w:t>3</w:t>
            </w:r>
          </w:p>
        </w:tc>
        <w:tc>
          <w:tcPr>
            <w:tcW w:type="dxa" w:w="4876"/>
          </w:tcPr>
          <w:p>
            <w:r/>
            <w:r>
              <w:rPr>
                <w:sz w:val="17"/>
              </w:rPr>
              <w:t>The pattern in every financed pyrolysis project; BASF, Continental / Pirelli via Pyrum, Archirodon; ELPEN and German importers for Curity</w:t>
            </w:r>
          </w:p>
        </w:tc>
      </w:tr>
      <w:tr>
        <w:tc>
          <w:tcPr>
            <w:tcW w:type="dxa" w:w="2948"/>
          </w:tcPr>
          <w:p>
            <w:r/>
            <w:r>
              <w:rPr>
                <w:sz w:val="17"/>
              </w:rPr>
              <w:t>Specialist cannabis credit</w:t>
            </w:r>
          </w:p>
        </w:tc>
        <w:tc>
          <w:tcPr>
            <w:tcW w:type="dxa" w:w="1134"/>
          </w:tcPr>
          <w:p>
            <w:r/>
            <w:r>
              <w:rPr>
                <w:sz w:val="17"/>
              </w:rPr>
              <w:t>0</w:t>
            </w:r>
          </w:p>
        </w:tc>
        <w:tc>
          <w:tcPr>
            <w:tcW w:type="dxa" w:w="1134"/>
          </w:tcPr>
          <w:p>
            <w:r/>
            <w:r>
              <w:rPr>
                <w:sz w:val="17"/>
              </w:rPr>
              <w:t>4</w:t>
            </w:r>
          </w:p>
        </w:tc>
        <w:tc>
          <w:tcPr>
            <w:tcW w:type="dxa" w:w="4876"/>
          </w:tcPr>
          <w:p>
            <w:r/>
            <w:r>
              <w:rPr>
                <w:sz w:val="17"/>
              </w:rPr>
              <w:t>Chicago Atlantic (Mazarakis), AFC, Artemis Fund VII (75% Europe); 13% to 16%; no European loan yet</w:t>
            </w:r>
          </w:p>
        </w:tc>
      </w:tr>
      <w:tr>
        <w:tc>
          <w:tcPr>
            <w:tcW w:type="dxa" w:w="2948"/>
          </w:tcPr>
          <w:p>
            <w:r/>
            <w:r>
              <w:rPr>
                <w:sz w:val="17"/>
              </w:rPr>
              <w:t>Fund finance (NAV / capital-call)</w:t>
            </w:r>
          </w:p>
        </w:tc>
        <w:tc>
          <w:tcPr>
            <w:tcW w:type="dxa" w:w="1134"/>
          </w:tcPr>
          <w:p>
            <w:r/>
            <w:r>
              <w:rPr>
                <w:sz w:val="17"/>
              </w:rPr>
              <w:t>1</w:t>
            </w:r>
          </w:p>
        </w:tc>
        <w:tc>
          <w:tcPr>
            <w:tcW w:type="dxa" w:w="1134"/>
          </w:tcPr>
          <w:p>
            <w:r/>
            <w:r>
              <w:rPr>
                <w:sz w:val="17"/>
              </w:rPr>
              <w:t>0</w:t>
            </w:r>
          </w:p>
        </w:tc>
        <w:tc>
          <w:tcPr>
            <w:tcW w:type="dxa" w:w="4876"/>
          </w:tcPr>
          <w:p>
            <w:r/>
            <w:r>
              <w:rPr>
                <w:sz w:val="17"/>
              </w:rPr>
              <w:t>Every institutional lender is above scale; UK lenders apply POCA to cannabis; only Eurobank Cyprus or BoC could write a small line</w:t>
            </w:r>
          </w:p>
        </w:tc>
      </w:tr>
      <w:tr>
        <w:tc>
          <w:tcPr>
            <w:tcW w:type="dxa" w:w="2948"/>
          </w:tcPr>
          <w:p>
            <w:r/>
            <w:r>
              <w:rPr>
                <w:sz w:val="17"/>
              </w:rPr>
              <w:t>Cyprus / Greek institutional and family capital</w:t>
            </w:r>
          </w:p>
        </w:tc>
        <w:tc>
          <w:tcPr>
            <w:tcW w:type="dxa" w:w="1134"/>
          </w:tcPr>
          <w:p>
            <w:r/>
            <w:r>
              <w:rPr>
                <w:sz w:val="17"/>
              </w:rPr>
              <w:t>3</w:t>
            </w:r>
          </w:p>
        </w:tc>
        <w:tc>
          <w:tcPr>
            <w:tcW w:type="dxa" w:w="1134"/>
          </w:tcPr>
          <w:p>
            <w:r/>
            <w:r>
              <w:rPr>
                <w:sz w:val="17"/>
              </w:rPr>
              <w:t>3</w:t>
            </w:r>
          </w:p>
        </w:tc>
        <w:tc>
          <w:tcPr>
            <w:tcW w:type="dxa" w:w="4876"/>
          </w:tcPr>
          <w:p>
            <w:r/>
            <w:r>
              <w:rPr>
                <w:sz w:val="17"/>
              </w:rPr>
              <w:t>Where the money has actually come from; scale via Argus, Muhanna, Axia and an IORP-compliant note</w:t>
            </w:r>
          </w:p>
        </w:tc>
      </w:tr>
    </w:tbl>
    <w:p>
      <w:pPr>
        <w:spacing w:after="40"/>
      </w:pPr>
    </w:p>
    <w:p>
      <w:pPr>
        <w:pStyle w:val="Heading1"/>
      </w:pPr>
      <w:r>
        <w:t>4. IPL / Thermo Lysi - what the credit market can carry</w:t>
      </w:r>
    </w:p>
    <w:p>
      <w:pPr>
        <w:spacing w:after="120"/>
      </w:pPr>
      <w:r>
        <w:rPr>
          <w:b w:val="0"/>
          <w:i w:val="0"/>
        </w:rPr>
        <w:t>The IPL_Debt_Capacity tab reproduces the PwC 2031 case (44,776t; rCB 30.3% at €1,500/t; oil 20% at €845/t; steel 24.5% at €250/t; gate fee €100/t; carbon €25/t; cash opex €317/t) and sizes senior debt as the present value of CFADS divided by DSCR over the repayment tenor at the facility rate. The results below are the model's outputs; the inputs are live.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3515"/>
            <w:shd w:val="clear" w:color="auto" w:fill="1F2A44"/>
          </w:tcPr>
          <w:p>
            <w:r/>
            <w:r>
              <w:rPr>
                <w:b/>
                <w:color w:val="FFFFFF"/>
                <w:sz w:val="17"/>
              </w:rPr>
              <w:t>Measure</w:t>
            </w:r>
          </w:p>
        </w:tc>
        <w:tc>
          <w:tcPr>
            <w:tcW w:type="dxa" w:w="2835"/>
            <w:shd w:val="clear" w:color="auto" w:fill="1F2A44"/>
          </w:tcPr>
          <w:p>
            <w:r/>
            <w:r>
              <w:rPr>
                <w:b/>
                <w:color w:val="FFFFFF"/>
                <w:sz w:val="17"/>
              </w:rPr>
              <w:t>Value</w:t>
            </w:r>
          </w:p>
        </w:tc>
        <w:tc>
          <w:tcPr>
            <w:tcW w:type="dxa" w:w="3742"/>
            <w:shd w:val="clear" w:color="auto" w:fill="1F2A44"/>
          </w:tcPr>
          <w:p>
            <w:r/>
            <w:r>
              <w:rPr>
                <w:b/>
                <w:color w:val="FFFFFF"/>
                <w:sz w:val="17"/>
              </w:rPr>
              <w:t>Read-across</w:t>
            </w:r>
          </w:p>
        </w:tc>
      </w:tr>
      <w:tr>
        <w:tc>
          <w:tcPr>
            <w:tcW w:type="dxa" w:w="3515"/>
          </w:tcPr>
          <w:p>
            <w:r/>
            <w:r>
              <w:rPr>
                <w:sz w:val="17"/>
              </w:rPr>
              <w:t>2031 EBITDA on the PwC case</w:t>
            </w:r>
          </w:p>
        </w:tc>
        <w:tc>
          <w:tcPr>
            <w:tcW w:type="dxa" w:w="2835"/>
          </w:tcPr>
          <w:p>
            <w:r/>
            <w:r>
              <w:rPr>
                <w:sz w:val="17"/>
              </w:rPr>
              <w:t>€22.1m (PwC: €21.9m)</w:t>
            </w:r>
          </w:p>
        </w:tc>
        <w:tc>
          <w:tcPr>
            <w:tcW w:type="dxa" w:w="3742"/>
          </w:tcPr>
          <w:p>
            <w:r/>
            <w:r>
              <w:rPr>
                <w:sz w:val="17"/>
              </w:rPr>
              <w:t>Model reconciles to the Sponsor's figures</w:t>
            </w:r>
          </w:p>
        </w:tc>
      </w:tr>
      <w:tr>
        <w:tc>
          <w:tcPr>
            <w:tcW w:type="dxa" w:w="3515"/>
          </w:tcPr>
          <w:p>
            <w:r/>
            <w:r>
              <w:rPr>
                <w:sz w:val="17"/>
              </w:rPr>
              <w:t>Senior capacity at 1.5x DSCR, 6.5%, 10 years</w:t>
            </w:r>
          </w:p>
        </w:tc>
        <w:tc>
          <w:tcPr>
            <w:tcW w:type="dxa" w:w="2835"/>
          </w:tcPr>
          <w:p>
            <w:r/>
            <w:r>
              <w:rPr>
                <w:sz w:val="17"/>
              </w:rPr>
              <w:t>€78.2m</w:t>
            </w:r>
          </w:p>
        </w:tc>
        <w:tc>
          <w:tcPr>
            <w:tcW w:type="dxa" w:w="3742"/>
          </w:tcPr>
          <w:p>
            <w:r/>
            <w:r>
              <w:rPr>
                <w:sz w:val="17"/>
              </w:rPr>
              <w:t>Matches Credia's €77.4m - the plan is internally consistent on its own assumptions</w:t>
            </w:r>
          </w:p>
        </w:tc>
      </w:tr>
      <w:tr>
        <w:tc>
          <w:tcPr>
            <w:tcW w:type="dxa" w:w="3515"/>
          </w:tcPr>
          <w:p>
            <w:r/>
            <w:r>
              <w:rPr>
                <w:sz w:val="17"/>
              </w:rPr>
              <w:t>Senior capacity on the contracted gate fee (c.€15/t across 45ktpa)</w:t>
            </w:r>
          </w:p>
        </w:tc>
        <w:tc>
          <w:tcPr>
            <w:tcW w:type="dxa" w:w="2835"/>
          </w:tcPr>
          <w:p>
            <w:r/>
            <w:r>
              <w:rPr>
                <w:sz w:val="17"/>
              </w:rPr>
              <w:t>€64.0m</w:t>
            </w:r>
          </w:p>
        </w:tc>
        <w:tc>
          <w:tcPr>
            <w:tcW w:type="dxa" w:w="3742"/>
          </w:tcPr>
          <w:p>
            <w:r/>
            <w:r>
              <w:rPr>
                <w:sz w:val="17"/>
              </w:rPr>
              <w:t>€14m short of plan - this is what a credit committee sizes on today</w:t>
            </w:r>
          </w:p>
        </w:tc>
      </w:tr>
      <w:tr>
        <w:tc>
          <w:tcPr>
            <w:tcW w:type="dxa" w:w="3515"/>
          </w:tcPr>
          <w:p>
            <w:r/>
            <w:r>
              <w:rPr>
                <w:sz w:val="17"/>
              </w:rPr>
              <w:t>Sensitivity</w:t>
            </w:r>
          </w:p>
        </w:tc>
        <w:tc>
          <w:tcPr>
            <w:tcW w:type="dxa" w:w="2835"/>
          </w:tcPr>
          <w:p>
            <w:r/>
            <w:r>
              <w:rPr>
                <w:sz w:val="17"/>
              </w:rPr>
              <w:t>Each €10/t of gate fee on full throughput = c.€0.45m EBITDA = c.€1.7m senior capacity</w:t>
            </w:r>
          </w:p>
        </w:tc>
        <w:tc>
          <w:tcPr>
            <w:tcW w:type="dxa" w:w="3742"/>
          </w:tcPr>
          <w:p>
            <w:r/>
            <w:r>
              <w:rPr>
                <w:sz w:val="17"/>
              </w:rPr>
              <w:t>The Ecoelastika amendment is the highest-leverage line in the pack</w:t>
            </w:r>
          </w:p>
        </w:tc>
      </w:tr>
      <w:tr>
        <w:tc>
          <w:tcPr>
            <w:tcW w:type="dxa" w:w="3515"/>
          </w:tcPr>
          <w:p>
            <w:r/>
            <w:r>
              <w:rPr>
                <w:sz w:val="17"/>
              </w:rPr>
              <w:t>Sources check on the Sponsor plan</w:t>
            </w:r>
          </w:p>
        </w:tc>
        <w:tc>
          <w:tcPr>
            <w:tcW w:type="dxa" w:w="2835"/>
          </w:tcPr>
          <w:p>
            <w:r/>
            <w:r>
              <w:rPr>
                <w:sz w:val="17"/>
              </w:rPr>
              <w:t>€176.1m sources against €176m required</w:t>
            </w:r>
          </w:p>
        </w:tc>
        <w:tc>
          <w:tcPr>
            <w:tcW w:type="dxa" w:w="3742"/>
          </w:tcPr>
          <w:p>
            <w:r/>
            <w:r>
              <w:rPr>
                <w:sz w:val="17"/>
              </w:rPr>
              <w:t>Balanced only if Credia, HIIF / VD and the VAT facility all close at plan size</w:t>
            </w:r>
          </w:p>
        </w:tc>
      </w:tr>
      <w:tr>
        <w:tc>
          <w:tcPr>
            <w:tcW w:type="dxa" w:w="3515"/>
          </w:tcPr>
          <w:p>
            <w:r/>
            <w:r>
              <w:rPr>
                <w:sz w:val="17"/>
              </w:rPr>
              <w:t>Gap if plant capex is €150m rather than €118.5m</w:t>
            </w:r>
          </w:p>
        </w:tc>
        <w:tc>
          <w:tcPr>
            <w:tcW w:type="dxa" w:w="2835"/>
          </w:tcPr>
          <w:p>
            <w:r/>
            <w:r>
              <w:rPr>
                <w:sz w:val="17"/>
              </w:rPr>
              <w:t>€31.4m</w:t>
            </w:r>
          </w:p>
        </w:tc>
        <w:tc>
          <w:tcPr>
            <w:tcW w:type="dxa" w:w="3742"/>
          </w:tcPr>
          <w:p>
            <w:r/>
            <w:r>
              <w:rPr>
                <w:sz w:val="17"/>
              </w:rPr>
              <w:t>PMO: '€120m or €150m' unresolved</w:t>
            </w:r>
          </w:p>
        </w:tc>
      </w:tr>
      <w:tr>
        <w:tc>
          <w:tcPr>
            <w:tcW w:type="dxa" w:w="3515"/>
          </w:tcPr>
          <w:p>
            <w:r/>
            <w:r>
              <w:rPr>
                <w:sz w:val="17"/>
              </w:rPr>
              <w:t>Gap if senior is sized on contracted revenue and capex stress applies</w:t>
            </w:r>
          </w:p>
        </w:tc>
        <w:tc>
          <w:tcPr>
            <w:tcW w:type="dxa" w:w="2835"/>
          </w:tcPr>
          <w:p>
            <w:r/>
            <w:r>
              <w:rPr>
                <w:sz w:val="17"/>
              </w:rPr>
              <w:t>c.€45m</w:t>
            </w:r>
          </w:p>
        </w:tc>
        <w:tc>
          <w:tcPr>
            <w:tcW w:type="dxa" w:w="3742"/>
          </w:tcPr>
          <w:p>
            <w:r/>
            <w:r>
              <w:rPr>
                <w:sz w:val="17"/>
              </w:rPr>
              <w:t>This is the true size of the private-credit ask, not €35m</w:t>
            </w:r>
          </w:p>
        </w:tc>
      </w:tr>
      <w:tr>
        <w:tc>
          <w:tcPr>
            <w:tcW w:type="dxa" w:w="3515"/>
          </w:tcPr>
          <w:p>
            <w:r/>
            <w:r>
              <w:rPr>
                <w:sz w:val="17"/>
              </w:rPr>
              <w:t>Venture-debt all-in cost as offered</w:t>
            </w:r>
          </w:p>
        </w:tc>
        <w:tc>
          <w:tcPr>
            <w:tcW w:type="dxa" w:w="2835"/>
          </w:tcPr>
          <w:p>
            <w:r/>
            <w:r>
              <w:rPr>
                <w:sz w:val="17"/>
              </w:rPr>
              <w:t>9.4% (4% cash + 5% PIK + 3% warrant PV over 7 years)</w:t>
            </w:r>
          </w:p>
        </w:tc>
        <w:tc>
          <w:tcPr>
            <w:tcW w:type="dxa" w:w="3742"/>
          </w:tcPr>
          <w:p>
            <w:r/>
            <w:r>
              <w:rPr>
                <w:sz w:val="17"/>
              </w:rPr>
              <w:t>Below where junior FOAK capital clears; expect 14% to 18%</w:t>
            </w:r>
          </w:p>
        </w:tc>
      </w:tr>
      <w:tr>
        <w:tc>
          <w:tcPr>
            <w:tcW w:type="dxa" w:w="3515"/>
          </w:tcPr>
          <w:p>
            <w:r/>
            <w:r>
              <w:rPr>
                <w:sz w:val="17"/>
              </w:rPr>
              <w:t>Blended cost of capital (senior, VD, shareholder loans, equity at 22%)</w:t>
            </w:r>
          </w:p>
        </w:tc>
        <w:tc>
          <w:tcPr>
            <w:tcW w:type="dxa" w:w="2835"/>
          </w:tcPr>
          <w:p>
            <w:r/>
            <w:r>
              <w:rPr>
                <w:sz w:val="17"/>
              </w:rPr>
              <w:t>9.2%</w:t>
            </w:r>
          </w:p>
        </w:tc>
        <w:tc>
          <w:tcPr>
            <w:tcW w:type="dxa" w:w="3742"/>
          </w:tcPr>
          <w:p>
            <w:r/>
            <w:r>
              <w:rPr>
                <w:sz w:val="17"/>
              </w:rPr>
            </w:r>
          </w:p>
        </w:tc>
      </w:tr>
      <w:tr>
        <w:tc>
          <w:tcPr>
            <w:tcW w:type="dxa" w:w="3515"/>
          </w:tcPr>
          <w:p>
            <w:r/>
            <w:r>
              <w:rPr>
                <w:sz w:val="17"/>
              </w:rPr>
              <w:t>Interest cover, EBITDA to cash interest (senior plus VD)</w:t>
            </w:r>
          </w:p>
        </w:tc>
        <w:tc>
          <w:tcPr>
            <w:tcW w:type="dxa" w:w="2835"/>
          </w:tcPr>
          <w:p>
            <w:r/>
            <w:r>
              <w:rPr>
                <w:sz w:val="17"/>
              </w:rPr>
              <w:t>3.4x</w:t>
            </w:r>
          </w:p>
        </w:tc>
        <w:tc>
          <w:tcPr>
            <w:tcW w:type="dxa" w:w="3742"/>
          </w:tcPr>
          <w:p>
            <w:r/>
            <w:r>
              <w:rPr>
                <w:sz w:val="17"/>
              </w:rPr>
              <w:t>Adequate at run-rate; the risk is construction and ramp-up, not run-rate coverage</w:t>
            </w:r>
          </w:p>
        </w:tc>
      </w:tr>
    </w:tbl>
    <w:p>
      <w:pPr>
        <w:spacing w:after="40"/>
      </w:pPr>
    </w:p>
    <w:p>
      <w:pPr>
        <w:spacing w:after="120"/>
      </w:pPr>
      <w:r>
        <w:rPr>
          <w:b w:val="0"/>
          <w:i/>
        </w:rPr>
        <w:t>DD challenge. The model EBITDA of €22m rests on two prices that are not contracted at that level today. The venture-debt or private-credit tranche is not a cheaper alternative to equity; it is the price of the gap between contracted and modelled revenue. Presenting it at 10% blended to a credit investor invites the EIB's April answer again.</w:t>
      </w:r>
    </w:p>
    <w:p>
      <w:pPr>
        <w:pStyle w:val="Heading1"/>
      </w:pPr>
      <w:r>
        <w:t>5. CPEF I Curity - the honest price of growth debt</w:t>
      </w:r>
    </w:p>
    <w:p>
      <w:pPr>
        <w:spacing w:after="120"/>
      </w:pPr>
      <w:r>
        <w:rPr>
          <w:b w:val="0"/>
          <w:i w:val="0"/>
        </w:rPr>
        <w:t>The CPEF_Debt_Capacity tab uses the Meerkat stressed plan (3.5m grams at €3.00/g, 50% EBITDA margin) and a 2.5x leverage ceiling, which is where specialist cannabis lenders sit.</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3515"/>
            <w:shd w:val="clear" w:color="auto" w:fill="1F2A44"/>
          </w:tcPr>
          <w:p>
            <w:r/>
            <w:r>
              <w:rPr>
                <w:b/>
                <w:color w:val="FFFFFF"/>
                <w:sz w:val="17"/>
              </w:rPr>
              <w:t>Measure</w:t>
            </w:r>
          </w:p>
        </w:tc>
        <w:tc>
          <w:tcPr>
            <w:tcW w:type="dxa" w:w="2835"/>
            <w:shd w:val="clear" w:color="auto" w:fill="1F2A44"/>
          </w:tcPr>
          <w:p>
            <w:r/>
            <w:r>
              <w:rPr>
                <w:b/>
                <w:color w:val="FFFFFF"/>
                <w:sz w:val="17"/>
              </w:rPr>
              <w:t>Value</w:t>
            </w:r>
          </w:p>
        </w:tc>
        <w:tc>
          <w:tcPr>
            <w:tcW w:type="dxa" w:w="3742"/>
            <w:shd w:val="clear" w:color="auto" w:fill="1F2A44"/>
          </w:tcPr>
          <w:p>
            <w:r/>
            <w:r>
              <w:rPr>
                <w:b/>
                <w:color w:val="FFFFFF"/>
                <w:sz w:val="17"/>
              </w:rPr>
              <w:t>Read-across</w:t>
            </w:r>
          </w:p>
        </w:tc>
      </w:tr>
      <w:tr>
        <w:tc>
          <w:tcPr>
            <w:tcW w:type="dxa" w:w="3515"/>
          </w:tcPr>
          <w:p>
            <w:r/>
            <w:r>
              <w:rPr>
                <w:sz w:val="17"/>
              </w:rPr>
              <w:t>Stressed revenue / EBITDA at capacity</w:t>
            </w:r>
          </w:p>
        </w:tc>
        <w:tc>
          <w:tcPr>
            <w:tcW w:type="dxa" w:w="2835"/>
          </w:tcPr>
          <w:p>
            <w:r/>
            <w:r>
              <w:rPr>
                <w:sz w:val="17"/>
              </w:rPr>
              <w:t>€10.5m / €5.2m</w:t>
            </w:r>
          </w:p>
        </w:tc>
        <w:tc>
          <w:tcPr>
            <w:tcW w:type="dxa" w:w="3742"/>
          </w:tcPr>
          <w:p>
            <w:r/>
            <w:r>
              <w:rPr>
                <w:sz w:val="17"/>
              </w:rPr>
              <w:t>Meerkat FY2023 plan; refresh with FY2025 actuals before external use</w:t>
            </w:r>
          </w:p>
        </w:tc>
      </w:tr>
      <w:tr>
        <w:tc>
          <w:tcPr>
            <w:tcW w:type="dxa" w:w="3515"/>
          </w:tcPr>
          <w:p>
            <w:r/>
            <w:r>
              <w:rPr>
                <w:sz w:val="17"/>
              </w:rPr>
              <w:t>Debt capacity at 2.5x</w:t>
            </w:r>
          </w:p>
        </w:tc>
        <w:tc>
          <w:tcPr>
            <w:tcW w:type="dxa" w:w="2835"/>
          </w:tcPr>
          <w:p>
            <w:r/>
            <w:r>
              <w:rPr>
                <w:sz w:val="17"/>
              </w:rPr>
              <w:t>€13.1m</w:t>
            </w:r>
          </w:p>
        </w:tc>
        <w:tc>
          <w:tcPr>
            <w:tcW w:type="dxa" w:w="3742"/>
          </w:tcPr>
          <w:p>
            <w:r/>
            <w:r>
              <w:rPr>
                <w:sz w:val="17"/>
              </w:rPr>
            </w:r>
          </w:p>
        </w:tc>
      </w:tr>
      <w:tr>
        <w:tc>
          <w:tcPr>
            <w:tcW w:type="dxa" w:w="3515"/>
          </w:tcPr>
          <w:p>
            <w:r/>
            <w:r>
              <w:rPr>
                <w:sz w:val="17"/>
              </w:rPr>
              <w:t>Headroom after existing bank debt (€5.6m)</w:t>
            </w:r>
          </w:p>
        </w:tc>
        <w:tc>
          <w:tcPr>
            <w:tcW w:type="dxa" w:w="2835"/>
          </w:tcPr>
          <w:p>
            <w:r/>
            <w:r>
              <w:rPr>
                <w:sz w:val="17"/>
              </w:rPr>
              <w:t>€7.5m</w:t>
            </w:r>
          </w:p>
        </w:tc>
        <w:tc>
          <w:tcPr>
            <w:tcW w:type="dxa" w:w="3742"/>
          </w:tcPr>
          <w:p>
            <w:r/>
            <w:r>
              <w:rPr>
                <w:sz w:val="17"/>
              </w:rPr>
              <w:t>A €3m to €10m growth facility is feasible on the stressed case at capacity, not today</w:t>
            </w:r>
          </w:p>
        </w:tc>
      </w:tr>
      <w:tr>
        <w:tc>
          <w:tcPr>
            <w:tcW w:type="dxa" w:w="3515"/>
          </w:tcPr>
          <w:p>
            <w:r/>
            <w:r>
              <w:rPr>
                <w:sz w:val="17"/>
              </w:rPr>
              <w:t>Cost of a specialist facility</w:t>
            </w:r>
          </w:p>
        </w:tc>
        <w:tc>
          <w:tcPr>
            <w:tcW w:type="dxa" w:w="2835"/>
          </w:tcPr>
          <w:p>
            <w:r/>
            <w:r>
              <w:rPr>
                <w:sz w:val="17"/>
              </w:rPr>
              <w:t>13% cash + 4% fees and warrants = c.14% all-in</w:t>
            </w:r>
          </w:p>
        </w:tc>
        <w:tc>
          <w:tcPr>
            <w:tcW w:type="dxa" w:w="3742"/>
          </w:tcPr>
          <w:p>
            <w:r/>
            <w:r>
              <w:rPr>
                <w:sz w:val="17"/>
              </w:rPr>
              <w:t>600bps above the 8% note; the note is priced by relationship, not by the market</w:t>
            </w:r>
          </w:p>
        </w:tc>
      </w:tr>
      <w:tr>
        <w:tc>
          <w:tcPr>
            <w:tcW w:type="dxa" w:w="3515"/>
          </w:tcPr>
          <w:p>
            <w:r/>
            <w:r>
              <w:rPr>
                <w:sz w:val="17"/>
              </w:rPr>
              <w:t>Interest cover at that structure</w:t>
            </w:r>
          </w:p>
        </w:tc>
        <w:tc>
          <w:tcPr>
            <w:tcW w:type="dxa" w:w="2835"/>
          </w:tcPr>
          <w:p>
            <w:r/>
            <w:r>
              <w:rPr>
                <w:sz w:val="17"/>
              </w:rPr>
              <w:t>4.0x</w:t>
            </w:r>
          </w:p>
        </w:tc>
        <w:tc>
          <w:tcPr>
            <w:tcW w:type="dxa" w:w="3742"/>
          </w:tcPr>
          <w:p>
            <w:r/>
            <w:r>
              <w:rPr>
                <w:sz w:val="17"/>
              </w:rPr>
            </w:r>
          </w:p>
        </w:tc>
      </w:tr>
      <w:tr>
        <w:tc>
          <w:tcPr>
            <w:tcW w:type="dxa" w:w="3515"/>
          </w:tcPr>
          <w:p>
            <w:r/>
            <w:r>
              <w:rPr>
                <w:sz w:val="17"/>
              </w:rPr>
              <w:t>Underwriting price a lender will use</w:t>
            </w:r>
          </w:p>
        </w:tc>
        <w:tc>
          <w:tcPr>
            <w:tcW w:type="dxa" w:w="2835"/>
          </w:tcPr>
          <w:p>
            <w:r/>
            <w:r>
              <w:rPr>
                <w:sz w:val="17"/>
              </w:rPr>
              <w:t>€2.30/g (BfArM reference), trending lower</w:t>
            </w:r>
          </w:p>
        </w:tc>
        <w:tc>
          <w:tcPr>
            <w:tcW w:type="dxa" w:w="3742"/>
          </w:tcPr>
          <w:p>
            <w:r/>
            <w:r>
              <w:rPr>
                <w:sz w:val="17"/>
              </w:rPr>
              <w:t>At €2.50/g and 2.5m grams the headroom falls to zero</w:t>
            </w:r>
          </w:p>
        </w:tc>
      </w:tr>
    </w:tbl>
    <w:p>
      <w:pPr>
        <w:spacing w:after="40"/>
      </w:pPr>
    </w:p>
    <w:p>
      <w:pPr>
        <w:spacing w:after="120"/>
      </w:pPr>
      <w:r>
        <w:rPr>
          <w:b w:val="0"/>
          <w:i/>
        </w:rPr>
        <w:t>DD challenge. Curity is early-revenue (first exports 2026; Galenica distribution from October 2026). The realistic lenders in 2026 are strategics (ELPEN, German importers) and specialist cannabis funds; European growth-debt houses (Kreos, Claret, Atempo) have no stated cannabis exclusion but require twelve months of revenue. The 8% note is therefore the right instrument for now, and it should be sold as a relationship product, not as a market-priced credit.</w:t>
      </w:r>
    </w:p>
    <w:p>
      <w:pPr>
        <w:pStyle w:val="Heading1"/>
      </w:pPr>
      <w:r>
        <w:t>6. Pre-mortem</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1361"/>
            <w:shd w:val="clear" w:color="auto" w:fill="1F2A44"/>
          </w:tcPr>
          <w:p>
            <w:r/>
            <w:r>
              <w:rPr>
                <w:b/>
                <w:color w:val="FFFFFF"/>
                <w:sz w:val="17"/>
              </w:rPr>
              <w:t>Scenario</w:t>
            </w:r>
          </w:p>
        </w:tc>
        <w:tc>
          <w:tcPr>
            <w:tcW w:type="dxa" w:w="3628"/>
            <w:shd w:val="clear" w:color="auto" w:fill="1F2A44"/>
          </w:tcPr>
          <w:p>
            <w:r/>
            <w:r>
              <w:rPr>
                <w:b/>
                <w:color w:val="FFFFFF"/>
                <w:sz w:val="17"/>
              </w:rPr>
              <w:t>What happens</w:t>
            </w:r>
          </w:p>
        </w:tc>
        <w:tc>
          <w:tcPr>
            <w:tcW w:type="dxa" w:w="2835"/>
            <w:shd w:val="clear" w:color="auto" w:fill="1F2A44"/>
          </w:tcPr>
          <w:p>
            <w:r/>
            <w:r>
              <w:rPr>
                <w:b/>
                <w:color w:val="FFFFFF"/>
                <w:sz w:val="17"/>
              </w:rPr>
              <w:t>Capital impact</w:t>
            </w:r>
          </w:p>
        </w:tc>
        <w:tc>
          <w:tcPr>
            <w:tcW w:type="dxa" w:w="2268"/>
            <w:shd w:val="clear" w:color="auto" w:fill="1F2A44"/>
          </w:tcPr>
          <w:p>
            <w:r/>
            <w:r>
              <w:rPr>
                <w:b/>
                <w:color w:val="FFFFFF"/>
                <w:sz w:val="17"/>
              </w:rPr>
              <w:t>Probability anchor</w:t>
            </w:r>
          </w:p>
        </w:tc>
      </w:tr>
      <w:tr>
        <w:tc>
          <w:tcPr>
            <w:tcW w:type="dxa" w:w="1361"/>
          </w:tcPr>
          <w:p>
            <w:r/>
            <w:r>
              <w:rPr>
                <w:sz w:val="17"/>
              </w:rPr>
              <w:t>Base case</w:t>
            </w:r>
          </w:p>
        </w:tc>
        <w:tc>
          <w:tcPr>
            <w:tcW w:type="dxa" w:w="3628"/>
          </w:tcPr>
          <w:p>
            <w:r/>
            <w:r>
              <w:rPr>
                <w:sz w:val="17"/>
              </w:rPr>
              <w:t>Firm EPC price lands at €120m to €125m for the plant; Ecoelastika amendment extends the gate fee to full throughput at €60/t to €70/t; Credia approves c.€65m to €70m; EIB VD re-cut at €20m to €25m with real warrant coverage; HIIF commits in two stages; FID slips to Q2 2027</w:t>
            </w:r>
          </w:p>
        </w:tc>
        <w:tc>
          <w:tcPr>
            <w:tcW w:type="dxa" w:w="2835"/>
          </w:tcPr>
          <w:p>
            <w:r/>
            <w:r>
              <w:rPr>
                <w:sz w:val="17"/>
              </w:rPr>
              <w:t>Sponsor-level gap of €10m to €15m to be filled by offtaker prepayments (BASF, Continental via Pyrum) and the €5m IPL round; VD cost rises to c.14% all-in</w:t>
            </w:r>
          </w:p>
        </w:tc>
        <w:tc>
          <w:tcPr>
            <w:tcW w:type="dxa" w:w="2268"/>
          </w:tcPr>
          <w:p>
            <w:r/>
            <w:r>
              <w:rPr>
                <w:sz w:val="17"/>
              </w:rPr>
              <w:t>What I would bet on at fair odds - the PMO evidence supports a six-month slip, not a cancellation</w:t>
            </w:r>
          </w:p>
        </w:tc>
      </w:tr>
      <w:tr>
        <w:tc>
          <w:tcPr>
            <w:tcW w:type="dxa" w:w="1361"/>
          </w:tcPr>
          <w:p>
            <w:r/>
            <w:r>
              <w:rPr>
                <w:sz w:val="17"/>
              </w:rPr>
              <w:t>Bear case</w:t>
            </w:r>
          </w:p>
        </w:tc>
        <w:tc>
          <w:tcPr>
            <w:tcW w:type="dxa" w:w="3628"/>
          </w:tcPr>
          <w:p>
            <w:r/>
            <w:r>
              <w:rPr>
                <w:sz w:val="17"/>
              </w:rPr>
              <w:t>EPC firm price comes in at €150m; textile and configuration gaps push TDD sign-off to mid-2027; HIIF declines on the market-operator test; EIB declines a second time; Credia sizes on contracted revenue only</w:t>
            </w:r>
          </w:p>
        </w:tc>
        <w:tc>
          <w:tcPr>
            <w:tcW w:type="dxa" w:w="2835"/>
          </w:tcPr>
          <w:p>
            <w:r/>
            <w:r>
              <w:rPr>
                <w:sz w:val="17"/>
              </w:rPr>
              <w:t>Funding gap of €40m to €50m; the project cannot reach FID without an industrial partner taking equity; IPL's €50m pre-money valuation is not defensible and the €5m round stalls</w:t>
            </w:r>
          </w:p>
        </w:tc>
        <w:tc>
          <w:tcPr>
            <w:tcW w:type="dxa" w:w="2268"/>
          </w:tcPr>
          <w:p>
            <w:r/>
            <w:r>
              <w:rPr>
                <w:sz w:val="17"/>
              </w:rPr>
              <w:t>One in three - the PMO has already told you three of the four blockers are technical</w:t>
            </w:r>
          </w:p>
        </w:tc>
      </w:tr>
      <w:tr>
        <w:tc>
          <w:tcPr>
            <w:tcW w:type="dxa" w:w="1361"/>
          </w:tcPr>
          <w:p>
            <w:r/>
            <w:r>
              <w:rPr>
                <w:sz w:val="17"/>
              </w:rPr>
              <w:t>Black swan</w:t>
            </w:r>
          </w:p>
        </w:tc>
        <w:tc>
          <w:tcPr>
            <w:tcW w:type="dxa" w:w="3628"/>
          </w:tcPr>
          <w:p>
            <w:r/>
            <w:r>
              <w:rPr>
                <w:sz w:val="17"/>
              </w:rPr>
              <w:t>Pyrum enters restructuring (FY2025 revenue miss, breakeven delayed, €13m of a €21m rights issue placed) or Sokolov / Perl-Besch ramp-up fails publicly; Continental pauses rCB integration; CINEA reassesses the grant on entry-into-operation risk</w:t>
            </w:r>
          </w:p>
        </w:tc>
        <w:tc>
          <w:tcPr>
            <w:tcW w:type="dxa" w:w="2835"/>
          </w:tcPr>
          <w:p>
            <w:r/>
            <w:r>
              <w:rPr>
                <w:sz w:val="17"/>
              </w:rPr>
              <w:t>Technology licensor and offtake chain fail together; Thermo Lysi becomes a permitted site with a grant option; IPL carrying value (€21.5m Meerkat) written down materially; CPEF unaffected</w:t>
            </w:r>
          </w:p>
        </w:tc>
        <w:tc>
          <w:tcPr>
            <w:tcW w:type="dxa" w:w="2268"/>
          </w:tcPr>
          <w:p>
            <w:r/>
            <w:r>
              <w:rPr>
                <w:sz w:val="17"/>
              </w:rPr>
              <w:t>Low probability, severe consequence - the licensor is a sub-€15m revenue company carrying the whole platform</w:t>
            </w:r>
          </w:p>
        </w:tc>
      </w:tr>
    </w:tbl>
    <w:p>
      <w:pPr>
        <w:spacing w:after="40"/>
      </w:pPr>
    </w:p>
    <w:p>
      <w:pPr>
        <w:pStyle w:val="Heading1"/>
      </w:pPr>
      <w:r>
        <w:t>7. Decision matrix and position</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474"/>
            <w:shd w:val="clear" w:color="auto" w:fill="1F2A44"/>
          </w:tcPr>
          <w:p>
            <w:r/>
            <w:r>
              <w:rPr>
                <w:b/>
                <w:color w:val="FFFFFF"/>
                <w:sz w:val="16"/>
              </w:rPr>
            </w:r>
          </w:p>
        </w:tc>
        <w:tc>
          <w:tcPr>
            <w:tcW w:type="dxa" w:w="2041"/>
            <w:shd w:val="clear" w:color="auto" w:fill="1F2A44"/>
          </w:tcPr>
          <w:p>
            <w:r/>
            <w:r>
              <w:rPr>
                <w:b/>
                <w:color w:val="FFFFFF"/>
                <w:sz w:val="16"/>
              </w:rPr>
              <w:t>A. Current plan</w:t>
            </w:r>
          </w:p>
        </w:tc>
        <w:tc>
          <w:tcPr>
            <w:tcW w:type="dxa" w:w="2381"/>
            <w:shd w:val="clear" w:color="auto" w:fill="1F2A44"/>
          </w:tcPr>
          <w:p>
            <w:r/>
            <w:r>
              <w:rPr>
                <w:b/>
                <w:color w:val="FFFFFF"/>
                <w:sz w:val="16"/>
              </w:rPr>
              <w:t>B. Strategic-first stack (recommended)</w:t>
            </w:r>
          </w:p>
        </w:tc>
        <w:tc>
          <w:tcPr>
            <w:tcW w:type="dxa" w:w="2041"/>
            <w:shd w:val="clear" w:color="auto" w:fill="1F2A44"/>
          </w:tcPr>
          <w:p>
            <w:r/>
            <w:r>
              <w:rPr>
                <w:b/>
                <w:color w:val="FFFFFF"/>
                <w:sz w:val="16"/>
              </w:rPr>
              <w:t>C. Special-sits hybrid replaces VD</w:t>
            </w:r>
          </w:p>
        </w:tc>
        <w:tc>
          <w:tcPr>
            <w:tcW w:type="dxa" w:w="2041"/>
            <w:shd w:val="clear" w:color="auto" w:fill="1F2A44"/>
          </w:tcPr>
          <w:p>
            <w:r/>
            <w:r>
              <w:rPr>
                <w:b/>
                <w:color w:val="FFFFFF"/>
                <w:sz w:val="16"/>
              </w:rPr>
              <w:t>D. Development-partner reset and industrial sale</w:t>
            </w:r>
          </w:p>
        </w:tc>
      </w:tr>
      <w:tr>
        <w:tc>
          <w:tcPr>
            <w:tcW w:type="dxa" w:w="1474"/>
          </w:tcPr>
          <w:p>
            <w:r/>
            <w:r>
              <w:rPr>
                <w:sz w:val="16"/>
              </w:rPr>
              <w:t>Core thesis</w:t>
            </w:r>
          </w:p>
        </w:tc>
        <w:tc>
          <w:tcPr>
            <w:tcW w:type="dxa" w:w="2041"/>
          </w:tcPr>
          <w:p>
            <w:r/>
            <w:r>
              <w:rPr>
                <w:sz w:val="16"/>
              </w:rPr>
              <w:t>Credia senior + €35m VD at 10% + €21m shareholders + €5m IPL round; FID Dec 2026</w:t>
            </w:r>
          </w:p>
        </w:tc>
        <w:tc>
          <w:tcPr>
            <w:tcW w:type="dxa" w:w="2381"/>
          </w:tcPr>
          <w:p>
            <w:r/>
            <w:r>
              <w:rPr>
                <w:sz w:val="16"/>
              </w:rPr>
              <w:t>Offtaker prepayments (BASF oil, Continental / Pirelli rCB via Pyrum, Archirodon deferred EPC) first; EIB VD re-cut with equity-like reward; HIIF staged; Credia sized on contracted revenue; one special-sits lender run for tension</w:t>
            </w:r>
          </w:p>
        </w:tc>
        <w:tc>
          <w:tcPr>
            <w:tcW w:type="dxa" w:w="2041"/>
          </w:tcPr>
          <w:p>
            <w:r/>
            <w:r>
              <w:rPr>
                <w:sz w:val="16"/>
              </w:rPr>
              <w:t>Replace the VD tranche with a €25m to €40m hybrid from Hayfin Special Opps, Blantyre, Incus, Cross Ocean or AB CarVal at 14% to 18% with warrants</w:t>
            </w:r>
          </w:p>
        </w:tc>
        <w:tc>
          <w:tcPr>
            <w:tcW w:type="dxa" w:w="2041"/>
          </w:tcPr>
          <w:p>
            <w:r/>
            <w:r>
              <w:rPr>
                <w:sz w:val="16"/>
              </w:rPr>
              <w:t>Accept the PMO diagnosis: hold and de-risk for 12 to 18 months, then sell a permitted, contracted, grant-anchored site to an industrial (Continental, Pirelli, VTTI, Circtec, Bolder)</w:t>
            </w:r>
          </w:p>
        </w:tc>
      </w:tr>
      <w:tr>
        <w:tc>
          <w:tcPr>
            <w:tcW w:type="dxa" w:w="1474"/>
          </w:tcPr>
          <w:p>
            <w:r/>
            <w:r>
              <w:rPr>
                <w:sz w:val="16"/>
              </w:rPr>
              <w:t>Key risks / mitigants</w:t>
            </w:r>
          </w:p>
        </w:tc>
        <w:tc>
          <w:tcPr>
            <w:tcW w:type="dxa" w:w="2041"/>
          </w:tcPr>
          <w:p>
            <w:r/>
            <w:r>
              <w:rPr>
                <w:sz w:val="16"/>
              </w:rPr>
              <w:t>VD does not clear at 10%; Credia sizes down; FID slips - no mitigant inside the plan</w:t>
            </w:r>
          </w:p>
        </w:tc>
        <w:tc>
          <w:tcPr>
            <w:tcW w:type="dxa" w:w="2381"/>
          </w:tcPr>
          <w:p>
            <w:r/>
            <w:r>
              <w:rPr>
                <w:sz w:val="16"/>
              </w:rPr>
              <w:t>Offtakers may wait for market proof - mitigant is the VTTI Antwerp 90ktpa threat and a floor-price prepayment; EIB may decline again - mitigant is the reward fix</w:t>
            </w:r>
          </w:p>
        </w:tc>
        <w:tc>
          <w:tcPr>
            <w:tcW w:type="dxa" w:w="2041"/>
          </w:tcPr>
          <w:p>
            <w:r/>
            <w:r>
              <w:rPr>
                <w:sz w:val="16"/>
              </w:rPr>
              <w:t>Price dilutes equity returns to c.15% IRR; PIK read as distress - mitigant is cash-pay step-up at COD</w:t>
            </w:r>
          </w:p>
        </w:tc>
        <w:tc>
          <w:tcPr>
            <w:tcW w:type="dxa" w:w="2041"/>
          </w:tcPr>
          <w:p>
            <w:r/>
            <w:r>
              <w:rPr>
                <w:sz w:val="16"/>
              </w:rPr>
              <w:t>Value of goodwill unproven; grant timetable (Art. 39 amendment) must be re-baselined with CINEA; PMO extends its own mandate - mitigant is a costed roadmap with an end date</w:t>
            </w:r>
          </w:p>
        </w:tc>
      </w:tr>
      <w:tr>
        <w:tc>
          <w:tcPr>
            <w:tcW w:type="dxa" w:w="1474"/>
          </w:tcPr>
          <w:p>
            <w:r/>
            <w:r>
              <w:rPr>
                <w:sz w:val="16"/>
              </w:rPr>
              <w:t>Capital impact</w:t>
            </w:r>
          </w:p>
        </w:tc>
        <w:tc>
          <w:tcPr>
            <w:tcW w:type="dxa" w:w="2041"/>
          </w:tcPr>
          <w:p>
            <w:r/>
            <w:r>
              <w:rPr>
                <w:sz w:val="16"/>
              </w:rPr>
              <w:t>Gap €0 on paper; €31m to €45m on contracted revenue and capex stress</w:t>
            </w:r>
          </w:p>
        </w:tc>
        <w:tc>
          <w:tcPr>
            <w:tcW w:type="dxa" w:w="2381"/>
          </w:tcPr>
          <w:p>
            <w:r/>
            <w:r>
              <w:rPr>
                <w:sz w:val="16"/>
              </w:rPr>
              <w:t>Closes €15m to €25m of the gap at below-market cost; VD cost rises to c.14%; blended cost of capital c.10%</w:t>
            </w:r>
          </w:p>
        </w:tc>
        <w:tc>
          <w:tcPr>
            <w:tcW w:type="dxa" w:w="2041"/>
          </w:tcPr>
          <w:p>
            <w:r/>
            <w:r>
              <w:rPr>
                <w:sz w:val="16"/>
              </w:rPr>
              <w:t>Closes the tranche; blended cost of capital c.11%; equity IRR falls from 22% target to c.15% to 17%</w:t>
            </w:r>
          </w:p>
        </w:tc>
        <w:tc>
          <w:tcPr>
            <w:tcW w:type="dxa" w:w="2041"/>
          </w:tcPr>
          <w:p>
            <w:r/>
            <w:r>
              <w:rPr>
                <w:sz w:val="16"/>
              </w:rPr>
              <w:t>No construction capital raised; holding cost €3m to €5m over 18 months; exit value depends on industrial appetite (Antin, Tiger, Novo precedents)</w:t>
            </w:r>
          </w:p>
        </w:tc>
      </w:tr>
      <w:tr>
        <w:tc>
          <w:tcPr>
            <w:tcW w:type="dxa" w:w="1474"/>
          </w:tcPr>
          <w:p>
            <w:r/>
            <w:r>
              <w:rPr>
                <w:sz w:val="16"/>
              </w:rPr>
              <w:t>Strategic alignment</w:t>
            </w:r>
          </w:p>
        </w:tc>
        <w:tc>
          <w:tcPr>
            <w:tcW w:type="dxa" w:w="2041"/>
          </w:tcPr>
          <w:p>
            <w:r/>
            <w:r>
              <w:rPr>
                <w:sz w:val="16"/>
              </w:rPr>
              <w:t>IVP thesis intact only if FID holds</w:t>
            </w:r>
          </w:p>
        </w:tc>
        <w:tc>
          <w:tcPr>
            <w:tcW w:type="dxa" w:w="2381"/>
          </w:tcPr>
          <w:p>
            <w:r/>
            <w:r>
              <w:rPr>
                <w:sz w:val="16"/>
              </w:rPr>
              <w:t>Keeps IVP thesis and Greek exclusivity; converts the €5m IPL round into a bridge with a named use of proceeds</w:t>
            </w:r>
          </w:p>
        </w:tc>
        <w:tc>
          <w:tcPr>
            <w:tcW w:type="dxa" w:w="2041"/>
          </w:tcPr>
          <w:p>
            <w:r/>
            <w:r>
              <w:rPr>
                <w:sz w:val="16"/>
              </w:rPr>
              <w:t>Keeps FID path; weakens IVP economics</w:t>
            </w:r>
          </w:p>
        </w:tc>
        <w:tc>
          <w:tcPr>
            <w:tcW w:type="dxa" w:w="2041"/>
          </w:tcPr>
          <w:p>
            <w:r/>
            <w:r>
              <w:rPr>
                <w:sz w:val="16"/>
              </w:rPr>
              <w:t>Converts IVP from operator to developer - a different fund, a different LP base</w:t>
            </w:r>
          </w:p>
        </w:tc>
      </w:tr>
    </w:tbl>
    <w:p>
      <w:pPr>
        <w:spacing w:after="40"/>
      </w:pPr>
    </w:p>
    <w:p>
      <w:pPr>
        <w:pStyle w:val="Heading2"/>
      </w:pPr>
      <w:r>
        <w:t>7.1 Position</w:t>
      </w:r>
    </w:p>
    <w:p>
      <w:pPr>
        <w:spacing w:after="120"/>
      </w:pPr>
      <w:r>
        <w:rPr>
          <w:b w:val="0"/>
          <w:i w:val="0"/>
        </w:rPr>
        <w:t>Option B, with C prepared as the fallback and D kept as the honest alternative if the firm EPC price exceeds €140m. Specifically:</w:t>
      </w:r>
    </w:p>
    <w:p>
      <w:pPr>
        <w:pStyle w:val="ListBullet"/>
        <w:spacing w:after="60"/>
      </w:pPr>
      <w:r>
        <w:rPr>
          <w:b/>
        </w:rPr>
        <w:t xml:space="preserve">Offtakers before lenders. </w:t>
      </w:r>
      <w:r>
        <w:t>Sequence the stack around the counterparties who already have skin in the outcome: BASF (€16m equity and a €25m conditional loan into Pyrum), Continental (advance payment precedent), Pirelli (July 2026 supply agreement), Archirodon (interest in operations). Ask each for a prepayment or deferred payment against Line A, on the bp / Circtec model. This is the only capital in Europe that has actually financed tyre pyrolysis.</w:t>
      </w:r>
    </w:p>
    <w:p>
      <w:pPr>
        <w:pStyle w:val="ListBullet"/>
        <w:spacing w:after="60"/>
      </w:pPr>
      <w:r>
        <w:rPr>
          <w:b/>
        </w:rPr>
        <w:t xml:space="preserve">EIB: give the reward. </w:t>
      </w:r>
      <w:r>
        <w:t>Answer the April objection rather than re-arguing it: raise warrant coverage to 15% to 20% or add a conversion right, present a P90 case on contracted revenue, deliver the Continental supplier-approval letter and the Sokolov comparison this week.</w:t>
      </w:r>
    </w:p>
    <w:p>
      <w:pPr>
        <w:pStyle w:val="ListBullet"/>
        <w:spacing w:after="60"/>
      </w:pPr>
      <w:r>
        <w:rPr>
          <w:b/>
        </w:rPr>
        <w:t xml:space="preserve">HIIF: stage it. </w:t>
      </w:r>
      <w:r>
        <w:t>Re-cut the €35m into a development tranche now and a construction tranche at FID; agree the market-operator test basis (pari passu with Sirec's executed €34m post-money round) before the PMO reset reaches them.</w:t>
      </w:r>
    </w:p>
    <w:p>
      <w:pPr>
        <w:pStyle w:val="ListBullet"/>
        <w:spacing w:after="60"/>
      </w:pPr>
      <w:r>
        <w:rPr>
          <w:b/>
        </w:rPr>
        <w:t xml:space="preserve">Credia: fix the gate fee first. </w:t>
      </w:r>
      <w:r>
        <w:t>Sign Ecoelastika amendment No.2 to full throughput before the Credia credit committee; the model shows €1.7m of senior capacity per €10/t. Run Piraeus or Eurobank in parallel through PwC Deals for tension.</w:t>
      </w:r>
    </w:p>
    <w:p>
      <w:pPr>
        <w:pStyle w:val="ListBullet"/>
        <w:spacing w:after="60"/>
      </w:pPr>
      <w:r>
        <w:rPr>
          <w:b/>
        </w:rPr>
        <w:t xml:space="preserve">One competitive hybrid process, not a broad one. </w:t>
      </w:r>
      <w:r>
        <w:t>Mandate Venero, on success fee, to open exactly three: Hayfin Special Opportunities, AB CarVal clean-energy credit and Sienna Private Credit (energy debt at €5m to €50m), with Rivage ECDS and Eiffel (grant-receivable bridge) as the impact-debt pair. Do not approach the wider Cascade universe; 80% of it has no product for this risk.</w:t>
      </w:r>
    </w:p>
    <w:p>
      <w:pPr>
        <w:pStyle w:val="ListBullet"/>
        <w:spacing w:after="60"/>
      </w:pPr>
      <w:r>
        <w:rPr>
          <w:b/>
        </w:rPr>
        <w:t xml:space="preserve">The €5m IPL round. </w:t>
      </w:r>
      <w:r>
        <w:t>Sell it as what it is: a sponsor-level bridge to FID with named uses (ECI fees €0.86m, engineering, PMO, TDD, permitting), to the Cyprus network that has already funded €5.5m (SEK, Doctors' Fund, CSE fund, AstroBank, Rodopoulos) plus ETYK and PEO. Do not present a €50m pre-money valuation to institutional credit; they will not underwrite it and it costs credibility.</w:t>
      </w:r>
    </w:p>
    <w:p>
      <w:pPr>
        <w:pStyle w:val="ListBullet"/>
        <w:spacing w:after="60"/>
      </w:pPr>
      <w:r>
        <w:rPr>
          <w:b/>
        </w:rPr>
        <w:t xml:space="preserve">CPEF. </w:t>
      </w:r>
      <w:r>
        <w:t>Keep the 8% note as the instrument; add ELPEN and one German importer (Cantourage or Curaleaf International) as strategic co-investors; test Chicago Atlantic through John Mazarakis and Artemis Growth Partners for a 2027 growth facility once Galenica sales are audited. Do not approach mainstream direct lenders or any UK lender (POCA).</w:t>
      </w:r>
    </w:p>
    <w:p>
      <w:pPr>
        <w:pStyle w:val="ListBullet"/>
        <w:spacing w:after="60"/>
      </w:pPr>
      <w:r>
        <w:rPr>
          <w:b/>
        </w:rPr>
        <w:t xml:space="preserve">Fund level. </w:t>
      </w:r>
      <w:r>
        <w:t>Before any institutional LP conversation about the PE Fund, produce a coupon-coverage bridge and close the EY fair-value query. These two items decide whether the Cyprus provident-fund channel scales or stalls.</w:t>
      </w:r>
    </w:p>
    <w:p>
      <w:pPr>
        <w:pStyle w:val="Heading1"/>
      </w:pPr>
      <w:r>
        <w:t>8. Who to contact and how</w:t>
      </w:r>
    </w:p>
    <w:p>
      <w:pPr>
        <w:spacing w:after="120"/>
      </w:pPr>
      <w:r>
        <w:rPr>
          <w:b w:val="0"/>
          <w:i w:val="0"/>
        </w:rPr>
        <w:t>The Contacts tab holds 68 named entries: 34 drawn from Impactus' own records (24 with published emails, the rest warm via a named introducer) and 34 external targets. Apollo.io enrichment and web search were unavailable in this session, so external names are drawn from analyst knowledge, marked 'verify', and carry a LinkedIn search link rather than a fabricated profile URL. Channel rule: warm introduction, then published email plus a LinkedIn note the same day, then LinkedIn InMail, then conference. Cold email to institutional investors goes 95% unanswered; a warm introduction raises meeting probability roughly tenfold (sources in the workbook).</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794"/>
            <w:shd w:val="clear" w:color="auto" w:fill="1F2A44"/>
          </w:tcPr>
          <w:p>
            <w:r/>
            <w:r>
              <w:rPr>
                <w:b/>
                <w:color w:val="FFFFFF"/>
                <w:sz w:val="17"/>
              </w:rPr>
              <w:t>Priority</w:t>
            </w:r>
          </w:p>
        </w:tc>
        <w:tc>
          <w:tcPr>
            <w:tcW w:type="dxa" w:w="3628"/>
            <w:shd w:val="clear" w:color="auto" w:fill="1F2A44"/>
          </w:tcPr>
          <w:p>
            <w:r/>
            <w:r>
              <w:rPr>
                <w:b/>
                <w:color w:val="FFFFFF"/>
                <w:sz w:val="17"/>
              </w:rPr>
              <w:t>Firm / person</w:t>
            </w:r>
          </w:p>
        </w:tc>
        <w:tc>
          <w:tcPr>
            <w:tcW w:type="dxa" w:w="2041"/>
            <w:shd w:val="clear" w:color="auto" w:fill="1F2A44"/>
          </w:tcPr>
          <w:p>
            <w:r/>
            <w:r>
              <w:rPr>
                <w:b/>
                <w:color w:val="FFFFFF"/>
                <w:sz w:val="17"/>
              </w:rPr>
              <w:t>Channel</w:t>
            </w:r>
          </w:p>
        </w:tc>
        <w:tc>
          <w:tcPr>
            <w:tcW w:type="dxa" w:w="3628"/>
            <w:shd w:val="clear" w:color="auto" w:fill="1F2A44"/>
          </w:tcPr>
          <w:p>
            <w:r/>
            <w:r>
              <w:rPr>
                <w:b/>
                <w:color w:val="FFFFFF"/>
                <w:sz w:val="17"/>
              </w:rPr>
              <w:t>The one-line hook</w:t>
            </w:r>
          </w:p>
        </w:tc>
      </w:tr>
      <w:tr>
        <w:tc>
          <w:tcPr>
            <w:tcW w:type="dxa" w:w="794"/>
          </w:tcPr>
          <w:p>
            <w:r/>
            <w:r>
              <w:rPr>
                <w:sz w:val="17"/>
              </w:rPr>
              <w:t>1</w:t>
            </w:r>
          </w:p>
        </w:tc>
        <w:tc>
          <w:tcPr>
            <w:tcW w:type="dxa" w:w="3628"/>
          </w:tcPr>
          <w:p>
            <w:r/>
            <w:r>
              <w:rPr>
                <w:sz w:val="17"/>
              </w:rPr>
              <w:t>EIB - Alberto Casorati, Stephan Mitrakas (a.casorati@eib.org, s.mitrakas@eib.org)</w:t>
            </w:r>
          </w:p>
        </w:tc>
        <w:tc>
          <w:tcPr>
            <w:tcW w:type="dxa" w:w="2041"/>
          </w:tcPr>
          <w:p>
            <w:r/>
            <w:r>
              <w:rPr>
                <w:sz w:val="17"/>
              </w:rPr>
              <w:t>Existing thread via Sirec; call then email</w:t>
            </w:r>
          </w:p>
        </w:tc>
        <w:tc>
          <w:tcPr>
            <w:tcW w:type="dxa" w:w="3628"/>
          </w:tcPr>
          <w:p>
            <w:r/>
            <w:r>
              <w:rPr>
                <w:sz w:val="17"/>
              </w:rPr>
              <w:t>Equity-like reward added to the VD; three committee items delivered</w:t>
            </w:r>
          </w:p>
        </w:tc>
      </w:tr>
      <w:tr>
        <w:tc>
          <w:tcPr>
            <w:tcW w:type="dxa" w:w="794"/>
          </w:tcPr>
          <w:p>
            <w:r/>
            <w:r>
              <w:rPr>
                <w:sz w:val="17"/>
              </w:rPr>
              <w:t>2</w:t>
            </w:r>
          </w:p>
        </w:tc>
        <w:tc>
          <w:tcPr>
            <w:tcW w:type="dxa" w:w="3628"/>
          </w:tcPr>
          <w:p>
            <w:r/>
            <w:r>
              <w:rPr>
                <w:sz w:val="17"/>
              </w:rPr>
              <w:t>HIIF - Alexandros Vlachos, Stelios Fragos, Andreas Giannakopoulos (@hiif.gr)</w:t>
            </w:r>
          </w:p>
        </w:tc>
        <w:tc>
          <w:tcPr>
            <w:tcW w:type="dxa" w:w="2041"/>
          </w:tcPr>
          <w:p>
            <w:r/>
            <w:r>
              <w:rPr>
                <w:sz w:val="17"/>
              </w:rPr>
              <w:t>Existing thread; working session</w:t>
            </w:r>
          </w:p>
        </w:tc>
        <w:tc>
          <w:tcPr>
            <w:tcW w:type="dxa" w:w="3628"/>
          </w:tcPr>
          <w:p>
            <w:r/>
            <w:r>
              <w:rPr>
                <w:sz w:val="17"/>
              </w:rPr>
              <w:t>Staged commitment; market-operator test on the Sirec round</w:t>
            </w:r>
          </w:p>
        </w:tc>
      </w:tr>
      <w:tr>
        <w:tc>
          <w:tcPr>
            <w:tcW w:type="dxa" w:w="794"/>
          </w:tcPr>
          <w:p>
            <w:r/>
            <w:r>
              <w:rPr>
                <w:sz w:val="17"/>
              </w:rPr>
              <w:t>3</w:t>
            </w:r>
          </w:p>
        </w:tc>
        <w:tc>
          <w:tcPr>
            <w:tcW w:type="dxa" w:w="3628"/>
          </w:tcPr>
          <w:p>
            <w:r/>
            <w:r>
              <w:rPr>
                <w:sz w:val="17"/>
              </w:rPr>
              <w:t>Credia - Evangelos Mitrou (mitrou.evangelos@crediabank.com)</w:t>
            </w:r>
          </w:p>
        </w:tc>
        <w:tc>
          <w:tcPr>
            <w:tcW w:type="dxa" w:w="2041"/>
          </w:tcPr>
          <w:p>
            <w:r/>
            <w:r>
              <w:rPr>
                <w:sz w:val="17"/>
              </w:rPr>
              <w:t>Venero; weekly</w:t>
            </w:r>
          </w:p>
        </w:tc>
        <w:tc>
          <w:tcPr>
            <w:tcW w:type="dxa" w:w="3628"/>
          </w:tcPr>
          <w:p>
            <w:r/>
            <w:r>
              <w:rPr>
                <w:sz w:val="17"/>
              </w:rPr>
              <w:t>Firm EPC price plus Ecoelastika amendment before committee</w:t>
            </w:r>
          </w:p>
        </w:tc>
      </w:tr>
      <w:tr>
        <w:tc>
          <w:tcPr>
            <w:tcW w:type="dxa" w:w="794"/>
          </w:tcPr>
          <w:p>
            <w:r/>
            <w:r>
              <w:rPr>
                <w:sz w:val="17"/>
              </w:rPr>
              <w:t>4</w:t>
            </w:r>
          </w:p>
        </w:tc>
        <w:tc>
          <w:tcPr>
            <w:tcW w:type="dxa" w:w="3628"/>
          </w:tcPr>
          <w:p>
            <w:r/>
            <w:r>
              <w:rPr>
                <w:sz w:val="17"/>
              </w:rPr>
              <w:t>Ecoelastika board</w:t>
            </w:r>
          </w:p>
        </w:tc>
        <w:tc>
          <w:tcPr>
            <w:tcW w:type="dxa" w:w="2041"/>
          </w:tcPr>
          <w:p>
            <w:r/>
            <w:r>
              <w:rPr>
                <w:sz w:val="17"/>
              </w:rPr>
              <w:t>Direct</w:t>
            </w:r>
          </w:p>
        </w:tc>
        <w:tc>
          <w:tcPr>
            <w:tcW w:type="dxa" w:w="3628"/>
          </w:tcPr>
          <w:p>
            <w:r/>
            <w:r>
              <w:rPr>
                <w:sz w:val="17"/>
              </w:rPr>
              <w:t>Amendment No.2 to full throughput at a fixed fee</w:t>
            </w:r>
          </w:p>
        </w:tc>
      </w:tr>
      <w:tr>
        <w:tc>
          <w:tcPr>
            <w:tcW w:type="dxa" w:w="794"/>
          </w:tcPr>
          <w:p>
            <w:r/>
            <w:r>
              <w:rPr>
                <w:sz w:val="17"/>
              </w:rPr>
              <w:t>5</w:t>
            </w:r>
          </w:p>
        </w:tc>
        <w:tc>
          <w:tcPr>
            <w:tcW w:type="dxa" w:w="3628"/>
          </w:tcPr>
          <w:p>
            <w:r/>
            <w:r>
              <w:rPr>
                <w:sz w:val="17"/>
              </w:rPr>
              <w:t>Pyrum - Pascal Klein; BASF ChemCycling; Continental via Pyrum</w:t>
            </w:r>
          </w:p>
        </w:tc>
        <w:tc>
          <w:tcPr>
            <w:tcW w:type="dxa" w:w="2041"/>
          </w:tcPr>
          <w:p>
            <w:r/>
            <w:r>
              <w:rPr>
                <w:sz w:val="17"/>
              </w:rPr>
              <w:t>Direct (KM)</w:t>
            </w:r>
          </w:p>
        </w:tc>
        <w:tc>
          <w:tcPr>
            <w:tcW w:type="dxa" w:w="3628"/>
          </w:tcPr>
          <w:p>
            <w:r/>
            <w:r>
              <w:rPr>
                <w:sz w:val="17"/>
              </w:rPr>
              <w:t>Supplier-approval letter; prepayment against Line A</w:t>
            </w:r>
          </w:p>
        </w:tc>
      </w:tr>
      <w:tr>
        <w:tc>
          <w:tcPr>
            <w:tcW w:type="dxa" w:w="794"/>
          </w:tcPr>
          <w:p>
            <w:r/>
            <w:r>
              <w:rPr>
                <w:sz w:val="17"/>
              </w:rPr>
              <w:t>6</w:t>
            </w:r>
          </w:p>
        </w:tc>
        <w:tc>
          <w:tcPr>
            <w:tcW w:type="dxa" w:w="3628"/>
          </w:tcPr>
          <w:p>
            <w:r/>
            <w:r>
              <w:rPr>
                <w:sz w:val="17"/>
              </w:rPr>
              <w:t>Hayfin Special Opportunities; AB CarVal clean-energy credit; Sienna Private Credit</w:t>
            </w:r>
          </w:p>
        </w:tc>
        <w:tc>
          <w:tcPr>
            <w:tcW w:type="dxa" w:w="2041"/>
          </w:tcPr>
          <w:p>
            <w:r/>
            <w:r>
              <w:rPr>
                <w:sz w:val="17"/>
              </w:rPr>
              <w:t>Venero mandate; LinkedIn first</w:t>
            </w:r>
          </w:p>
        </w:tc>
        <w:tc>
          <w:tcPr>
            <w:tcW w:type="dxa" w:w="3628"/>
          </w:tcPr>
          <w:p>
            <w:r/>
            <w:r>
              <w:rPr>
                <w:sz w:val="17"/>
              </w:rPr>
              <w:t>€25m to €40m hybrid behind Credia, senior to €21m of shareholder capital</w:t>
            </w:r>
          </w:p>
        </w:tc>
      </w:tr>
      <w:tr>
        <w:tc>
          <w:tcPr>
            <w:tcW w:type="dxa" w:w="794"/>
          </w:tcPr>
          <w:p>
            <w:r/>
            <w:r>
              <w:rPr>
                <w:sz w:val="17"/>
              </w:rPr>
              <w:t>7</w:t>
            </w:r>
          </w:p>
        </w:tc>
        <w:tc>
          <w:tcPr>
            <w:tcW w:type="dxa" w:w="3628"/>
          </w:tcPr>
          <w:p>
            <w:r/>
            <w:r>
              <w:rPr>
                <w:sz w:val="17"/>
              </w:rPr>
              <w:t>Rivage ECDS; Eiffel Energy Transition; Polestar Capital</w:t>
            </w:r>
          </w:p>
        </w:tc>
        <w:tc>
          <w:tcPr>
            <w:tcW w:type="dxa" w:w="2041"/>
          </w:tcPr>
          <w:p>
            <w:r/>
            <w:r>
              <w:rPr>
                <w:sz w:val="17"/>
              </w:rPr>
              <w:t>LinkedIn first</w:t>
            </w:r>
          </w:p>
        </w:tc>
        <w:tc>
          <w:tcPr>
            <w:tcW w:type="dxa" w:w="3628"/>
          </w:tcPr>
          <w:p>
            <w:r/>
            <w:r>
              <w:rPr>
                <w:sz w:val="17"/>
              </w:rPr>
              <w:t>Grant-receivable bridge; Xycle covenant template</w:t>
            </w:r>
          </w:p>
        </w:tc>
      </w:tr>
      <w:tr>
        <w:tc>
          <w:tcPr>
            <w:tcW w:type="dxa" w:w="794"/>
          </w:tcPr>
          <w:p>
            <w:r/>
            <w:r>
              <w:rPr>
                <w:sz w:val="17"/>
              </w:rPr>
              <w:t>8</w:t>
            </w:r>
          </w:p>
        </w:tc>
        <w:tc>
          <w:tcPr>
            <w:tcW w:type="dxa" w:w="3628"/>
          </w:tcPr>
          <w:p>
            <w:r/>
            <w:r>
              <w:rPr>
                <w:sz w:val="17"/>
              </w:rPr>
              <w:t>Tiger Infrastructure Partners (Bolder investor)</w:t>
            </w:r>
          </w:p>
        </w:tc>
        <w:tc>
          <w:tcPr>
            <w:tcW w:type="dxa" w:w="2041"/>
          </w:tcPr>
          <w:p>
            <w:r/>
            <w:r>
              <w:rPr>
                <w:sz w:val="17"/>
              </w:rPr>
              <w:t>LinkedIn first</w:t>
            </w:r>
          </w:p>
        </w:tc>
        <w:tc>
          <w:tcPr>
            <w:tcW w:type="dxa" w:w="3628"/>
          </w:tcPr>
          <w:p>
            <w:r/>
            <w:r>
              <w:rPr>
                <w:sz w:val="17"/>
              </w:rPr>
              <w:t>IVP is Bolder Antwerp with an EU grant attached</w:t>
            </w:r>
          </w:p>
        </w:tc>
      </w:tr>
      <w:tr>
        <w:tc>
          <w:tcPr>
            <w:tcW w:type="dxa" w:w="794"/>
          </w:tcPr>
          <w:p>
            <w:r/>
            <w:r>
              <w:rPr>
                <w:sz w:val="17"/>
              </w:rPr>
              <w:t>9</w:t>
            </w:r>
          </w:p>
        </w:tc>
        <w:tc>
          <w:tcPr>
            <w:tcW w:type="dxa" w:w="3628"/>
          </w:tcPr>
          <w:p>
            <w:r/>
            <w:r>
              <w:rPr>
                <w:sz w:val="17"/>
              </w:rPr>
              <w:t>Kreos - Aris Constantinides; Chicago Atlantic - John Mazarakis</w:t>
            </w:r>
          </w:p>
        </w:tc>
        <w:tc>
          <w:tcPr>
            <w:tcW w:type="dxa" w:w="2041"/>
          </w:tcPr>
          <w:p>
            <w:r/>
            <w:r>
              <w:rPr>
                <w:sz w:val="17"/>
              </w:rPr>
              <w:t>LinkedIn first; Greek-diaspora angle</w:t>
            </w:r>
          </w:p>
        </w:tc>
        <w:tc>
          <w:tcPr>
            <w:tcW w:type="dxa" w:w="3628"/>
          </w:tcPr>
          <w:p>
            <w:r/>
            <w:r>
              <w:rPr>
                <w:sz w:val="17"/>
              </w:rPr>
              <w:t>First European cannabis credit, secured on EU-GMP plant and Galenica receivables (2027)</w:t>
            </w:r>
          </w:p>
        </w:tc>
      </w:tr>
      <w:tr>
        <w:tc>
          <w:tcPr>
            <w:tcW w:type="dxa" w:w="794"/>
          </w:tcPr>
          <w:p>
            <w:r/>
            <w:r>
              <w:rPr>
                <w:sz w:val="17"/>
              </w:rPr>
              <w:t>10</w:t>
            </w:r>
          </w:p>
        </w:tc>
        <w:tc>
          <w:tcPr>
            <w:tcW w:type="dxa" w:w="3628"/>
          </w:tcPr>
          <w:p>
            <w:r/>
            <w:r>
              <w:rPr>
                <w:sz w:val="17"/>
              </w:rPr>
              <w:t>Argus (Christos Akkelides), Muhanna (Marinos Theodosiou), Axia (Antonios Achilleoudis), J. Safra Sarasin (Rachel Koen)</w:t>
            </w:r>
          </w:p>
        </w:tc>
        <w:tc>
          <w:tcPr>
            <w:tcW w:type="dxa" w:w="2041"/>
          </w:tcPr>
          <w:p>
            <w:r/>
            <w:r>
              <w:rPr>
                <w:sz w:val="17"/>
              </w:rPr>
              <w:t>Warm</w:t>
            </w:r>
          </w:p>
        </w:tc>
        <w:tc>
          <w:tcPr>
            <w:tcW w:type="dxa" w:w="3628"/>
          </w:tcPr>
          <w:p>
            <w:r/>
            <w:r>
              <w:rPr>
                <w:sz w:val="17"/>
              </w:rPr>
              <w:t>ETYK / PEO IC decisions; Greek family-office process for IVP</w:t>
            </w:r>
          </w:p>
        </w:tc>
      </w:tr>
      <w:tr>
        <w:tc>
          <w:tcPr>
            <w:tcW w:type="dxa" w:w="794"/>
          </w:tcPr>
          <w:p>
            <w:r/>
            <w:r>
              <w:rPr>
                <w:sz w:val="17"/>
              </w:rPr>
              <w:t>11</w:t>
            </w:r>
          </w:p>
        </w:tc>
        <w:tc>
          <w:tcPr>
            <w:tcW w:type="dxa" w:w="3628"/>
          </w:tcPr>
          <w:p>
            <w:r/>
            <w:r>
              <w:rPr>
                <w:sz w:val="17"/>
              </w:rPr>
              <w:t>Artemis Growth Partners; ELPEN; Cantourage / Curaleaf International</w:t>
            </w:r>
          </w:p>
        </w:tc>
        <w:tc>
          <w:tcPr>
            <w:tcW w:type="dxa" w:w="2041"/>
          </w:tcPr>
          <w:p>
            <w:r/>
            <w:r>
              <w:rPr>
                <w:sz w:val="17"/>
              </w:rPr>
              <w:t>LinkedIn / DP / commercial</w:t>
            </w:r>
          </w:p>
        </w:tc>
        <w:tc>
          <w:tcPr>
            <w:tcW w:type="dxa" w:w="3628"/>
          </w:tcPr>
          <w:p>
            <w:r/>
            <w:r>
              <w:rPr>
                <w:sz w:val="17"/>
              </w:rPr>
              <w:t>Strategic co-investment and offtake for Curity</w:t>
            </w:r>
          </w:p>
        </w:tc>
      </w:tr>
      <w:tr>
        <w:tc>
          <w:tcPr>
            <w:tcW w:type="dxa" w:w="794"/>
          </w:tcPr>
          <w:p>
            <w:r/>
            <w:r>
              <w:rPr>
                <w:sz w:val="17"/>
              </w:rPr>
              <w:t>12</w:t>
            </w:r>
          </w:p>
        </w:tc>
        <w:tc>
          <w:tcPr>
            <w:tcW w:type="dxa" w:w="3628"/>
          </w:tcPr>
          <w:p>
            <w:r/>
            <w:r>
              <w:rPr>
                <w:sz w:val="17"/>
              </w:rPr>
              <w:t>Threadmark, Elm Capital, Cebile (one only)</w:t>
            </w:r>
          </w:p>
        </w:tc>
        <w:tc>
          <w:tcPr>
            <w:tcW w:type="dxa" w:w="2041"/>
          </w:tcPr>
          <w:p>
            <w:r/>
            <w:r>
              <w:rPr>
                <w:sz w:val="17"/>
              </w:rPr>
              <w:t>Cold</w:t>
            </w:r>
          </w:p>
        </w:tc>
        <w:tc>
          <w:tcPr>
            <w:tcW w:type="dxa" w:w="3628"/>
          </w:tcPr>
          <w:p>
            <w:r/>
            <w:r>
              <w:rPr>
                <w:sz w:val="17"/>
              </w:rPr>
              <w:t>IVP placement on success fee; no retainer above €25k without a named list</w:t>
            </w:r>
          </w:p>
        </w:tc>
      </w:tr>
    </w:tbl>
    <w:p>
      <w:pPr>
        <w:spacing w:after="40"/>
      </w:pPr>
    </w:p>
    <w:p>
      <w:pPr>
        <w:pStyle w:val="Heading1"/>
      </w:pPr>
      <w:r>
        <w:t>9. Implications</w:t>
      </w:r>
    </w:p>
    <w:p>
      <w:pPr>
        <w:pStyle w:val="Heading2"/>
      </w:pPr>
      <w:r>
        <w:t>9.1 Regulatory</w:t>
      </w:r>
    </w:p>
    <w:p>
      <w:pPr>
        <w:pStyle w:val="ListBullet"/>
        <w:spacing w:after="60"/>
      </w:pPr>
      <w:r>
        <w:rPr>
          <w:b/>
        </w:rPr>
        <w:t xml:space="preserve">CySEC / AIFMD II. </w:t>
      </w:r>
      <w:r>
        <w:t>Law 124(I)/2018 bars RAIFs from loan-originating strategies; AIFMD II (Directive (EU) 2024/927) adds leverage caps of 175% / 300% and 5% retention, and Cyprus has not fully transposed. Any note programme (7% Pyrum bond, 8% Curity note) must remain at Impactus Group Ltd or CPEF I Curity Ltd level, outside the RAIF's perimeter, and CySEC must be satisfied the AIFM's licence covers each strategy.</w:t>
      </w:r>
    </w:p>
    <w:p>
      <w:pPr>
        <w:pStyle w:val="ListBullet"/>
        <w:spacing w:after="60"/>
      </w:pPr>
      <w:r>
        <w:rPr>
          <w:b/>
        </w:rPr>
        <w:t xml:space="preserve">Marketing perimeter. </w:t>
      </w:r>
      <w:r>
        <w:t>Marketing to 'well-informed' investors is a Cyprus-law category; abroad they are non-professional and need the host national regime (German semi-professional €200k, Dutch €100k). Pre-marketing rules under Directive 2019/1160 apply to the IVP teaser.</w:t>
      </w:r>
    </w:p>
    <w:p>
      <w:pPr>
        <w:pStyle w:val="ListBullet"/>
        <w:spacing w:after="60"/>
      </w:pPr>
      <w:r>
        <w:rPr>
          <w:b/>
        </w:rPr>
        <w:t xml:space="preserve">State aid. </w:t>
      </w:r>
      <w:r>
        <w:t>HIIF's market-operator test and the Innovation Fund's cumulation rules govern whether the VD tranche is aid-free; a below-market return can itself fail the test. Development Law 4887/2022 aid intensity for Phthiotis is unverified.</w:t>
      </w:r>
    </w:p>
    <w:p>
      <w:pPr>
        <w:pStyle w:val="ListBullet"/>
        <w:spacing w:after="60"/>
      </w:pPr>
      <w:r>
        <w:rPr>
          <w:b/>
        </w:rPr>
        <w:t xml:space="preserve">Cannabis. </w:t>
      </w:r>
      <w:r>
        <w:t>UK lenders and LPs require a POCA analysis on cannabis cash flows; US-parented platforms are constrained by federal illegality even for EU-GMP medical product. Segregate CPEF from any borrowing base; ring-fencing between compartments already bars cross-collateralisation.</w:t>
      </w:r>
    </w:p>
    <w:p>
      <w:pPr>
        <w:pStyle w:val="Heading2"/>
      </w:pPr>
      <w:r>
        <w:t>9.2 Tax</w:t>
      </w:r>
    </w:p>
    <w:p>
      <w:pPr>
        <w:pStyle w:val="ListBullet"/>
        <w:spacing w:after="60"/>
      </w:pPr>
      <w:r>
        <w:rPr>
          <w:b/>
        </w:rPr>
        <w:t xml:space="preserve">Structure. </w:t>
      </w:r>
      <w:r>
        <w:t>Offtaker prepayments and deferred EPC payments are trade instruments, not loans, for Greek withholding and thin-capitalisation purposes; document the pricing under Cyprus Circular 6/2023 and OECD TPG (CUP) where Impactus Ltd invoices Thermo Lysi (the €401k outstanding invoice is a live transfer-pricing exposure).</w:t>
      </w:r>
    </w:p>
    <w:p>
      <w:pPr>
        <w:pStyle w:val="ListBullet"/>
        <w:spacing w:after="60"/>
      </w:pPr>
      <w:r>
        <w:rPr>
          <w:b/>
        </w:rPr>
        <w:t xml:space="preserve">Instruments. </w:t>
      </w:r>
      <w:r>
        <w:t>Warrants issued to a VD lender at ProjectCo level are equity instruments for Greek CIT (22%); interest on PIK accrues for deductibility subject to the 30% EBITDA interest-limitation rule; grant income is recognised as the milestones are accepted.</w:t>
      </w:r>
    </w:p>
    <w:p>
      <w:pPr>
        <w:pStyle w:val="ListBullet"/>
        <w:spacing w:after="60"/>
      </w:pPr>
      <w:r>
        <w:rPr>
          <w:b/>
        </w:rPr>
        <w:t xml:space="preserve">Cyprus. </w:t>
      </w:r>
      <w:r>
        <w:t>Cyprus 12.5% CIT and NID at IPL level remain unaffected; Pillar Two is not in scope at this group size.</w:t>
      </w:r>
    </w:p>
    <w:p>
      <w:pPr>
        <w:pStyle w:val="Heading2"/>
      </w:pPr>
      <w:r>
        <w:t>9.3 Liquidity</w:t>
      </w:r>
    </w:p>
    <w:p>
      <w:pPr>
        <w:pStyle w:val="ListBullet"/>
        <w:spacing w:after="60"/>
      </w:pPr>
      <w:r>
        <w:rPr>
          <w:b/>
        </w:rPr>
        <w:t xml:space="preserve">Sponsor level. </w:t>
      </w:r>
      <w:r>
        <w:t>The €5m IPL round funds development costs to FID; if FID slips to Q2 2027 the round covers about nine months of burn (ECI fees €0.86m, engineering, PMO, TDD). A second sponsor-level bridge should be planned now, not in March.</w:t>
      </w:r>
    </w:p>
    <w:p>
      <w:pPr>
        <w:pStyle w:val="ListBullet"/>
        <w:spacing w:after="60"/>
      </w:pPr>
      <w:r>
        <w:rPr>
          <w:b/>
        </w:rPr>
        <w:t xml:space="preserve">Fund level. </w:t>
      </w:r>
      <w:r>
        <w:t>The PE Fund's 8% coupon and 2027 to 2028 operating costs (c.€3m per the August 2025 note) need a documented cash source before the provident-fund channel is scaled.</w:t>
      </w:r>
    </w:p>
    <w:p>
      <w:pPr>
        <w:pStyle w:val="ListBullet"/>
        <w:spacing w:after="60"/>
      </w:pPr>
      <w:r>
        <w:rPr>
          <w:b/>
        </w:rPr>
        <w:t xml:space="preserve">Investor position. </w:t>
      </w:r>
      <w:r>
        <w:t>Investors in IPL rank behind the senior facility and any VD tranche at ProjectCo level; exit is a trade sale or platform exit within five years. State this in every approach.</w:t>
      </w:r>
    </w:p>
    <w:p>
      <w:pPr>
        <w:pStyle w:val="Heading1"/>
      </w:pPr>
      <w:r>
        <w:t>10. What could not be verified</w:t>
      </w:r>
    </w:p>
    <w:p>
      <w:pPr>
        <w:pStyle w:val="ListBullet"/>
        <w:spacing w:after="60"/>
      </w:pPr>
      <w:r>
        <w:t>The Cascade page and all firm websites, LinkedIn and press wires were blocked by the sandbox network policy; the session's web-search quota was exhausted after about 200 queries. Every external figure comes from search-engine extracts of the cited page, not a full read; re-verify before quoting externally.</w:t>
      </w:r>
    </w:p>
    <w:p>
      <w:pPr>
        <w:pStyle w:val="ListBullet"/>
        <w:spacing w:after="60"/>
      </w:pPr>
      <w:r>
        <w:t>Apollo.io is on a free plan that blocks API search and enrichment; no contact data was purchased. External names are flagged 'verify' and carry LinkedIn search links, not profile URLs.</w:t>
      </w:r>
    </w:p>
    <w:p>
      <w:pPr>
        <w:pStyle w:val="ListBullet"/>
        <w:spacing w:after="60"/>
      </w:pPr>
      <w:r>
        <w:t>Five logos on the map are illegible; candidates are flagged. Ask Cascade Debt for the underlying list.</w:t>
      </w:r>
    </w:p>
    <w:p>
      <w:pPr>
        <w:pStyle w:val="ListBullet"/>
        <w:spacing w:after="60"/>
      </w:pPr>
      <w:r>
        <w:t>Curity figures rest on the FY2023 Meerkat plan; the FY2025 valuation and audited accounts should replace them before any lender sees the CPEF tab.</w:t>
      </w:r>
    </w:p>
    <w:p>
      <w:pPr>
        <w:pStyle w:val="ListBullet"/>
        <w:spacing w:after="60"/>
      </w:pPr>
      <w:r>
        <w:t>The capex benchmark '100 vs 250' in the PMO minutes is recorded without units; the plant capex is unresolved between €118.5m and €150m until the firm EPC offer of 31 October 2026.</w:t>
      </w:r>
    </w:p>
    <w:p>
      <w:pPr>
        <w:spacing w:after="120"/>
      </w:pPr>
      <w:r>
        <w:rPr>
          <w:b w:val="0"/>
          <w:i w:val="0"/>
        </w:rPr>
      </w:r>
    </w:p>
    <w:p>
      <w:pPr>
        <w:spacing w:after="120"/>
      </w:pPr>
      <w:r>
        <w:rPr>
          <w:b w:val="0"/>
          <w:i/>
          <w:color w:val="595959"/>
          <w:sz w:val="15"/>
        </w:rPr>
        <w:t>AIFMD Art. 23 disclosure. Impactus RAIF V.C.I.C. Plc is a Registered Alternative Investment Fund (CySEC RAIF16) externally managed by Argus Management Ltd (CySEC AIFM 44/56/2013). This memorandum is an internal analytical document prepared for the Sponsor. It is not an offer, solicitation or marketing communication in any jurisdiction. Interests in the Fund and its sub-funds (Impactus Private Equity Fund, CPEF I Curity, Impactus Pyrolysis / IVP) are available only to professional and well-informed investors within the meaning of AIFMD Art. 4(1)(ag), MiFID II and the Cyprus Alternative Investment Funds Law 124(I)/2018. Prospective investors must read the AIFMD Art. 23 disclosure document, the relevant offering supplement and term sheet before any investment decision. Targets are gross, forward-looking and not guaranteed; capital is at risk. Third-party names are used for identification only and do not imply endorsement.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Impactus Private Equity Group - Internal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