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Times New Roman" w:cs="Times New Roman" w:eastAsia="Times New Roman" w:hAnsi="Times New Roman"/>
          <w:b/>
          <w:bCs/>
          <w:i w:val="false"/>
          <w:iCs w:val="false"/>
          <w:caps/>
          <w:color w:val="FF3C00"/>
          <w:spacing w:val="20"/>
          <w:sz w:val="16"/>
          <w:szCs w:val="16"/>
        </w:rPr>
        <w:t xml:space="preserve">Structuring memorandum</w:t>
      </w:r>
    </w:p>
    <w:p>
      <w:pPr>
        <w:spacing w:after="30"/>
      </w:pPr>
      <w:r>
        <w:rPr>
          <w:rFonts w:ascii="Times New Roman" w:cs="Times New Roman" w:eastAsia="Times New Roman" w:hAnsi="Times New Roman"/>
          <w:b/>
          <w:bCs/>
          <w:i w:val="false"/>
          <w:iCs w:val="false"/>
          <w:caps w:val="false"/>
          <w:color w:val="1A1A1A"/>
          <w:sz w:val="30"/>
          <w:szCs w:val="30"/>
        </w:rPr>
        <w:t xml:space="preserve">Keytree Limited</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Introduction of €20m by Starter Point: scope, structures, tax effect and recommendation</w:t>
      </w:r>
    </w:p>
    <w:tbl>
      <w:tblPr>
        <w:tblW w:type="dxa" w:w="9576"/>
        <w:tblBorders>
          <w:top w:val="single" w:color="1A1A1A" w:sz="8"/>
          <w:left w:val="none"/>
          <w:bottom w:val="single" w:color="1A1A1A" w:sz="8"/>
          <w:right w:val="none"/>
          <w:insideH w:val="single" w:color="C9C4BE" w:sz="4"/>
          <w:insideV w:val="none"/>
        </w:tblBorders>
      </w:tblPr>
      <w:tblGrid>
        <w:gridCol w:w="1750"/>
        <w:gridCol w:w="7826"/>
      </w:tblGrid>
      <w:tr>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Client</w:t>
            </w:r>
          </w:p>
        </w:tc>
        <w:tc>
          <w:tcPr>
            <w:tcW w:type="dxa" w:w="78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Keytree Limited, HE 372478, Cyprus - real estate development (Famagusta and Livadia, Larnaca sites)</w:t>
            </w:r>
          </w:p>
        </w:tc>
      </w:tr>
      <w:tr>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Transaction</w:t>
            </w:r>
          </w:p>
        </w:tc>
        <w:tc>
          <w:tcPr>
            <w:tcW w:type="dxa" w:w="78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Introduction of €20m by Starter Point (Nigeria), applied partly in repayment of the existing shareholder loan and partly in funding the developments</w:t>
            </w:r>
          </w:p>
        </w:tc>
      </w:tr>
      <w:tr>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Basis</w:t>
            </w:r>
          </w:p>
        </w:tc>
        <w:tc>
          <w:tcPr>
            <w:tcW w:type="dxa" w:w="78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Draft FS to 31.12.2025 (12.6.2026), M&amp;A 2017, member’s resolution 8.10.2020, Declaration of Trust 11.11.2022, Cyprus tax legislation as amended with effect from 1.1.2026</w:t>
            </w:r>
          </w:p>
        </w:tc>
      </w:tr>
      <w:tr>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Status</w:t>
            </w:r>
          </w:p>
        </w:tc>
        <w:tc>
          <w:tcPr>
            <w:tcW w:type="dxa" w:w="78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Draft for discussion with the shareholders. Not for issue to the auditors; a separate paper on the selected structure will be prepared for their review.</w:t>
            </w:r>
          </w:p>
        </w:tc>
      </w:tr>
      <w:tr>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Date</w:t>
            </w:r>
          </w:p>
        </w:tc>
        <w:tc>
          <w:tcPr>
            <w:tcW w:type="dxa" w:w="78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August 2026</w:t>
            </w:r>
          </w:p>
        </w:tc>
      </w:tr>
    </w:tbl>
    <w:p>
      <w:pPr>
        <w:keepLines/>
        <w:spacing w:after="4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 </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Scope</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The company has negative equity of €3,98m, tax losses of €3,2m, no turnover and a €30,4m shareholder loan. Mr Levy requires an 80/10/5/5 register (himself, Starter Point, two minorities), a 5% share of every distribution for each minority holder, and the ability to recover and redeploy the funds. This paper compares five structures against those objectives on company law, accounting, tax and practical grounds, so that the shareholders can select one. Detailed resolutions and auditor-facing papers follow the selection.</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Structures compared</w:t>
      </w:r>
    </w:p>
    <w:tbl>
      <w:tblPr>
        <w:tblW w:type="dxa" w:w="9576"/>
        <w:tblBorders>
          <w:top w:val="single" w:color="1A1A1A" w:sz="8"/>
          <w:left w:val="none"/>
          <w:bottom w:val="single" w:color="1A1A1A" w:sz="8"/>
          <w:right w:val="none"/>
          <w:insideH w:val="single" w:color="C9C4BE" w:sz="4"/>
          <w:insideV w:val="none"/>
        </w:tblBorders>
      </w:tblPr>
      <w:tblGrid>
        <w:gridCol w:w="1150"/>
        <w:gridCol w:w="3050"/>
        <w:gridCol w:w="1750"/>
        <w:gridCol w:w="1900"/>
        <w:gridCol w:w="1726"/>
      </w:tblGrid>
      <w:tr>
        <w:trPr>
          <w:tblHeader/>
        </w:trPr>
        <w:tc>
          <w:tcPr>
            <w:tcW w:type="dxa" w:w="115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Ref</w:t>
            </w:r>
          </w:p>
        </w:tc>
        <w:tc>
          <w:tcPr>
            <w:tcW w:type="dxa" w:w="305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Instrument</w:t>
            </w:r>
          </w:p>
        </w:tc>
        <w:tc>
          <w:tcPr>
            <w:tcW w:type="dxa" w:w="175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Equity restored</w:t>
            </w:r>
          </w:p>
        </w:tc>
        <w:tc>
          <w:tcPr>
            <w:tcW w:type="dxa" w:w="19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Funds recoverable</w:t>
            </w:r>
          </w:p>
        </w:tc>
        <w:tc>
          <w:tcPr>
            <w:tcW w:type="dxa" w:w="1726"/>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Group tax effect</w:t>
            </w:r>
          </w:p>
        </w:tc>
      </w:tr>
      <w:tr>
        <w:tc>
          <w:tcPr>
            <w:tcW w:type="dxa" w:w="11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1A</w:t>
            </w:r>
          </w:p>
        </w:tc>
        <w:tc>
          <w:tcPr>
            <w:tcW w:type="dxa" w:w="30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Ordinary shares at a premium, plus bonus issue</w:t>
            </w:r>
          </w:p>
        </w:tc>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Yes, +€16,0m</w:t>
            </w:r>
          </w:p>
        </w:tc>
        <w:tc>
          <w:tcPr>
            <w:tcW w:type="dxa" w:w="19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Court process</w:t>
            </w:r>
          </w:p>
        </w:tc>
        <w:tc>
          <w:tcPr>
            <w:tcW w:type="dxa" w:w="17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r>
      <w:tr>
        <w:tc>
          <w:tcPr>
            <w:tcW w:type="dxa" w:w="11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1B</w:t>
            </w:r>
          </w:p>
        </w:tc>
        <w:tc>
          <w:tcPr>
            <w:tcW w:type="dxa" w:w="30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Redeemable preference, discretionary dividend</w:t>
            </w:r>
          </w:p>
        </w:tc>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Yes, +€16,0m</w:t>
            </w:r>
          </w:p>
        </w:tc>
        <w:tc>
          <w:tcPr>
            <w:tcW w:type="dxa" w:w="19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After profits arise</w:t>
            </w:r>
          </w:p>
        </w:tc>
        <w:tc>
          <w:tcPr>
            <w:tcW w:type="dxa" w:w="17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r>
      <w:tr>
        <w:tc>
          <w:tcPr>
            <w:tcW w:type="dxa" w:w="11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1C</w:t>
            </w:r>
          </w:p>
        </w:tc>
        <w:tc>
          <w:tcPr>
            <w:tcW w:type="dxa" w:w="30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Preference with fixed 8% entitlement</w:t>
            </w:r>
          </w:p>
        </w:tc>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No - liability</w:t>
            </w:r>
          </w:p>
        </w:tc>
        <w:tc>
          <w:tcPr>
            <w:tcW w:type="dxa" w:w="19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After profits arise</w:t>
            </w:r>
          </w:p>
        </w:tc>
        <w:tc>
          <w:tcPr>
            <w:tcW w:type="dxa" w:w="17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r>
      <w:tr>
        <w:tc>
          <w:tcPr>
            <w:tcW w:type="dxa" w:w="11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2</w:t>
            </w:r>
          </w:p>
        </w:tc>
        <w:tc>
          <w:tcPr>
            <w:tcW w:type="dxa" w:w="30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Cyprus holding company subscribing equity</w:t>
            </w:r>
          </w:p>
        </w:tc>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Yes, +€16,0m</w:t>
            </w:r>
          </w:p>
        </w:tc>
        <w:tc>
          <w:tcPr>
            <w:tcW w:type="dxa" w:w="19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Court process</w:t>
            </w:r>
          </w:p>
        </w:tc>
        <w:tc>
          <w:tcPr>
            <w:tcW w:type="dxa" w:w="17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r>
      <w:tr>
        <w:tc>
          <w:tcPr>
            <w:tcW w:type="dxa" w:w="11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3</w:t>
            </w:r>
          </w:p>
        </w:tc>
        <w:tc>
          <w:tcPr>
            <w:tcW w:type="dxa" w:w="30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Cyprus finance company lending at arm’s length</w:t>
            </w:r>
          </w:p>
        </w:tc>
        <w:tc>
          <w:tcPr>
            <w:tcW w:type="dxa" w:w="17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No</w:t>
            </w:r>
          </w:p>
        </w:tc>
        <w:tc>
          <w:tcPr>
            <w:tcW w:type="dxa" w:w="19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At any time</w:t>
            </w:r>
          </w:p>
        </w:tc>
        <w:tc>
          <w:tcPr>
            <w:tcW w:type="dxa" w:w="17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€0,4m to €1,2m</w:t>
            </w:r>
          </w:p>
        </w:tc>
      </w:tr>
    </w:tbl>
    <w:p>
      <w:pPr>
        <w:keepLines/>
        <w:spacing w:after="4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 </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Tax effect in brief</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No structure produces a notional interest deduction of value inside Keytree: the deduction is capped at 80% of taxable profit from the assets financed, unused amounts do not carry forward, and Keytree will have no taxable profit until the projects sell. Structure 3 is the exception at group level. The finance company earns taxable interest sheltered by the deduction (2026 reference rate approximately 8 to 8,5%), leaving an effective 3% on interest income, while the interest is capitalised into Keytree’s development cost and relieved at 15% on delivery. The net group benefit is approximately 12% of cumulative interest - €0,4m to €1,2m over six years at the 3% to 8% rates illustrated - with the rate itself to be set by a new transfer pricing study (local file required; the €20m facility exceeds the €10m financing threshold).</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Recommendation</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Structure 3, subject to the conditions on page 7: arm’s length rate supported by a new study, consistent capitalisation of borrowing costs, Cyprus substance in the finance company, and evidenced source and sequence of funds. It is the only structure with a measurable tax benefit and the only one under which principal can be repaid and redeployed without a court application or distributable profits. It does not repair the balance sheet or place Starter Point on the register; if those objectives govern, structure 1A is the correct choice and the tax cost of choosing it is nil, because the equity routes never had a tax benefit to lose.</w:t>
      </w:r>
    </w:p>
    <w:p>
      <w:r>
        <w:br w:type="page"/>
      </w:r>
    </w:p>
    <w:p>
      <w:pPr>
        <w:spacing w:after="40" w:before="0"/>
      </w:pPr>
      <w:r>
        <w:rPr>
          <w:rFonts w:ascii="Times New Roman" w:cs="Times New Roman" w:eastAsia="Times New Roman" w:hAnsi="Times New Roman"/>
          <w:b/>
          <w:bCs/>
          <w:i w:val="false"/>
          <w:iCs w:val="false"/>
          <w:caps/>
          <w:color w:val="FF3C00"/>
          <w:spacing w:val="20"/>
          <w:sz w:val="16"/>
          <w:szCs w:val="16"/>
        </w:rPr>
        <w:t xml:space="preserve">Structure 1A</w:t>
      </w:r>
    </w:p>
    <w:p>
      <w:pPr>
        <w:spacing w:after="30"/>
      </w:pPr>
      <w:r>
        <w:rPr>
          <w:rFonts w:ascii="Times New Roman" w:cs="Times New Roman" w:eastAsia="Times New Roman" w:hAnsi="Times New Roman"/>
          <w:b/>
          <w:bCs/>
          <w:i w:val="false"/>
          <w:iCs w:val="false"/>
          <w:caps w:val="false"/>
          <w:color w:val="1A1A1A"/>
          <w:sz w:val="30"/>
          <w:szCs w:val="30"/>
        </w:rPr>
        <w:t xml:space="preserve">Ordinary shares issued at a premium</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The clean equity route - repairs the balance sheet and delivers the agreed register</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How it works</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Starter Point subscribes €20m for 170 new ordinary shares (€170 nominal, €19.999.830 share premium). Thirty bonus ordinary shares are then paid up out of the premium account - ten to Mr Levy and ten to each minority holder - producing exactly 80/10/5/5 on an enlarged capital of 1.700 shares. The authorised capital must first be increased (all 1.500 authorised shares are issued) and pre-emption under Regulation 6 disapplied or waived by all three members.</w:t>
      </w:r>
    </w:p>
    <w:tbl>
      <w:tblPr>
        <w:tblW w:type="dxa" w:w="9576"/>
        <w:tblBorders>
          <w:top w:val="single" w:color="1A1A1A" w:sz="8"/>
          <w:left w:val="none"/>
          <w:bottom w:val="single" w:color="1A1A1A" w:sz="8"/>
          <w:right w:val="none"/>
          <w:insideH w:val="single" w:color="C9C4BE" w:sz="4"/>
          <w:insideV w:val="none"/>
        </w:tblBorders>
      </w:tblPr>
      <w:tblGrid>
        <w:gridCol w:w="2650"/>
        <w:gridCol w:w="1500"/>
        <w:gridCol w:w="1400"/>
        <w:gridCol w:w="1700"/>
        <w:gridCol w:w="2326"/>
      </w:tblGrid>
      <w:tr>
        <w:trPr>
          <w:tblHeader/>
        </w:trPr>
        <w:tc>
          <w:tcPr>
            <w:tcW w:type="dxa" w:w="265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Shareholder</w:t>
            </w:r>
          </w:p>
        </w:tc>
        <w:tc>
          <w:tcPr>
            <w:tcW w:type="dxa" w:w="15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Now</w:t>
            </w:r>
          </w:p>
        </w:tc>
        <w:tc>
          <w:tcPr>
            <w:tcW w:type="dxa" w:w="14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Bonus</w:t>
            </w:r>
          </w:p>
        </w:tc>
        <w:tc>
          <w:tcPr>
            <w:tcW w:type="dxa" w:w="17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Subscribed</w:t>
            </w:r>
          </w:p>
        </w:tc>
        <w:tc>
          <w:tcPr>
            <w:tcW w:type="dxa" w:w="2326"/>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After</w:t>
            </w:r>
          </w:p>
        </w:tc>
      </w:tr>
      <w:tr>
        <w:tc>
          <w:tcPr>
            <w:tcW w:type="dxa" w:w="26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Mr Levy (through nominee)</w:t>
            </w:r>
          </w:p>
        </w:tc>
        <w:tc>
          <w:tcPr>
            <w:tcW w:type="dxa" w:w="15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1.350</w:t>
            </w:r>
          </w:p>
        </w:tc>
        <w:tc>
          <w:tcPr>
            <w:tcW w:type="dxa" w:w="14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10</w:t>
            </w:r>
          </w:p>
        </w:tc>
        <w:tc>
          <w:tcPr>
            <w:tcW w:type="dxa" w:w="17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c>
          <w:tcPr>
            <w:tcW w:type="dxa" w:w="23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1.360   (80,0%)</w:t>
            </w:r>
          </w:p>
        </w:tc>
      </w:tr>
      <w:tr>
        <w:tc>
          <w:tcPr>
            <w:tcW w:type="dxa" w:w="26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Starter Point</w:t>
            </w:r>
          </w:p>
        </w:tc>
        <w:tc>
          <w:tcPr>
            <w:tcW w:type="dxa" w:w="15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c>
          <w:tcPr>
            <w:tcW w:type="dxa" w:w="14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c>
          <w:tcPr>
            <w:tcW w:type="dxa" w:w="17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170</w:t>
            </w:r>
          </w:p>
        </w:tc>
        <w:tc>
          <w:tcPr>
            <w:tcW w:type="dxa" w:w="23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170   (10,0%)</w:t>
            </w:r>
          </w:p>
        </w:tc>
      </w:tr>
      <w:tr>
        <w:tc>
          <w:tcPr>
            <w:tcW w:type="dxa" w:w="26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Minority shareholders (each)</w:t>
            </w:r>
          </w:p>
        </w:tc>
        <w:tc>
          <w:tcPr>
            <w:tcW w:type="dxa" w:w="15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75</w:t>
            </w:r>
          </w:p>
        </w:tc>
        <w:tc>
          <w:tcPr>
            <w:tcW w:type="dxa" w:w="14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10</w:t>
            </w:r>
          </w:p>
        </w:tc>
        <w:tc>
          <w:tcPr>
            <w:tcW w:type="dxa" w:w="17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nil</w:t>
            </w:r>
          </w:p>
        </w:tc>
        <w:tc>
          <w:tcPr>
            <w:tcW w:type="dxa" w:w="23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85   (5,0%)</w:t>
            </w:r>
          </w:p>
        </w:tc>
      </w:tr>
      <w:tr>
        <w:tc>
          <w:tcPr>
            <w:tcW w:type="dxa" w:w="26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Total</w:t>
            </w:r>
          </w:p>
        </w:tc>
        <w:tc>
          <w:tcPr>
            <w:tcW w:type="dxa" w:w="15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bCs/>
                <w:i w:val="false"/>
                <w:iCs w:val="false"/>
                <w:caps w:val="false"/>
                <w:color w:val="1A1A1A"/>
                <w:sz w:val="17"/>
                <w:szCs w:val="17"/>
              </w:rPr>
              <w:t xml:space="preserve">1.500</w:t>
            </w:r>
          </w:p>
        </w:tc>
        <w:tc>
          <w:tcPr>
            <w:tcW w:type="dxa" w:w="14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bCs/>
                <w:i w:val="false"/>
                <w:iCs w:val="false"/>
                <w:caps w:val="false"/>
                <w:color w:val="1A1A1A"/>
                <w:sz w:val="17"/>
                <w:szCs w:val="17"/>
              </w:rPr>
              <w:t xml:space="preserve">30</w:t>
            </w:r>
          </w:p>
        </w:tc>
        <w:tc>
          <w:tcPr>
            <w:tcW w:type="dxa" w:w="17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bCs/>
                <w:i w:val="false"/>
                <w:iCs w:val="false"/>
                <w:caps w:val="false"/>
                <w:color w:val="1A1A1A"/>
                <w:sz w:val="17"/>
                <w:szCs w:val="17"/>
              </w:rPr>
              <w:t xml:space="preserve">170</w:t>
            </w:r>
          </w:p>
        </w:tc>
        <w:tc>
          <w:tcPr>
            <w:tcW w:type="dxa" w:w="2326"/>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bCs/>
                <w:i w:val="false"/>
                <w:iCs w:val="false"/>
                <w:caps w:val="false"/>
                <w:color w:val="1A1A1A"/>
                <w:sz w:val="17"/>
                <w:szCs w:val="17"/>
              </w:rPr>
              <w:t xml:space="preserve">1.700   (100%)</w:t>
            </w:r>
          </w:p>
        </w:tc>
      </w:tr>
    </w:tbl>
    <w:p>
      <w:pPr>
        <w:keepLines/>
        <w:spacing w:after="4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 </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Assessment</w:t>
      </w:r>
    </w:p>
    <w:tbl>
      <w:tblPr>
        <w:tblW w:type="dxa" w:w="9576"/>
        <w:tblBorders>
          <w:top w:val="single" w:color="1A1A1A" w:sz="8"/>
          <w:left w:val="none"/>
          <w:bottom w:val="single" w:color="1A1A1A" w:sz="8"/>
          <w:right w:val="none"/>
          <w:insideH w:val="single" w:color="C9C4BE" w:sz="4"/>
          <w:insideV w:val="none"/>
        </w:tblBorders>
      </w:tblPr>
      <w:tblGrid>
        <w:gridCol w:w="2350"/>
        <w:gridCol w:w="7226"/>
      </w:tblGrid>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Accounting</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Unambiguously equity under IAS 32. Equity moves from -€3,98m to approximately +€16,0m; the going concern question is resolved and no letter of support is needed.</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Register</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only structure that delivers 80/10/5/5 on the ordinary register. Dividends then follow shareholdings, so the minority entitlement needs no special drafting.</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Tax</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New equity for Article 9B, but the notional deduction is worth nil in Keytree: capped at 80% of taxable profit from the assets financed, and Keytree has none; unused amounts are not carried forward. No group tax benefit.</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Return of funds</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premium is capital. Recovery requires a reduction of capital: special resolution plus District Court sanction. Feasible here - the only substantial creditor is Mr Levy, who can consent - but slow, and repeated for each redeployment. Under the 2026 law, assets distributed on a reduction are measured at market value and the excess over capital paid in by that shareholder is taxed as a dividend; the exit must be planned around this.</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Value transfer</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bonus issue lifts the minorities’ combined 10% from a share of negative equity to approximately €1,6m of net assets, funded from Mr Levy’s subscription premium economics. This is a known and accepted cost of the 80/10/5/5 objective, not a defect. Because the bonus shares are paid up from share premium - not from reserves available for distribution - the 2026 capitalisation-of-reserves dividend rule should not apply; to be confirmed before the resolutions are drafted.</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Steps</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Increase authorised capital (ordinary resolution, Registrar filing); align Memorandum clause 5 with the 2020 increase; disapply Regulation 6; subscription first, bonus issue second (Regulation 130 operates only once the premium account exists); record the commercial reason for the bonus issue in the minutes.</w:t>
            </w:r>
          </w:p>
        </w:tc>
      </w:tr>
    </w:tbl>
    <w:p>
      <w:pPr>
        <w:pBdr>
          <w:top w:val="single" w:color="FF3C00" w:sz="6" w:space="4"/>
        </w:pBdr>
        <w:spacing w:after="0" w:before="140"/>
      </w:pPr>
      <w:r>
        <w:rPr>
          <w:rFonts w:ascii="Times New Roman" w:cs="Times New Roman" w:eastAsia="Times New Roman" w:hAnsi="Times New Roman"/>
          <w:b/>
          <w:bCs/>
          <w:i w:val="false"/>
          <w:iCs w:val="false"/>
          <w:caps/>
          <w:color w:val="FF3C00"/>
          <w:sz w:val="19"/>
          <w:szCs w:val="19"/>
        </w:rPr>
        <w:t xml:space="preserve">Reserve option.   </w:t>
      </w:r>
      <w:r>
        <w:rPr>
          <w:rFonts w:ascii="Times New Roman" w:cs="Times New Roman" w:eastAsia="Times New Roman" w:hAnsi="Times New Roman"/>
          <w:b w:val="false"/>
          <w:bCs w:val="false"/>
          <w:i w:val="false"/>
          <w:iCs w:val="false"/>
          <w:caps w:val="false"/>
          <w:color w:val="1A1A1A"/>
          <w:sz w:val="19"/>
          <w:szCs w:val="19"/>
        </w:rPr>
        <w:t xml:space="preserve">The correct choice if the balance sheet and the register are the governing considerations. Carries no tax benefit and the least flexible exit.</w:t>
      </w:r>
    </w:p>
    <w:p>
      <w:r>
        <w:br w:type="page"/>
      </w:r>
    </w:p>
    <w:p>
      <w:pPr>
        <w:spacing w:after="40" w:before="0"/>
      </w:pPr>
      <w:r>
        <w:rPr>
          <w:rFonts w:ascii="Times New Roman" w:cs="Times New Roman" w:eastAsia="Times New Roman" w:hAnsi="Times New Roman"/>
          <w:b/>
          <w:bCs/>
          <w:i w:val="false"/>
          <w:iCs w:val="false"/>
          <w:caps/>
          <w:color w:val="FF3C00"/>
          <w:spacing w:val="20"/>
          <w:sz w:val="16"/>
          <w:szCs w:val="16"/>
        </w:rPr>
        <w:t xml:space="preserve">Structure 1B</w:t>
      </w:r>
    </w:p>
    <w:p>
      <w:pPr>
        <w:spacing w:after="30"/>
      </w:pPr>
      <w:r>
        <w:rPr>
          <w:rFonts w:ascii="Times New Roman" w:cs="Times New Roman" w:eastAsia="Times New Roman" w:hAnsi="Times New Roman"/>
          <w:b/>
          <w:bCs/>
          <w:i w:val="false"/>
          <w:iCs w:val="false"/>
          <w:caps w:val="false"/>
          <w:color w:val="1A1A1A"/>
          <w:sz w:val="30"/>
          <w:szCs w:val="30"/>
        </w:rPr>
        <w:t xml:space="preserve">Redeemable preference shares - discretionary, non-cumulative</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Equity treatment with a court-free exit, once profits exist</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How it works</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Two new classes are created by special resolution before issue. Class B is subscribed by Starter Point at €20m (€1 nominal plus premium) and carries the economic return. Class A is issued as bonus shares to Mr Levy and the minorities, with rights defined in the Articles as a stated proportion of any amount distributed on Class B, so that each minority holder receives 5% of every distribution. Both classes carry discretionary, non-cumulative dividends on identical terms.</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Assessment</w:t>
      </w:r>
    </w:p>
    <w:tbl>
      <w:tblPr>
        <w:tblW w:type="dxa" w:w="9576"/>
        <w:tblBorders>
          <w:top w:val="single" w:color="1A1A1A" w:sz="8"/>
          <w:left w:val="none"/>
          <w:bottom w:val="single" w:color="1A1A1A" w:sz="8"/>
          <w:right w:val="none"/>
          <w:insideH w:val="single" w:color="C9C4BE" w:sz="4"/>
          <w:insideV w:val="none"/>
        </w:tblBorders>
      </w:tblPr>
      <w:tblGrid>
        <w:gridCol w:w="2350"/>
        <w:gridCol w:w="7226"/>
      </w:tblGrid>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Accounting</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Equity under IAS 32 only if the company holds an unconditional right to refuse the dividend: payable solely if the directors declare it, and non-cumulative. Any automatic entitlement once profits exist converts the instrument into a financial liability. Terms to be agreed with the auditors before the resolutions are passed. On these terms equity rises to approximately +€16,0m and going concern is resolved.</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Minorities</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Protected by the proportionate entitlement written into the class rights - not left to a shareholders’ agreement. A coupon on nominal value does not work: 150 Class A shares at 8% on €1 nominal would yield €12 a year against Starter Point’s €1,6m. No capital movement is required and the full premium account remains available for redemption.</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Register</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If the preference shares are non-voting, the ordinary register stays at 90/5/5 and Starter Point does not appear as a 10% holder. Meeting that objective requires votes on the preference shares or a parallel small ordinary issue.</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Return of funds</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Redemption under section 57 of Cap. 113 without court sanction, on terms fixed by special resolution before issue - the sequence is mandatory. Section 55(3) allows the premium account to fund the redemption premium, so only the nominal €170 must come from distributable profits (with an equal transfer to the capital redemption reserve). The constraint is real: no distributable profits exist and none will arise until the projects complete and sell, so the flexibility is prospective.</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Tax</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Same position as 1A - the notional deduction accrues in Keytree and is worth nil. No group tax benefit.</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Steps</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Special resolution creating the classes and fixing redemption terms before issue (Regulation 8); variation of class rights thereafter needs three-fourths consent of the class (Regulation 9); authorised capital increase and Memorandum alignment as for 1A; extend the Declaration of Trust if Mr Levy holds Class A through the nominee, and update the beneficial ownership register.</w:t>
            </w:r>
          </w:p>
        </w:tc>
      </w:tr>
    </w:tbl>
    <w:p>
      <w:pPr>
        <w:pBdr>
          <w:top w:val="single" w:color="FF3C00" w:sz="6" w:space="4"/>
        </w:pBdr>
        <w:spacing w:after="0" w:before="140"/>
      </w:pPr>
      <w:r>
        <w:rPr>
          <w:rFonts w:ascii="Times New Roman" w:cs="Times New Roman" w:eastAsia="Times New Roman" w:hAnsi="Times New Roman"/>
          <w:b/>
          <w:bCs/>
          <w:i w:val="false"/>
          <w:iCs w:val="false"/>
          <w:caps/>
          <w:color w:val="FF3C00"/>
          <w:sz w:val="19"/>
          <w:szCs w:val="19"/>
        </w:rPr>
        <w:t xml:space="preserve">Not preferred.   </w:t>
      </w:r>
      <w:r>
        <w:rPr>
          <w:rFonts w:ascii="Times New Roman" w:cs="Times New Roman" w:eastAsia="Times New Roman" w:hAnsi="Times New Roman"/>
          <w:b w:val="false"/>
          <w:bCs w:val="false"/>
          <w:i w:val="false"/>
          <w:iCs w:val="false"/>
          <w:caps w:val="false"/>
          <w:color w:val="1A1A1A"/>
          <w:sz w:val="19"/>
          <w:szCs w:val="19"/>
        </w:rPr>
        <w:t xml:space="preserve">Sound engineering, but the exit it promises is locked until profits arise, the register objective fails without voting preference shares, and it carries no tax benefit for the added class-rights complexity.</w:t>
      </w:r>
    </w:p>
    <w:p>
      <w:r>
        <w:br w:type="page"/>
      </w:r>
    </w:p>
    <w:p>
      <w:pPr>
        <w:spacing w:after="40" w:before="0"/>
      </w:pPr>
      <w:r>
        <w:rPr>
          <w:rFonts w:ascii="Times New Roman" w:cs="Times New Roman" w:eastAsia="Times New Roman" w:hAnsi="Times New Roman"/>
          <w:b/>
          <w:bCs/>
          <w:i w:val="false"/>
          <w:iCs w:val="false"/>
          <w:caps/>
          <w:color w:val="FF3C00"/>
          <w:spacing w:val="20"/>
          <w:sz w:val="16"/>
          <w:szCs w:val="16"/>
        </w:rPr>
        <w:t xml:space="preserve">Structure 1C</w:t>
      </w:r>
    </w:p>
    <w:p>
      <w:pPr>
        <w:spacing w:after="30"/>
      </w:pPr>
      <w:r>
        <w:rPr>
          <w:rFonts w:ascii="Times New Roman" w:cs="Times New Roman" w:eastAsia="Times New Roman" w:hAnsi="Times New Roman"/>
          <w:b/>
          <w:bCs/>
          <w:i w:val="false"/>
          <w:iCs w:val="false"/>
          <w:caps w:val="false"/>
          <w:color w:val="1A1A1A"/>
          <w:sz w:val="30"/>
          <w:szCs w:val="30"/>
        </w:rPr>
        <w:t xml:space="preserve">Preference shares with a fixed or cumulative entitlement</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The structure as originally discussed - included so the cost of certainty is visible</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How it works</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As 1B, but Class B carries a fixed entitlement of 8% (€1,6m a year) payable once profits exist, cumulative if unpaid. This is the certainty Starter Point originally sought: a defined return, ranking ahead of the ordinary shares.</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Why it fails</w:t>
      </w:r>
    </w:p>
    <w:tbl>
      <w:tblPr>
        <w:tblW w:type="dxa" w:w="9576"/>
        <w:tblBorders>
          <w:top w:val="single" w:color="1A1A1A" w:sz="8"/>
          <w:left w:val="none"/>
          <w:bottom w:val="single" w:color="1A1A1A" w:sz="8"/>
          <w:right w:val="none"/>
          <w:insideH w:val="single" w:color="C9C4BE" w:sz="4"/>
          <w:insideV w:val="none"/>
        </w:tblBorders>
      </w:tblPr>
      <w:tblGrid>
        <w:gridCol w:w="2350"/>
        <w:gridCol w:w="7226"/>
      </w:tblGrid>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Accounting</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An obligation to pay that is conditional only on the existence of profits is still an obligation. Under IAS 32 the instrument is a financial liability, measured at the present value of the expected payments. The €20m arrives on the balance sheet as debt, not equity.</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Balance sheet</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Equity remains negative at €3,98m. The going concern issue is not resolved, the letter of support remains, and the audit report continues to carry the disclosure.</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Accumulation</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 cumulative 8% on €20m accrues at €1,6m a year against a company already carrying €3,98m of accumulated losses and no turnover. After the five to six years the projects need, €8m to €10m of arrears would rank ahead of every ordinary share, including the minorities’ - a position that will be challenged the moment any other stakeholder examines it.</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The rate is not the fix</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Reducing 8% to 5% changes the size of the liability, not its classification. Only removing the obligation - making the dividend discretionary and non-cumulative - restores equity treatment, and that is structure 1B.</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Tax</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As 1A and 1B: no group tax benefit. The preference dividend is a distribution, not a deductible cost, so the fixed coupon buys certainty for Starter Point without any offsetting relief.</w:t>
            </w:r>
          </w:p>
        </w:tc>
      </w:tr>
    </w:tbl>
    <w:p>
      <w:pPr>
        <w:keepNext/>
        <w:spacing w:after="70" w:before="130"/>
      </w:pPr>
      <w:r>
        <w:rPr>
          <w:rFonts w:ascii="Times New Roman" w:cs="Times New Roman" w:eastAsia="Times New Roman" w:hAnsi="Times New Roman"/>
          <w:b/>
          <w:bCs/>
          <w:i w:val="false"/>
          <w:iCs w:val="false"/>
          <w:caps w:val="false"/>
          <w:color w:val="1A1A1A"/>
          <w:sz w:val="19"/>
          <w:szCs w:val="19"/>
        </w:rPr>
        <w:t xml:space="preserve">What the shareholders should take from this page</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The instinct behind 1C - a fixed, senior, certain return - is exactly the economics of a loan. If that is what Starter Point wants, structure 3 delivers it with the same seniority in substance, an exit available at any time rather than after profits arise, and a deductible cost that ends up in the development stock rather than a growing preference overhang. If equity presentation is what matters, 1B delivers it at the price of discretion. 1C sits between the two and captures the benefit of neither.</w:t>
      </w:r>
    </w:p>
    <w:p>
      <w:pPr>
        <w:pBdr>
          <w:top w:val="single" w:color="FF3C00" w:sz="6" w:space="4"/>
        </w:pBdr>
        <w:spacing w:after="0" w:before="140"/>
      </w:pPr>
      <w:r>
        <w:rPr>
          <w:rFonts w:ascii="Times New Roman" w:cs="Times New Roman" w:eastAsia="Times New Roman" w:hAnsi="Times New Roman"/>
          <w:b/>
          <w:bCs/>
          <w:i w:val="false"/>
          <w:iCs w:val="false"/>
          <w:caps/>
          <w:color w:val="FF3C00"/>
          <w:sz w:val="19"/>
          <w:szCs w:val="19"/>
        </w:rPr>
        <w:t xml:space="preserve">Rejected.   </w:t>
      </w:r>
      <w:r>
        <w:rPr>
          <w:rFonts w:ascii="Times New Roman" w:cs="Times New Roman" w:eastAsia="Times New Roman" w:hAnsi="Times New Roman"/>
          <w:b w:val="false"/>
          <w:bCs w:val="false"/>
          <w:i w:val="false"/>
          <w:iCs w:val="false"/>
          <w:caps w:val="false"/>
          <w:color w:val="1A1A1A"/>
          <w:sz w:val="19"/>
          <w:szCs w:val="19"/>
        </w:rPr>
        <w:t xml:space="preserve">A liability in equity clothing: it fails the balance sheet test that motivates an equity route, while foregoing the tax relief that motivates a debt route.</w:t>
      </w:r>
    </w:p>
    <w:p>
      <w:r>
        <w:br w:type="page"/>
      </w:r>
    </w:p>
    <w:p>
      <w:pPr>
        <w:spacing w:after="40" w:before="0"/>
      </w:pPr>
      <w:r>
        <w:rPr>
          <w:rFonts w:ascii="Times New Roman" w:cs="Times New Roman" w:eastAsia="Times New Roman" w:hAnsi="Times New Roman"/>
          <w:b/>
          <w:bCs/>
          <w:i w:val="false"/>
          <w:iCs w:val="false"/>
          <w:caps/>
          <w:color w:val="FF3C00"/>
          <w:spacing w:val="20"/>
          <w:sz w:val="16"/>
          <w:szCs w:val="16"/>
        </w:rPr>
        <w:t xml:space="preserve">Structure 2</w:t>
      </w:r>
    </w:p>
    <w:p>
      <w:pPr>
        <w:spacing w:after="30"/>
      </w:pPr>
      <w:r>
        <w:rPr>
          <w:rFonts w:ascii="Times New Roman" w:cs="Times New Roman" w:eastAsia="Times New Roman" w:hAnsi="Times New Roman"/>
          <w:b/>
          <w:bCs/>
          <w:i w:val="false"/>
          <w:iCs w:val="false"/>
          <w:caps w:val="false"/>
          <w:color w:val="1A1A1A"/>
          <w:sz w:val="30"/>
          <w:szCs w:val="30"/>
        </w:rPr>
        <w:t xml:space="preserve">Cyprus holding company subscribing equity</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Same instrument, different subscriber - a banking and platform play, not a tax one</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How it works</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Starter Point forms a Cyprus company and funds it with €20m of equity (1.000 shares at a premium). The new company subscribes for shares in Keytree on the terms of 1A or 1B. The instrument inside Keytree - and therefore the whole company law and accounting analysis - is identical to scenario 1; only the name on the register changes.</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Assessment</w:t>
      </w:r>
    </w:p>
    <w:tbl>
      <w:tblPr>
        <w:tblW w:type="dxa" w:w="9576"/>
        <w:tblBorders>
          <w:top w:val="single" w:color="1A1A1A" w:sz="8"/>
          <w:left w:val="none"/>
          <w:bottom w:val="single" w:color="1A1A1A" w:sz="8"/>
          <w:right w:val="none"/>
          <w:insideH w:val="single" w:color="C9C4BE" w:sz="4"/>
          <w:insideV w:val="none"/>
        </w:tblBorders>
      </w:tblPr>
      <w:tblGrid>
        <w:gridCol w:w="2350"/>
        <w:gridCol w:w="7226"/>
      </w:tblGrid>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Tax at the new company</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asset financed by the new equity is a shareholding in Keytree and the income from it is exempt dividends. The notional deduction is capped at 80% of taxable profit from the asset financed: 80% of nil is nil. No deduction arises at this level, and the deduction inside Keytree remains worthless for the reasons on page 2.</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Group relief</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Unavailable. It requires a 75% holding; the new company would hold 10%.</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Cost</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 second Cyprus company to administer indefinitely - audit, tax filings, registered office, directors - with no offsetting fiscal benefit.</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Banking</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genuine advantage. A €20m remittance from a Nigerian company directly into a Cyprus property developer under common ownership will attract extended due diligence. Interposing a Cyprus company does not remove that scrutiny at the point of entry, but every subsequent movement is between Cyprus companies with an established banking history. This is a practical consideration, not a fiscal one, and it should be weighed with the receiving bank before implementation.</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Platform</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 holding vehicle has independent value if further Cyprus projects are contemplated: future acquisitions, co-investment and eventual exit can sit under one roof. If that is the intention, the company should be formed for that reason and this transaction routed through it incidentally - not the other way around.</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Exit</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As for the underlying instrument (court reduction under 1A terms; redemption after profits under 1B terms), plus one further step to extract the funds from the holding company to Starter Point.</w:t>
            </w:r>
          </w:p>
        </w:tc>
      </w:tr>
    </w:tbl>
    <w:p>
      <w:pPr>
        <w:keepNext/>
        <w:spacing w:after="70" w:before="130"/>
      </w:pPr>
      <w:r>
        <w:rPr>
          <w:rFonts w:ascii="Times New Roman" w:cs="Times New Roman" w:eastAsia="Times New Roman" w:hAnsi="Times New Roman"/>
          <w:b/>
          <w:bCs/>
          <w:i w:val="false"/>
          <w:iCs w:val="false"/>
          <w:caps w:val="false"/>
          <w:color w:val="1A1A1A"/>
          <w:sz w:val="19"/>
          <w:szCs w:val="19"/>
        </w:rPr>
        <w:t xml:space="preserve">Relationship to structure 3</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Structures 2 and 3 use the same vehicle - a Starter Point-owned Cyprus company funded with €20m of equity - and differ only in what that company does with the money: subscribe it as equity (no tax effect anywhere) or lend it at interest (the only structure with a measurable benefit). If a Cyprus vehicle is to be formed at all, the marginal case for making it a finance company rather than a passive holder is the whole of the tax analysis on page 6.</w:t>
      </w:r>
    </w:p>
    <w:p>
      <w:pPr>
        <w:pBdr>
          <w:top w:val="single" w:color="FF3C00" w:sz="6" w:space="4"/>
        </w:pBdr>
        <w:spacing w:after="0" w:before="140"/>
      </w:pPr>
      <w:r>
        <w:rPr>
          <w:rFonts w:ascii="Times New Roman" w:cs="Times New Roman" w:eastAsia="Times New Roman" w:hAnsi="Times New Roman"/>
          <w:b/>
          <w:bCs/>
          <w:i w:val="false"/>
          <w:iCs w:val="false"/>
          <w:caps/>
          <w:color w:val="FF3C00"/>
          <w:sz w:val="19"/>
          <w:szCs w:val="19"/>
        </w:rPr>
        <w:t xml:space="preserve">Not recommended on its own.   </w:t>
      </w:r>
      <w:r>
        <w:rPr>
          <w:rFonts w:ascii="Times New Roman" w:cs="Times New Roman" w:eastAsia="Times New Roman" w:hAnsi="Times New Roman"/>
          <w:b w:val="false"/>
          <w:bCs w:val="false"/>
          <w:i w:val="false"/>
          <w:iCs w:val="false"/>
          <w:caps w:val="false"/>
          <w:color w:val="1A1A1A"/>
          <w:sz w:val="19"/>
          <w:szCs w:val="19"/>
        </w:rPr>
        <w:t xml:space="preserve">Adopt only if the banking route or a multi-project platform independently justifies the vehicle - and if the vehicle is formed, structure 3 is the better use of it.</w:t>
      </w:r>
    </w:p>
    <w:p>
      <w:r>
        <w:br w:type="page"/>
      </w:r>
    </w:p>
    <w:p>
      <w:pPr>
        <w:spacing w:after="40" w:before="0"/>
      </w:pPr>
      <w:r>
        <w:rPr>
          <w:rFonts w:ascii="Times New Roman" w:cs="Times New Roman" w:eastAsia="Times New Roman" w:hAnsi="Times New Roman"/>
          <w:b/>
          <w:bCs/>
          <w:i w:val="false"/>
          <w:iCs w:val="false"/>
          <w:caps/>
          <w:color w:val="FF3C00"/>
          <w:spacing w:val="20"/>
          <w:sz w:val="16"/>
          <w:szCs w:val="16"/>
        </w:rPr>
        <w:t xml:space="preserve">Structure 3 - recommended</w:t>
      </w:r>
    </w:p>
    <w:p>
      <w:pPr>
        <w:spacing w:after="30"/>
      </w:pPr>
      <w:r>
        <w:rPr>
          <w:rFonts w:ascii="Times New Roman" w:cs="Times New Roman" w:eastAsia="Times New Roman" w:hAnsi="Times New Roman"/>
          <w:b/>
          <w:bCs/>
          <w:i w:val="false"/>
          <w:iCs w:val="false"/>
          <w:caps w:val="false"/>
          <w:color w:val="1A1A1A"/>
          <w:sz w:val="30"/>
          <w:szCs w:val="30"/>
        </w:rPr>
        <w:t xml:space="preserve">Cyprus finance company lending to Keytree</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The only structure with a measurable tax benefit and an exit available at any time</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How it works</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Starter Point forms a Cyprus finance company and funds it with €20m of equity. The finance company lends the €20m to Keytree at an arm’s length rate set by a new transfer pricing study. Keytree applies the funds in repaying part of the shareholder loan and in the developments, capitalising the interest into the cost of both projects.</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The arithmetic</w:t>
      </w:r>
    </w:p>
    <w:tbl>
      <w:tblPr>
        <w:tblW w:type="dxa" w:w="7800"/>
        <w:tblBorders>
          <w:top w:val="single" w:color="1A1A1A" w:sz="8"/>
          <w:left w:val="none"/>
          <w:bottom w:val="single" w:color="1A1A1A" w:sz="8"/>
          <w:right w:val="none"/>
          <w:insideH w:val="single" w:color="C9C4BE" w:sz="4"/>
          <w:insideV w:val="none"/>
        </w:tblBorders>
      </w:tblPr>
      <w:tblGrid>
        <w:gridCol w:w="3200"/>
        <w:gridCol w:w="2300"/>
        <w:gridCol w:w="2300"/>
      </w:tblGrid>
      <w:tr>
        <w:trPr>
          <w:tblHeader/>
        </w:trPr>
        <w:tc>
          <w:tcPr>
            <w:tcW w:type="dxa" w:w="32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Per annum</w:t>
            </w:r>
          </w:p>
        </w:tc>
        <w:tc>
          <w:tcPr>
            <w:tcW w:type="dxa" w:w="23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At 3%</w:t>
            </w:r>
          </w:p>
        </w:tc>
        <w:tc>
          <w:tcPr>
            <w:tcW w:type="dxa" w:w="23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At 8%</w:t>
            </w:r>
          </w:p>
        </w:tc>
      </w:tr>
      <w:tr>
        <w:tc>
          <w:tcPr>
            <w:tcW w:type="dxa" w:w="32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Interest income in the finance company</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€600.000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€1.600.000</w:t>
            </w:r>
          </w:p>
        </w:tc>
      </w:tr>
      <w:tr>
        <w:tc>
          <w:tcPr>
            <w:tcW w:type="dxa" w:w="32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Notional interest deduction (capped at 80%)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(€480.000)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(€1.280.000)</w:t>
            </w:r>
          </w:p>
        </w:tc>
      </w:tr>
      <w:tr>
        <w:tc>
          <w:tcPr>
            <w:tcW w:type="dxa" w:w="32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Taxable</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€120.000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€320.000</w:t>
            </w:r>
          </w:p>
        </w:tc>
      </w:tr>
      <w:tr>
        <w:tc>
          <w:tcPr>
            <w:tcW w:type="dxa" w:w="32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Corporation tax at 15%</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€18.000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€48.000</w:t>
            </w:r>
          </w:p>
        </w:tc>
      </w:tr>
      <w:tr>
        <w:tc>
          <w:tcPr>
            <w:tcW w:type="dxa" w:w="32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Effective rate on interest income</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bCs/>
                <w:i w:val="false"/>
                <w:iCs w:val="false"/>
                <w:caps w:val="false"/>
                <w:color w:val="1A1A1A"/>
                <w:sz w:val="17"/>
                <w:szCs w:val="17"/>
              </w:rPr>
              <w:t xml:space="preserve">3,0%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bCs/>
                <w:i w:val="false"/>
                <w:iCs w:val="false"/>
                <w:caps w:val="false"/>
                <w:color w:val="1A1A1A"/>
                <w:sz w:val="17"/>
                <w:szCs w:val="17"/>
              </w:rPr>
              <w:t xml:space="preserve">3,0%</w:t>
            </w:r>
          </w:p>
        </w:tc>
      </w:tr>
      <w:tr>
        <w:tc>
          <w:tcPr>
            <w:tcW w:type="dxa" w:w="32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Cost capitalised into Keytree’s developments</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€600.000</w:t>
            </w:r>
          </w:p>
        </w:tc>
        <w:tc>
          <w:tcPr>
            <w:tcW w:type="dxa" w:w="2300"/>
            <w:tcMar>
              <w:top w:type="dxa" w:w="50"/>
              <w:left w:type="dxa" w:w="80"/>
              <w:bottom w:type="dxa" w:w="30"/>
              <w:right w:type="dxa" w:w="80"/>
            </w:tcMar>
            <w:vAlign w:val="top"/>
          </w:tcPr>
          <w:p>
            <w:pPr>
              <w:spacing w:after="20" w:line="232" w:lineRule="auto"/>
              <w:jc w:val="right"/>
            </w:pPr>
            <w:r>
              <w:rPr>
                <w:rFonts w:ascii="Times New Roman" w:cs="Times New Roman" w:eastAsia="Times New Roman" w:hAnsi="Times New Roman"/>
                <w:b w:val="false"/>
                <w:bCs w:val="false"/>
                <w:i w:val="false"/>
                <w:iCs w:val="false"/>
                <w:caps w:val="false"/>
                <w:color w:val="1A1A1A"/>
                <w:sz w:val="17"/>
                <w:szCs w:val="17"/>
              </w:rPr>
              <w:t xml:space="preserve">€1.600.000</w:t>
            </w:r>
          </w:p>
        </w:tc>
      </w:tr>
    </w:tbl>
    <w:p>
      <w:pPr>
        <w:keepLines/>
        <w:spacing w:after="4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 </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The 2026 reference rate (Cyprus 10-year bond yield at 31.12.2025 plus 5 points, per the Tax Department’s published table) is approximately 8 to 8,5%, giving a deduction of €1,6m to €1,7m on €20m - comfortably above the 80% cap at either interest rate. Interest income of companies is now taxed under corporation tax only and is exempt from Special Defence Contribution, removing the passive-interest risk that existed under the former law. Capitalised interest carries no time limit and is relieved as cost of sales at 15% on delivery: the net group benefit is approximately 12% of cumulative interest, €0,4m to €1,2m over six years at the rates illustrated, against nil under every equity route. Exceeding borrowing costs remain within the €3m interest limitation safe harbour. No Cyprus withholding tax arises on the interest; stamp duty on the facility agreement is capped at €20.000.</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The rate</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The existing transfer pricing documentation supports a median of 3% on the current shareholder loans. It does not govern the new facility, but the new study must explain any departure from it. Keytree’s credit has deteriorated - negative equity, no turnover, no security - so a materially higher rate may well be supportable, but it is the study’s conclusion to reach, not a planning assumption. A local file is required in any event: the €20m facility exceeds the €10m financing threshold. The study should be commissioned before the client is given a firm expectation of the benefit.</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Conditions and residual weaknesses</w:t>
      </w:r>
    </w:p>
    <w:tbl>
      <w:tblPr>
        <w:tblW w:type="dxa" w:w="9576"/>
        <w:tblBorders>
          <w:top w:val="single" w:color="1A1A1A" w:sz="8"/>
          <w:left w:val="none"/>
          <w:bottom w:val="single" w:color="1A1A1A" w:sz="8"/>
          <w:right w:val="none"/>
          <w:insideH w:val="single" w:color="C9C4BE" w:sz="4"/>
          <w:insideV w:val="none"/>
        </w:tblBorders>
      </w:tblPr>
      <w:tblGrid>
        <w:gridCol w:w="2350"/>
        <w:gridCol w:w="7226"/>
      </w:tblGrid>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Substance</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Cyprus-resident directors exercising real control over the lending risk. A company that does not control its risks is entitled only to a limited return at arm’s length, which would remove the benefit.</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Capitalisation</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policy must be applied consistently to both projects. The 2025 draft accounts are not consistent (€675.266 expensed, €289.709 capitalised) and the policy determines whether the structure delivers any benefit at all. To be agreed with the auditors.</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Balance sheet</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Not repaired: negative equity remains, gearing rises, the letter of support and going concern disclosure continue. Starter Point does not join the register; if that matters, combine with a small share issue.</w:t>
            </w:r>
          </w:p>
        </w:tc>
      </w:tr>
      <w:tr>
        <w:tc>
          <w:tcPr>
            <w:tcW w:type="dxa" w:w="23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Anti-abuse</w:t>
            </w:r>
          </w:p>
        </w:tc>
        <w:tc>
          <w:tcPr>
            <w:tcW w:type="dxa" w:w="72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Common ownership, funds partly returning to Mr Levy, and a deduction created within the group. The commercial rationale, the source of Starter Point’s funds and the sequence (advance received before any repayment to Mr Levy) must be documented from the outset.</w:t>
            </w:r>
          </w:p>
        </w:tc>
      </w:tr>
    </w:tbl>
    <w:p>
      <w:pPr>
        <w:pBdr>
          <w:top w:val="single" w:color="FF3C00" w:sz="6" w:space="4"/>
        </w:pBdr>
        <w:spacing w:after="0" w:before="140"/>
      </w:pPr>
      <w:r>
        <w:rPr>
          <w:rFonts w:ascii="Times New Roman" w:cs="Times New Roman" w:eastAsia="Times New Roman" w:hAnsi="Times New Roman"/>
          <w:b/>
          <w:bCs/>
          <w:i w:val="false"/>
          <w:iCs w:val="false"/>
          <w:caps/>
          <w:color w:val="FF3C00"/>
          <w:sz w:val="19"/>
          <w:szCs w:val="19"/>
        </w:rPr>
        <w:t xml:space="preserve">Recommended.   </w:t>
      </w:r>
      <w:r>
        <w:rPr>
          <w:rFonts w:ascii="Times New Roman" w:cs="Times New Roman" w:eastAsia="Times New Roman" w:hAnsi="Times New Roman"/>
          <w:b w:val="false"/>
          <w:bCs w:val="false"/>
          <w:i w:val="false"/>
          <w:iCs w:val="false"/>
          <w:caps w:val="false"/>
          <w:color w:val="1A1A1A"/>
          <w:sz w:val="19"/>
          <w:szCs w:val="19"/>
        </w:rPr>
        <w:t xml:space="preserve">Principal repayable and redeployable at any time subject to cash; no court, no resolutions, no waiting for profits; the only structure whose tax line is positive.</w:t>
      </w:r>
    </w:p>
    <w:p>
      <w:r>
        <w:br w:type="page"/>
      </w:r>
    </w:p>
    <w:p>
      <w:pPr>
        <w:spacing w:after="40" w:before="0"/>
      </w:pPr>
      <w:r>
        <w:rPr>
          <w:rFonts w:ascii="Times New Roman" w:cs="Times New Roman" w:eastAsia="Times New Roman" w:hAnsi="Times New Roman"/>
          <w:b/>
          <w:bCs/>
          <w:i w:val="false"/>
          <w:iCs w:val="false"/>
          <w:caps/>
          <w:color w:val="FF3C00"/>
          <w:spacing w:val="20"/>
          <w:sz w:val="16"/>
          <w:szCs w:val="16"/>
        </w:rPr>
        <w:t xml:space="preserve">Stress-testing the recommendation</w:t>
      </w:r>
    </w:p>
    <w:p>
      <w:pPr>
        <w:spacing w:after="30"/>
      </w:pPr>
      <w:r>
        <w:rPr>
          <w:rFonts w:ascii="Times New Roman" w:cs="Times New Roman" w:eastAsia="Times New Roman" w:hAnsi="Times New Roman"/>
          <w:b/>
          <w:bCs/>
          <w:i w:val="false"/>
          <w:iCs w:val="false"/>
          <w:caps w:val="false"/>
          <w:color w:val="1A1A1A"/>
          <w:sz w:val="30"/>
          <w:szCs w:val="30"/>
        </w:rPr>
        <w:t xml:space="preserve">Challenge and response</w:t>
      </w:r>
    </w:p>
    <w:p>
      <w:pPr>
        <w:pBdr>
          <w:bottom w:val="single" w:color="FF3C00" w:sz="8" w:space="4"/>
        </w:pBdr>
        <w:spacing w:after="90"/>
      </w:pPr>
      <w:r>
        <w:rPr>
          <w:rFonts w:ascii="Times New Roman" w:cs="Times New Roman" w:eastAsia="Times New Roman" w:hAnsi="Times New Roman"/>
          <w:b w:val="false"/>
          <w:bCs w:val="false"/>
          <w:i/>
          <w:iCs/>
          <w:caps w:val="false"/>
          <w:color w:val="595959"/>
          <w:sz w:val="20"/>
          <w:szCs w:val="20"/>
        </w:rPr>
        <w:t xml:space="preserve">The questions each party at the table should ask - and the answers this paper relies on</w:t>
      </w:r>
    </w:p>
    <w:tbl>
      <w:tblPr>
        <w:tblW w:type="dxa" w:w="9576"/>
        <w:tblBorders>
          <w:top w:val="single" w:color="1A1A1A" w:sz="8"/>
          <w:left w:val="none"/>
          <w:bottom w:val="single" w:color="1A1A1A" w:sz="8"/>
          <w:right w:val="none"/>
          <w:insideH w:val="single" w:color="C9C4BE" w:sz="4"/>
          <w:insideV w:val="none"/>
        </w:tblBorders>
      </w:tblPr>
      <w:tblGrid>
        <w:gridCol w:w="1450"/>
        <w:gridCol w:w="4000"/>
        <w:gridCol w:w="4126"/>
      </w:tblGrid>
      <w:tr>
        <w:trPr>
          <w:tblHeader/>
        </w:trPr>
        <w:tc>
          <w:tcPr>
            <w:tcW w:type="dxa" w:w="145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Raised by</w:t>
            </w:r>
          </w:p>
        </w:tc>
        <w:tc>
          <w:tcPr>
            <w:tcW w:type="dxa" w:w="4000"/>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Challenge</w:t>
            </w:r>
          </w:p>
        </w:tc>
        <w:tc>
          <w:tcPr>
            <w:tcW w:type="dxa" w:w="4126"/>
            <w:shd w:fill="F4F1EE" w:val="clear"/>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bCs/>
                <w:i w:val="false"/>
                <w:iCs w:val="false"/>
                <w:caps w:val="false"/>
                <w:color w:val="1A1A1A"/>
                <w:sz w:val="17"/>
                <w:szCs w:val="17"/>
              </w:rPr>
              <w:t xml:space="preserve">Response</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Mr Levy</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“Equity costs nothing. Why accept tax at the finance company at all?”</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Equity here carries no deduction of any value - the notional deduction in Keytree is worth nil on these facts. The 3% effective cost at the finance company buys 15% relief in Keytree on delivery; the group keeps roughly 12% of every euro of interest. Free equity forfeits the entire benefit.</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Mr Levy</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“Structure 1A hands the minorities €1,6m of value I paid for.”</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Correct, and unavoidable if 80/10/5/5 must appear on the register while equity is injected: with no reserves, only bonus shares from the subscription premium hold them at 5%. Structure 3 avoids the transfer entirely because no shares are issued.</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Minority advisors</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“Our pre-emption rights under Regulation 6 are being disapplied.”</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Under structure 3 they are not engaged - no shares are issued and the minorities’ position is untouched. Under any share issue, waivers or a disapplying resolution are required and the minorities’ 5% is protected by bonus shares (1A) or class rights in the Articles, not a side agreement (1B).</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Auditors</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“Going concern is unresolved and the group is more geared.”</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Accepted. The letter of support from Mr Levy continues, as it does today. If the audit position is the governing concern, 1A is the answer and this paper says so on page 1 - the choice costs nothing in tax.</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Auditors</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“Is the interest genuinely capitalisable?”</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Yes - borrowing costs directly attributable to the development of qualifying stock, the ordinary treatment for a developer recognising revenue on delivery. The 2025 inconsistency is to be corrected and the policy agreed before implementation.</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Tax Department</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 related-party loan replacing a shareholder loan, priced above the 3% the existing study supports, creating a deduction inside a common-ownership group.”</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The rate will be whatever the new study concludes on current facts - it is not assumed. The local file will be in place before the first interest accrual. The €20m is new money from Starter Point’s own resources, received before any repayment to Mr Levy, with the commercial rationale minuted. The structure is disclosed, documented and priced at arm’s length; it does not depend on the notional deduction surviving in Keytree.</w:t>
            </w:r>
          </w:p>
        </w:tc>
      </w:tr>
      <w:tr>
        <w:tc>
          <w:tcPr>
            <w:tcW w:type="dxa" w:w="145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Receiving bank</w:t>
            </w:r>
          </w:p>
        </w:tc>
        <w:tc>
          <w:tcPr>
            <w:tcW w:type="dxa" w:w="4000"/>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“A €20m remittance from Nigeria into a Cyprus developer under common ownership.”</w:t>
            </w:r>
          </w:p>
        </w:tc>
        <w:tc>
          <w:tcPr>
            <w:tcW w:type="dxa" w:w="4126"/>
            <w:tcMar>
              <w:top w:type="dxa" w:w="50"/>
              <w:left w:type="dxa" w:w="80"/>
              <w:bottom w:type="dxa" w:w="30"/>
              <w:right w:type="dxa" w:w="80"/>
            </w:tcMar>
            <w:vAlign w:val="top"/>
          </w:tcPr>
          <w:p>
            <w:pPr>
              <w:spacing w:after="20" w:line="232" w:lineRule="auto"/>
              <w:jc w:val="left"/>
            </w:pPr>
            <w:r>
              <w:rPr>
                <w:rFonts w:ascii="Times New Roman" w:cs="Times New Roman" w:eastAsia="Times New Roman" w:hAnsi="Times New Roman"/>
                <w:b w:val="false"/>
                <w:bCs w:val="false"/>
                <w:i w:val="false"/>
                <w:iCs w:val="false"/>
                <w:caps w:val="false"/>
                <w:color w:val="1A1A1A"/>
                <w:sz w:val="17"/>
                <w:szCs w:val="17"/>
              </w:rPr>
              <w:t xml:space="preserve">Source-of-funds evidence assembled before the remittance; Nigerian exchange control position confirmed at the sending end; the banking route agreed as viable before a structure is implemented. If the bank prefers a Cyprus point of entry, the finance company itself provides it.</w:t>
            </w:r>
          </w:p>
        </w:tc>
      </w:tr>
    </w:tbl>
    <w:p>
      <w:pPr>
        <w:keepLines/>
        <w:spacing w:after="4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 </w:t>
      </w:r>
    </w:p>
    <w:p>
      <w:pPr>
        <w:keepNext/>
        <w:spacing w:after="70" w:before="130"/>
      </w:pPr>
      <w:r>
        <w:rPr>
          <w:rFonts w:ascii="Times New Roman" w:cs="Times New Roman" w:eastAsia="Times New Roman" w:hAnsi="Times New Roman"/>
          <w:b/>
          <w:bCs/>
          <w:i w:val="false"/>
          <w:iCs w:val="false"/>
          <w:caps w:val="false"/>
          <w:color w:val="1A1A1A"/>
          <w:sz w:val="19"/>
          <w:szCs w:val="19"/>
        </w:rPr>
        <w:t xml:space="preserve">Before implementation</w:t>
      </w:r>
    </w:p>
    <w:p>
      <w:pPr>
        <w:keepLines/>
        <w:spacing w:after="10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Commission the new transfer pricing study and obtain the existing one. Agree the capitalisation policy and, if a preference route is revisited, the IAS 32 classification with the auditors. Align Memorandum clause 5 with the 2020 capital increase and complete the Registrar filings. Evidence the source and sequence of the funds. Extend the Declaration of Trust and update the beneficial ownership register where new instruments are held through the nominee. Confirm the banking route. Once the shareholders select a structure, a single-structure paper with draft resolutions will be prepared in a form suitable for review by the company’s auditors.</w:t>
      </w:r>
    </w:p>
    <w:p>
      <w:pPr>
        <w:keepLines/>
        <w:spacing w:after="0" w:before="120" w:line="252" w:lineRule="auto"/>
        <w:jc w:val="left"/>
      </w:pPr>
      <w:r>
        <w:rPr>
          <w:rFonts w:ascii="Times New Roman" w:cs="Times New Roman" w:eastAsia="Times New Roman" w:hAnsi="Times New Roman"/>
          <w:b/>
          <w:bCs/>
          <w:i w:val="false"/>
          <w:iCs w:val="false"/>
          <w:caps w:val="false"/>
          <w:color w:val="1A1A1A"/>
          <w:sz w:val="19"/>
          <w:szCs w:val="19"/>
        </w:rPr>
        <w:t xml:space="preserve">Vertu Projects Ltd</w:t>
      </w:r>
    </w:p>
    <w:p>
      <w:pPr>
        <w:keepLines/>
        <w:spacing w:after="0" w:before="0" w:line="252" w:lineRule="auto"/>
        <w:jc w:val="both"/>
      </w:pPr>
      <w:r>
        <w:rPr>
          <w:rFonts w:ascii="Times New Roman" w:cs="Times New Roman" w:eastAsia="Times New Roman" w:hAnsi="Times New Roman"/>
          <w:b w:val="false"/>
          <w:bCs w:val="false"/>
          <w:i w:val="false"/>
          <w:iCs w:val="false"/>
          <w:caps w:val="false"/>
          <w:color w:val="1A1A1A"/>
          <w:sz w:val="19"/>
          <w:szCs w:val="19"/>
        </w:rPr>
        <w:t xml:space="preserve"> </w:t>
      </w:r>
    </w:p>
    <w:p>
      <w:pPr>
        <w:keepLines/>
        <w:spacing w:after="0" w:before="0" w:line="252" w:lineRule="auto"/>
        <w:jc w:val="left"/>
      </w:pPr>
      <w:r>
        <w:rPr>
          <w:rFonts w:ascii="Times New Roman" w:cs="Times New Roman" w:eastAsia="Times New Roman" w:hAnsi="Times New Roman"/>
          <w:b/>
          <w:bCs/>
          <w:i w:val="false"/>
          <w:iCs w:val="false"/>
          <w:caps w:val="false"/>
          <w:color w:val="1A1A1A"/>
          <w:sz w:val="19"/>
          <w:szCs w:val="19"/>
        </w:rPr>
        <w:t xml:space="preserve">Leonidas Papadopoulos</w:t>
      </w:r>
    </w:p>
    <w:p>
      <w:pPr>
        <w:keepLines/>
        <w:spacing w:after="60" w:before="0" w:line="252" w:lineRule="auto"/>
        <w:jc w:val="left"/>
      </w:pPr>
      <w:r>
        <w:rPr>
          <w:rFonts w:ascii="Times New Roman" w:cs="Times New Roman" w:eastAsia="Times New Roman" w:hAnsi="Times New Roman"/>
          <w:b w:val="false"/>
          <w:bCs w:val="false"/>
          <w:i w:val="false"/>
          <w:iCs w:val="false"/>
          <w:caps w:val="false"/>
          <w:color w:val="595959"/>
          <w:sz w:val="19"/>
          <w:szCs w:val="19"/>
        </w:rPr>
        <w:t xml:space="preserve">Director</w:t>
      </w:r>
    </w:p>
    <w:p>
      <w:pPr>
        <w:pBdr>
          <w:top w:val="single" w:color="C9C4BE" w:sz="4" w:space="4"/>
        </w:pBdr>
        <w:spacing w:before="60"/>
        <w:jc w:val="both"/>
      </w:pPr>
      <w:r>
        <w:rPr>
          <w:rFonts w:ascii="Times New Roman" w:cs="Times New Roman" w:eastAsia="Times New Roman" w:hAnsi="Times New Roman"/>
          <w:b w:val="false"/>
          <w:bCs w:val="false"/>
          <w:i/>
          <w:iCs/>
          <w:caps w:val="false"/>
          <w:color w:val="595959"/>
          <w:sz w:val="15"/>
          <w:szCs w:val="15"/>
        </w:rPr>
        <w:t xml:space="preserve">This paper is prepared by Vertu Projects Ltd for discussion with the shareholders of Keytree Limited and is not to be issued to third parties. Figures are taken from the draft financial statements for the year ended 31 December 2025 and have not been independently verified. Nothing in this paper constitutes a binding tax opinion; the matters listed above require confirmation before any structure is implemented.</w:t>
      </w:r>
    </w:p>
    <w:sectPr>
      <w:headerReference w:type="default" r:id="rId7"/>
      <w:headerReference w:type="first" r:id="rId8"/>
      <w:footerReference w:type="default" r:id="rId9"/>
      <w:footerReference w:type="first" r:id="rId10"/>
      <w:pgSz w:w="11906" w:h="16838" w:orient="portrait"/>
      <w:pgMar w:top="1020" w:right="1077" w:bottom="907" w:left="107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4BE" w:sz="4" w:space="4"/>
      </w:pBdr>
      <w:spacing w:before="40"/>
      <w:jc w:val="left"/>
    </w:pPr>
    <w:r>
      <w:rPr>
        <w:rFonts w:ascii="Times New Roman" w:cs="Times New Roman" w:eastAsia="Times New Roman" w:hAnsi="Times New Roman"/>
        <w:b/>
        <w:bCs/>
        <w:color w:val="1A1A1A"/>
        <w:sz w:val="15"/>
        <w:szCs w:val="15"/>
      </w:rPr>
      <w:t xml:space="preserve">Vertu Projects Ltd</w:t>
    </w:r>
    <w:r>
      <w:rPr>
        <w:rFonts w:ascii="Times New Roman" w:cs="Times New Roman" w:eastAsia="Times New Roman" w:hAnsi="Times New Roman"/>
        <w:color w:val="595959"/>
        <w:sz w:val="15"/>
        <w:szCs w:val="15"/>
      </w:rPr>
      <w:t xml:space="preserve">   |   Keytree Limited - introduction of €20m: structure selection   |   </w:t>
    </w:r>
    <w:r>
      <w:rPr>
        <w:rFonts w:ascii="Times New Roman" w:cs="Times New Roman" w:eastAsia="Times New Roman" w:hAnsi="Times New Roman"/>
        <w:color w:val="595959"/>
        <w:sz w:val="15"/>
        <w:szCs w:val="15"/>
      </w:rPr>
      <w:t xml:space="preserve">Page </w:t>
    </w:r>
    <w:r>
      <w:rPr>
        <w:rFonts w:ascii="Times New Roman" w:cs="Times New Roman" w:eastAsia="Times New Roman" w:hAnsi="Times New Roman"/>
        <w:color w:val="595959"/>
        <w:sz w:val="15"/>
        <w:szCs w:val="15"/>
      </w:rPr>
      <w:fldChar w:fldCharType="begin"/>
      <w:instrText xml:space="preserve">PAGE</w:instrText>
      <w:fldChar w:fldCharType="separate"/>
      <w:fldChar w:fldCharType="end"/>
    </w:r>
    <w:r>
      <w:rPr>
        <w:rFonts w:ascii="Times New Roman" w:cs="Times New Roman" w:eastAsia="Times New Roman" w:hAnsi="Times New Roman"/>
        <w:color w:val="595959"/>
        <w:sz w:val="15"/>
        <w:szCs w:val="15"/>
      </w:rPr>
      <w:t xml:space="preserve"> of </w:t>
    </w:r>
    <w:r>
      <w:rPr>
        <w:rFonts w:ascii="Times New Roman" w:cs="Times New Roman" w:eastAsia="Times New Roman" w:hAnsi="Times New Roman"/>
        <w:color w:val="59595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4BE" w:sz="4" w:space="4"/>
      </w:pBdr>
      <w:spacing w:before="40"/>
      <w:jc w:val="left"/>
    </w:pPr>
    <w:r>
      <w:rPr>
        <w:rFonts w:ascii="Times New Roman" w:cs="Times New Roman" w:eastAsia="Times New Roman" w:hAnsi="Times New Roman"/>
        <w:b/>
        <w:bCs/>
        <w:color w:val="1A1A1A"/>
        <w:sz w:val="15"/>
        <w:szCs w:val="15"/>
      </w:rPr>
      <w:t xml:space="preserve">Vertu Projects Ltd</w:t>
    </w:r>
    <w:r>
      <w:rPr>
        <w:rFonts w:ascii="Times New Roman" w:cs="Times New Roman" w:eastAsia="Times New Roman" w:hAnsi="Times New Roman"/>
        <w:color w:val="595959"/>
        <w:sz w:val="15"/>
        <w:szCs w:val="15"/>
      </w:rPr>
      <w:t xml:space="preserve">   |   Keytree Limited - introduction of €20m: structure selection   |   </w:t>
    </w:r>
    <w:r>
      <w:rPr>
        <w:rFonts w:ascii="Times New Roman" w:cs="Times New Roman" w:eastAsia="Times New Roman" w:hAnsi="Times New Roman"/>
        <w:color w:val="595959"/>
        <w:sz w:val="15"/>
        <w:szCs w:val="15"/>
      </w:rPr>
      <w:t xml:space="preserve">Page </w:t>
    </w:r>
    <w:r>
      <w:rPr>
        <w:rFonts w:ascii="Times New Roman" w:cs="Times New Roman" w:eastAsia="Times New Roman" w:hAnsi="Times New Roman"/>
        <w:color w:val="595959"/>
        <w:sz w:val="15"/>
        <w:szCs w:val="15"/>
      </w:rPr>
      <w:fldChar w:fldCharType="begin"/>
      <w:instrText xml:space="preserve">PAGE</w:instrText>
      <w:fldChar w:fldCharType="separate"/>
      <w:fldChar w:fldCharType="end"/>
    </w:r>
    <w:r>
      <w:rPr>
        <w:rFonts w:ascii="Times New Roman" w:cs="Times New Roman" w:eastAsia="Times New Roman" w:hAnsi="Times New Roman"/>
        <w:color w:val="595959"/>
        <w:sz w:val="15"/>
        <w:szCs w:val="15"/>
      </w:rPr>
      <w:t xml:space="preserve"> of </w:t>
    </w:r>
    <w:r>
      <w:rPr>
        <w:rFonts w:ascii="Times New Roman" w:cs="Times New Roman" w:eastAsia="Times New Roman" w:hAnsi="Times New Roman"/>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4BE" w:sz="4" w:space="4"/>
      </w:pBdr>
      <w:tabs>
        <w:tab w:val="right" w:pos="9576"/>
      </w:tabs>
      <w:spacing w:after="60"/>
    </w:pPr>
    <w:r>
      <w:drawing>
        <wp:inline distT="0" distB="0" distL="0" distR="0">
          <wp:extent cx="8191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19150" cy="342900"/>
                  </a:xfrm>
                  <a:prstGeom prst="rect">
                    <a:avLst/>
                  </a:prstGeom>
                </pic:spPr>
              </pic:pic>
            </a:graphicData>
          </a:graphic>
        </wp:inline>
      </w:drawing>
    </w:r>
    <w:r>
      <w:rPr>
        <w:rFonts w:ascii="Times New Roman" w:cs="Times New Roman" w:eastAsia="Times New Roman" w:hAnsi="Times New Roman"/>
        <w:b/>
        <w:bCs/>
        <w:color w:val="595959"/>
        <w:spacing w:val="16"/>
        <w:sz w:val="15"/>
        <w:szCs w:val="15"/>
      </w:rPr>
      <w:t xml:space="preserve">	PRIVATE AND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4BE" w:sz="4" w:space="4"/>
      </w:pBdr>
      <w:tabs>
        <w:tab w:val="right" w:pos="9576"/>
      </w:tabs>
      <w:spacing w:after="60"/>
    </w:pPr>
    <w:r>
      <w:drawing>
        <wp:inline distT="0" distB="0" distL="0" distR="0">
          <wp:extent cx="12192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19200" cy="514350"/>
                  </a:xfrm>
                  <a:prstGeom prst="rect">
                    <a:avLst/>
                  </a:prstGeom>
                </pic:spPr>
              </pic:pic>
            </a:graphicData>
          </a:graphic>
        </wp:inline>
      </w:drawing>
    </w:r>
    <w:r>
      <w:rPr>
        <w:rFonts w:ascii="Times New Roman" w:cs="Times New Roman" w:eastAsia="Times New Roman" w:hAnsi="Times New Roman"/>
        <w:b/>
        <w:bCs/>
        <w:color w:val="595959"/>
        <w:spacing w:val="16"/>
        <w:sz w:val="15"/>
        <w:szCs w:val="15"/>
      </w:rPr>
      <w:t xml:space="preserve">	PRIVATE AND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bbfcf156f3cabb2c52ecbf102187e2fbc73cc5.png"/></Relationships>
</file>

<file path=word/_rels/header2.xml.rels><?xml version="1.0" encoding="UTF-8"?><Relationships xmlns="http://schemas.openxmlformats.org/package/2006/relationships"><Relationship Id="rId0" Type="http://schemas.openxmlformats.org/officeDocument/2006/relationships/image" Target="media/b7bbfcf156f3cabb2c52ecbf102187e2fbc73cc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Keytree Limited - introduction of €20m: structure selection</dc:title>
  <dc:creator>Vertu Projects Ltd</dc:creator>
  <dc:description>Structuring memorandum prepared for discussion with the shareholders</dc:description>
  <cp:lastModifiedBy>Un-named</cp:lastModifiedBy>
  <cp:revision>1</cp:revision>
  <dcterms:created xsi:type="dcterms:W3CDTF">2026-08-11T20:00:45.944Z</dcterms:created>
  <dcterms:modified xsi:type="dcterms:W3CDTF">2026-08-11T20:00:45.945Z</dcterms:modified>
</cp:coreProperties>
</file>

<file path=docProps/custom.xml><?xml version="1.0" encoding="utf-8"?>
<Properties xmlns="http://schemas.openxmlformats.org/officeDocument/2006/custom-properties" xmlns:vt="http://schemas.openxmlformats.org/officeDocument/2006/docPropsVTypes"/>
</file>