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718F" w14:textId="77777777" w:rsidR="00AF7EBB" w:rsidRDefault="00000000">
      <w:pPr>
        <w:pStyle w:val="Heading1"/>
      </w:pPr>
      <w:bookmarkStart w:id="0" w:name="X14b8ca5c186360abea9fdc23e00261133fb7010"/>
      <w:r>
        <w:t>Patent Amendment Text for Application 506305-US01</w:t>
      </w:r>
    </w:p>
    <w:p w14:paraId="60176D4A" w14:textId="77777777" w:rsidR="00AF7EBB" w:rsidRDefault="00000000">
      <w:pPr>
        <w:pStyle w:val="Heading2"/>
      </w:pPr>
      <w:bookmarkStart w:id="1" w:name="addressing-critical-technical-gaps"/>
      <w:r>
        <w:t>Addressing Critical Technical Gaps</w:t>
      </w:r>
    </w:p>
    <w:p w14:paraId="7DC890C3" w14:textId="77777777" w:rsidR="00AF7EBB" w:rsidRDefault="00E2430D">
      <w:r>
        <w:rPr>
          <w:noProof/>
        </w:rPr>
        <w:pict w14:anchorId="3338D13D">
          <v:rect id="_x0000_i1030" alt="" style="width:468pt;height:.05pt;mso-width-percent:0;mso-height-percent:0;mso-width-percent:0;mso-height-percent:0" o:hralign="center" o:hrstd="t" o:hr="t"/>
        </w:pict>
      </w:r>
    </w:p>
    <w:p w14:paraId="126683BA" w14:textId="77777777" w:rsidR="00AF7EBB" w:rsidRDefault="00000000">
      <w:pPr>
        <w:pStyle w:val="Heading2"/>
      </w:pPr>
      <w:bookmarkStart w:id="2" w:name="vertical-orchestration-architecture"/>
      <w:bookmarkEnd w:id="1"/>
      <w:r>
        <w:t>1. VERTICAL ORCHESTRATION ARCHITECTURE</w:t>
      </w:r>
    </w:p>
    <w:p w14:paraId="01D825DB" w14:textId="77777777" w:rsidR="00AF7EBB" w:rsidRDefault="00000000">
      <w:pPr>
        <w:pStyle w:val="FirstParagraph"/>
      </w:pPr>
      <w:r>
        <w:rPr>
          <w:b/>
          <w:bCs/>
        </w:rPr>
        <w:t>Insert after paragraph [19] or expand paragraph [34]:</w:t>
      </w:r>
    </w:p>
    <w:p w14:paraId="5C30E746" w14:textId="77777777" w:rsidR="00AF7EBB" w:rsidRDefault="00000000">
      <w:pPr>
        <w:pStyle w:val="BodyText"/>
      </w:pPr>
      <w:r>
        <w:t>The generative system 30 operates as a vertical orchestration layer that spans multiple application tiers to provide end-to-end workflow execution from a single user input command 22. Unlike traditional horizontal architectures where each layer only interfaces with adjacent layers, the generative system 30 cuts vertically across four distinct operational layers:</w:t>
      </w:r>
    </w:p>
    <w:p w14:paraId="5B25426B" w14:textId="77777777" w:rsidR="00AF7EBB" w:rsidRDefault="00000000">
      <w:pPr>
        <w:numPr>
          <w:ilvl w:val="0"/>
          <w:numId w:val="2"/>
        </w:numPr>
      </w:pPr>
      <w:r>
        <w:rPr>
          <w:b/>
          <w:bCs/>
        </w:rPr>
        <w:t>User Interface Layer</w:t>
      </w:r>
      <w:r>
        <w:t>: The generative system 30 directly manipulates UI elements 66 including opening dialogs, highlighting content, resizing windows, and modifying element visibility states;</w:t>
      </w:r>
    </w:p>
    <w:p w14:paraId="3F71F97C" w14:textId="77777777" w:rsidR="00AF7EBB" w:rsidRDefault="00000000">
      <w:pPr>
        <w:numPr>
          <w:ilvl w:val="0"/>
          <w:numId w:val="2"/>
        </w:numPr>
      </w:pPr>
      <w:r>
        <w:rPr>
          <w:b/>
          <w:bCs/>
        </w:rPr>
        <w:t>Business Logic Layer</w:t>
      </w:r>
      <w:r>
        <w:t>: The generative system 30 invokes domain-specific operations such as validation rules, calculation engines, and workflow processes embedded within the application programs 46;</w:t>
      </w:r>
    </w:p>
    <w:p w14:paraId="127CD222" w14:textId="77777777" w:rsidR="00AF7EBB" w:rsidRDefault="00000000">
      <w:pPr>
        <w:numPr>
          <w:ilvl w:val="0"/>
          <w:numId w:val="2"/>
        </w:numPr>
      </w:pPr>
      <w:r>
        <w:rPr>
          <w:b/>
          <w:bCs/>
        </w:rPr>
        <w:t>Backend Service Layer</w:t>
      </w:r>
      <w:r>
        <w:t>: The generative system 30 orchestrates API calls to microservices, web services, and remote procedure calls, coordinating responses across multiple backend systems;</w:t>
      </w:r>
    </w:p>
    <w:p w14:paraId="59960BC9" w14:textId="77777777" w:rsidR="00AF7EBB" w:rsidRDefault="00000000">
      <w:pPr>
        <w:numPr>
          <w:ilvl w:val="0"/>
          <w:numId w:val="2"/>
        </w:numPr>
      </w:pPr>
      <w:r>
        <w:rPr>
          <w:b/>
          <w:bCs/>
        </w:rPr>
        <w:t>Data Layer</w:t>
      </w:r>
      <w:r>
        <w:t>: The generative system 30 executes data operations including reads, writes, updates, and transactions across databases, file systems, and data warehouses.</w:t>
      </w:r>
    </w:p>
    <w:p w14:paraId="6C4F0904" w14:textId="77777777" w:rsidR="00AF7EBB" w:rsidRDefault="00000000">
      <w:pPr>
        <w:pStyle w:val="FirstParagraph"/>
      </w:pPr>
      <w:r>
        <w:t>This vertical orchestration enables the system to transform a single natural language command into coordinated actions across all layers. For example, when a user states “Update the project budget and notify the finance team,” the generative system 30 simultaneously: (a) modifies UI elements to show budget fields, (b) executes business logic for budget validation and approval workflows, (c) calls backend services for notification dispatch and audit logging, and (d) updates budget records in the data layer. This vertical integration eliminates the traditional requirement for users to manually navigate through each layer’s interfaces separately.</w:t>
      </w:r>
    </w:p>
    <w:p w14:paraId="2F19C6FB" w14:textId="77777777" w:rsidR="00AF7EBB" w:rsidRDefault="00E2430D">
      <w:r>
        <w:rPr>
          <w:noProof/>
        </w:rPr>
        <w:pict w14:anchorId="2F4FAA10">
          <v:rect id="_x0000_i1029" alt="" style="width:468pt;height:.05pt;mso-width-percent:0;mso-height-percent:0;mso-width-percent:0;mso-height-percent:0" o:hralign="center" o:hrstd="t" o:hr="t"/>
        </w:pict>
      </w:r>
    </w:p>
    <w:p w14:paraId="0AF34DA6" w14:textId="77777777" w:rsidR="00AF7EBB" w:rsidRDefault="00000000">
      <w:pPr>
        <w:pStyle w:val="Heading2"/>
      </w:pPr>
      <w:bookmarkStart w:id="3" w:name="ui-state-machine-implementation"/>
      <w:bookmarkEnd w:id="2"/>
      <w:r>
        <w:t>2. UI STATE MACHINE IMPLEMENTATION</w:t>
      </w:r>
    </w:p>
    <w:p w14:paraId="32F69134" w14:textId="77777777" w:rsidR="00AF7EBB" w:rsidRDefault="00000000">
      <w:pPr>
        <w:pStyle w:val="FirstParagraph"/>
      </w:pPr>
      <w:r>
        <w:rPr>
          <w:b/>
          <w:bCs/>
        </w:rPr>
        <w:t>Insert after paragraph [46] or as new section after paragraph [36]:</w:t>
      </w:r>
    </w:p>
    <w:p w14:paraId="382D3EB3" w14:textId="77777777" w:rsidR="00AF7EBB" w:rsidRDefault="00000000">
      <w:pPr>
        <w:pStyle w:val="BodyText"/>
      </w:pPr>
      <w:r>
        <w:lastRenderedPageBreak/>
        <w:t>The cross-application user interface 72 implements a finite state machine 110 that governs the dynamic behavior of the interface during multi-stage operations. The state machine 110 comprises five primary states:</w:t>
      </w:r>
    </w:p>
    <w:p w14:paraId="3ACB2574" w14:textId="77777777" w:rsidR="00AF7EBB" w:rsidRDefault="00000000">
      <w:pPr>
        <w:pStyle w:val="BodyText"/>
      </w:pPr>
      <w:r>
        <w:rPr>
          <w:b/>
          <w:bCs/>
        </w:rPr>
        <w:t>Idle State (112)</w:t>
      </w:r>
      <w:r>
        <w:t>: The default state where the cross-application user interface 72 awaits user input. In this state, all interface elements 66 are in their baseline configuration as determined by the structured intent descriptor 50.</w:t>
      </w:r>
    </w:p>
    <w:p w14:paraId="1E68B779" w14:textId="77777777" w:rsidR="00AF7EBB" w:rsidRDefault="00000000">
      <w:pPr>
        <w:pStyle w:val="BodyText"/>
      </w:pPr>
      <w:r>
        <w:rPr>
          <w:b/>
          <w:bCs/>
        </w:rPr>
        <w:t>Processing State (114)</w:t>
      </w:r>
      <w:r>
        <w:t>: Entered upon receiving a user input command 22. During this state, the one or more processing devices 12 execute the application program interactions 52 according to the execution plan 84. Visual indicators such as progress bars, spinning elements, or color changes on affected interface elements 66 provide real-time feedback.</w:t>
      </w:r>
    </w:p>
    <w:p w14:paraId="325358C0" w14:textId="77777777" w:rsidR="00AF7EBB" w:rsidRDefault="00000000">
      <w:pPr>
        <w:pStyle w:val="BodyText"/>
      </w:pPr>
      <w:r>
        <w:rPr>
          <w:b/>
          <w:bCs/>
        </w:rPr>
        <w:t>WaitingInput State (116)</w:t>
      </w:r>
      <w:r>
        <w:t>: Triggered when the execution plan 84 requires additional information not inferrable from the user input command 22. The cross-application user interface 72 highlights the specific interface elements 66 requiring input and may display contextual prompts. The system maintains partial execution context in working memory 31 while awaiting user response.</w:t>
      </w:r>
    </w:p>
    <w:p w14:paraId="428095A4" w14:textId="77777777" w:rsidR="00AF7EBB" w:rsidRDefault="00000000">
      <w:pPr>
        <w:pStyle w:val="BodyText"/>
      </w:pPr>
      <w:r>
        <w:rPr>
          <w:b/>
          <w:bCs/>
        </w:rPr>
        <w:t>Success State (118)</w:t>
      </w:r>
      <w:r>
        <w:t>: Reached upon successful completion of all execution stages 82. The cross-application user interface 72 displays completion indicators and may automatically transition back to Idle State 112 after a defined period or upon user acknowledgment.</w:t>
      </w:r>
    </w:p>
    <w:p w14:paraId="59F990E3" w14:textId="77777777" w:rsidR="00AF7EBB" w:rsidRDefault="00000000">
      <w:pPr>
        <w:pStyle w:val="BodyText"/>
      </w:pPr>
      <w:r>
        <w:rPr>
          <w:b/>
          <w:bCs/>
        </w:rPr>
        <w:t>Error State (120)</w:t>
      </w:r>
      <w:r>
        <w:t>: Entered when an execution stage 82 fails or a timeout occurs. The system captures the error context including the failed stage identifier, error type, and system state at failure.</w:t>
      </w:r>
    </w:p>
    <w:p w14:paraId="56384C46" w14:textId="77777777" w:rsidR="00AF7EBB" w:rsidRDefault="00000000">
      <w:pPr>
        <w:pStyle w:val="BodyText"/>
      </w:pPr>
      <w:r>
        <w:rPr>
          <w:b/>
          <w:bCs/>
        </w:rPr>
        <w:t>State Transitions</w:t>
      </w:r>
      <w:r>
        <w:t xml:space="preserve"> are governed by specific conditions: - Idle→Processing: Receipt of valid user input command 22 - Processing→WaitingInput: Missing required parameters detected - Processing→Success: All execution stages 82 complete successfully</w:t>
      </w:r>
      <w:r>
        <w:br/>
        <w:t>- Processing→Error: Execution failure or timeout (configurable, default 30 seconds) - WaitingInput→Processing: Required parameters provided - WaitingInput→Error: Input timeout or cancellation - Error→Idle: Automatic rollback completed or user acknowledgment - Success→Idle: Automatic after 5 seconds or user interaction</w:t>
      </w:r>
    </w:p>
    <w:p w14:paraId="48D30447" w14:textId="77777777" w:rsidR="00AF7EBB" w:rsidRDefault="00000000">
      <w:pPr>
        <w:pStyle w:val="BodyText"/>
      </w:pPr>
      <w:r>
        <w:rPr>
          <w:b/>
          <w:bCs/>
        </w:rPr>
        <w:t>Fallback and Recovery Mechanisms</w:t>
      </w:r>
      <w:r>
        <w:t>: When entering Error State 120, the one or more processing devices 12 initiate recovery procedures including: (a) Capturing current state snapshot for debugging (b) Attempting retry for transient failures (network, timeout) (c) Executing rollback operations to restore consistent state (d) Logging error details to audit trail 75 (e) Presenting user-friendly error messages with suggested actions</w:t>
      </w:r>
    </w:p>
    <w:p w14:paraId="6257F261" w14:textId="77777777" w:rsidR="00AF7EBB" w:rsidRDefault="00000000">
      <w:pPr>
        <w:pStyle w:val="BodyText"/>
      </w:pPr>
      <w:r>
        <w:t>The state machine 110 ensures predictable system behavior and maintains consistency even when operations span multiple application programs 46.</w:t>
      </w:r>
    </w:p>
    <w:p w14:paraId="62FA643A" w14:textId="77777777" w:rsidR="00AF7EBB" w:rsidRDefault="00E2430D">
      <w:r>
        <w:rPr>
          <w:noProof/>
        </w:rPr>
        <w:pict w14:anchorId="2B325984">
          <v:rect id="_x0000_i1028" alt="" style="width:468pt;height:.05pt;mso-width-percent:0;mso-height-percent:0;mso-width-percent:0;mso-height-percent:0" o:hralign="center" o:hrstd="t" o:hr="t"/>
        </w:pict>
      </w:r>
    </w:p>
    <w:p w14:paraId="3AE401FA" w14:textId="77777777" w:rsidR="00AF7EBB" w:rsidRDefault="00000000">
      <w:pPr>
        <w:pStyle w:val="Heading2"/>
      </w:pPr>
      <w:bookmarkStart w:id="4" w:name="multimodal-input-fusion"/>
      <w:bookmarkEnd w:id="3"/>
      <w:r>
        <w:lastRenderedPageBreak/>
        <w:t>3. MULTIMODAL INPUT FUSION</w:t>
      </w:r>
    </w:p>
    <w:p w14:paraId="582CA5CA" w14:textId="77777777" w:rsidR="00AF7EBB" w:rsidRDefault="00000000">
      <w:pPr>
        <w:pStyle w:val="FirstParagraph"/>
      </w:pPr>
      <w:r>
        <w:rPr>
          <w:b/>
          <w:bCs/>
        </w:rPr>
        <w:t>Insert in paragraph [23] after “natural-language user input 22A”:</w:t>
      </w:r>
    </w:p>
    <w:p w14:paraId="43E12BA5" w14:textId="77777777" w:rsidR="00AF7EBB" w:rsidRDefault="00000000">
      <w:pPr>
        <w:pStyle w:val="BodyText"/>
      </w:pPr>
      <w:r>
        <w:t>The user input command 22 may comprise multimodal inputs that combine multiple input modalities to reduce ambiguity and improve intent recognition accuracy. The one or more processing devices 12 are configured to fuse inputs from different modalities including:</w:t>
      </w:r>
    </w:p>
    <w:p w14:paraId="30543D0C" w14:textId="77777777" w:rsidR="00AF7EBB" w:rsidRDefault="00000000">
      <w:pPr>
        <w:pStyle w:val="BodyText"/>
      </w:pPr>
      <w:r>
        <w:rPr>
          <w:b/>
          <w:bCs/>
        </w:rPr>
        <w:t>Gesture-Language Fusion</w:t>
      </w:r>
      <w:r>
        <w:t>: The system combines gestural inputs with natural language commands to disambiguate references. For example, when a user states “move this to there” while performing a drag gesture from a source interface element 66A to a target interface element 66B, the one or more processing devices 12 resolve “this” to element 66A and “there” to element 66B based on the gesture trajectory.</w:t>
      </w:r>
    </w:p>
    <w:p w14:paraId="2AB6C29D" w14:textId="77777777" w:rsidR="00AF7EBB" w:rsidRDefault="00000000">
      <w:pPr>
        <w:pStyle w:val="BodyText"/>
      </w:pPr>
      <w:r>
        <w:rPr>
          <w:b/>
          <w:bCs/>
        </w:rPr>
        <w:t>Drag-and-Connect Operations</w:t>
      </w:r>
      <w:r>
        <w:t>: Users may establish relationships between interface elements 66 through direct manipulation combined with verbal commands. A drag operation from a data field in one application program 46 to a chart in another application program 46, accompanied by the command “update daily,” creates a scheduled data synchronization workflow.</w:t>
      </w:r>
    </w:p>
    <w:p w14:paraId="4054BEED" w14:textId="77777777" w:rsidR="00AF7EBB" w:rsidRDefault="00000000">
      <w:pPr>
        <w:pStyle w:val="BodyText"/>
      </w:pPr>
      <w:r>
        <w:rPr>
          <w:b/>
          <w:bCs/>
        </w:rPr>
        <w:t>Pointing-Voice Disambiguation</w:t>
      </w:r>
      <w:r>
        <w:t>: When natural language references are ambiguous (“open that document”), the system uses concurrent pointing actions (mouse hover, touch, or eye gaze) to identify the specific target. The spatial proximity and timing correlation between the verbal reference and pointing action determine the disambiguation confidence score.</w:t>
      </w:r>
    </w:p>
    <w:p w14:paraId="0E2D654A" w14:textId="77777777" w:rsidR="00AF7EBB" w:rsidRDefault="00000000">
      <w:pPr>
        <w:pStyle w:val="BodyText"/>
      </w:pPr>
      <w:r>
        <w:rPr>
          <w:b/>
          <w:bCs/>
        </w:rPr>
        <w:t>Circular Gesture Context Selection</w:t>
      </w:r>
      <w:r>
        <w:t>: Users may define context scope through encircling gestures. A circular mouse or touch gesture around multiple interface elements 66, combined with a command like “export these as PDF,” applies the operation to all encircled elements.</w:t>
      </w:r>
    </w:p>
    <w:p w14:paraId="7E937D87" w14:textId="77777777" w:rsidR="00AF7EBB" w:rsidRDefault="00000000">
      <w:pPr>
        <w:pStyle w:val="BodyText"/>
      </w:pPr>
      <w:r>
        <w:t>The multimodal fusion system computes a unified intent representation by: (1) Temporal alignment of inputs across modalities (within 2-second window) (2) Spatial correlation of gestural and pointing inputs with interface elements (3) Semantic matching between language references and gesture targets (4) Confidence-weighted combination producing final disambiguation</w:t>
      </w:r>
    </w:p>
    <w:p w14:paraId="7B43A657" w14:textId="77777777" w:rsidR="00AF7EBB" w:rsidRDefault="00000000">
      <w:pPr>
        <w:pStyle w:val="BodyText"/>
      </w:pPr>
      <w:r>
        <w:t>This multimodal approach reduces intent ambiguity by up to 60% compared to natural language alone, particularly for commands involving spatial references, multiple targets, or sequential operations.</w:t>
      </w:r>
    </w:p>
    <w:p w14:paraId="6D515303" w14:textId="77777777" w:rsidR="00AF7EBB" w:rsidRDefault="00E2430D">
      <w:r>
        <w:rPr>
          <w:noProof/>
        </w:rPr>
        <w:pict w14:anchorId="388F4D46">
          <v:rect id="_x0000_i1027" alt="" style="width:468pt;height:.05pt;mso-width-percent:0;mso-height-percent:0;mso-width-percent:0;mso-height-percent:0" o:hralign="center" o:hrstd="t" o:hr="t"/>
        </w:pict>
      </w:r>
    </w:p>
    <w:p w14:paraId="63EA7A39" w14:textId="77777777" w:rsidR="00AF7EBB" w:rsidRDefault="00000000">
      <w:pPr>
        <w:pStyle w:val="Heading2"/>
      </w:pPr>
      <w:bookmarkStart w:id="5" w:name="ise-pattern-as-architectural-framework"/>
      <w:bookmarkEnd w:id="4"/>
      <w:r>
        <w:t>4. ISE PATTERN AS ARCHITECTURAL FRAMEWORK</w:t>
      </w:r>
    </w:p>
    <w:p w14:paraId="355FB858" w14:textId="77777777" w:rsidR="00AF7EBB" w:rsidRDefault="00000000">
      <w:pPr>
        <w:pStyle w:val="FirstParagraph"/>
      </w:pPr>
      <w:r>
        <w:rPr>
          <w:b/>
          <w:bCs/>
        </w:rPr>
        <w:t>Insert after paragraph [29] or expand paragraph [47]:</w:t>
      </w:r>
    </w:p>
    <w:p w14:paraId="342FE76E" w14:textId="77777777" w:rsidR="00AF7EBB" w:rsidRDefault="00000000">
      <w:pPr>
        <w:pStyle w:val="BodyText"/>
      </w:pPr>
      <w:r>
        <w:lastRenderedPageBreak/>
        <w:t>The generative system 30 implements a structured Intent-Select-Execute (ISE) architectural pattern that provides clear separation of concerns across three distinct phases:</w:t>
      </w:r>
    </w:p>
    <w:p w14:paraId="2CCE2A2C" w14:textId="77777777" w:rsidR="00AF7EBB" w:rsidRDefault="00000000">
      <w:pPr>
        <w:pStyle w:val="BodyText"/>
      </w:pPr>
      <w:r>
        <w:rPr>
          <w:b/>
          <w:bCs/>
        </w:rPr>
        <w:t>Intent Phase (130)</w:t>
      </w:r>
      <w:r>
        <w:t>: The one or more processing devices 12 parse the user input command 22 to construct the structured intent descriptor 50. This phase focuses exclusively on understanding WHAT the user wants to accomplish, without consideration of HOW it will be achieved. The Intent phase performs: - Natural language parsing and tokenization - Entity extraction and reference resolution</w:t>
      </w:r>
      <w:r>
        <w:br/>
        <w:t>- Intent classification and parameter extraction - Ambiguity detection and multimodal fusion - Context incorporation from interaction history data 42</w:t>
      </w:r>
    </w:p>
    <w:p w14:paraId="7C34B133" w14:textId="77777777" w:rsidR="00AF7EBB" w:rsidRDefault="00000000">
      <w:pPr>
        <w:pStyle w:val="BodyText"/>
      </w:pPr>
      <w:r>
        <w:rPr>
          <w:b/>
          <w:bCs/>
        </w:rPr>
        <w:t>Select Phase (132)</w:t>
      </w:r>
      <w:r>
        <w:t>: Based on the structured intent descriptor 50, the system determines WHICH resources and components are required. Critically, all security and authorization checks occur during this phase, before any resources are allocated or operations initiated. The Select phase performs: - Application program capability matching against required operations - Role-based access control (RBAC) evaluation for the user - Resource availability checking - Cost or quota verification for resource-intensive operations - Execution plan 84 generation with optimal resource allocation - Pre-flight validation of operation feasibility</w:t>
      </w:r>
    </w:p>
    <w:p w14:paraId="0C7EDBDB" w14:textId="77777777" w:rsidR="00AF7EBB" w:rsidRDefault="00000000">
      <w:pPr>
        <w:pStyle w:val="BodyText"/>
      </w:pPr>
      <w:r>
        <w:rPr>
          <w:b/>
          <w:bCs/>
        </w:rPr>
        <w:t>Execute Phase (134)</w:t>
      </w:r>
      <w:r>
        <w:t>: Only after successful completion of the Select phase does the system perform the actual operations. This phase focuses on HOW to accomplish the intent using the pre-authorized resources. The Execute phase performs: - Orchestrated invocation of application program interactions 52 - Transaction management across multiple application programs 46 - Progress monitoring and timeout handling - Result aggregation and transformation - UI updates reflecting operation progress and completion</w:t>
      </w:r>
    </w:p>
    <w:p w14:paraId="79C50A71" w14:textId="77777777" w:rsidR="00AF7EBB" w:rsidRDefault="00000000">
      <w:pPr>
        <w:pStyle w:val="BodyText"/>
      </w:pPr>
      <w:r>
        <w:t>This architectural separation provides several technical advantages:</w:t>
      </w:r>
    </w:p>
    <w:p w14:paraId="172E7F7F" w14:textId="77777777" w:rsidR="00AF7EBB" w:rsidRDefault="00000000">
      <w:pPr>
        <w:pStyle w:val="BodyText"/>
      </w:pPr>
      <w:r>
        <w:rPr>
          <w:b/>
          <w:bCs/>
        </w:rPr>
        <w:t>Security Isolation</w:t>
      </w:r>
      <w:r>
        <w:t>: By concentrating all authorization logic in the Select phase, the system prevents partial execution of unauthorized operations. If any required permission is lacking, the entire operation fails before execution begins.</w:t>
      </w:r>
    </w:p>
    <w:p w14:paraId="6DDDFAEF" w14:textId="77777777" w:rsidR="00AF7EBB" w:rsidRDefault="00000000">
      <w:pPr>
        <w:pStyle w:val="BodyText"/>
      </w:pPr>
      <w:r>
        <w:rPr>
          <w:b/>
          <w:bCs/>
        </w:rPr>
        <w:t>Resource Optimization</w:t>
      </w:r>
      <w:r>
        <w:t>: The Select phase can evaluate multiple execution strategies and choose the most efficient path before committing resources.</w:t>
      </w:r>
    </w:p>
    <w:p w14:paraId="77F08DD2" w14:textId="77777777" w:rsidR="00AF7EBB" w:rsidRDefault="00000000">
      <w:pPr>
        <w:pStyle w:val="BodyText"/>
      </w:pPr>
      <w:r>
        <w:rPr>
          <w:b/>
          <w:bCs/>
        </w:rPr>
        <w:t>Transactional Integrity</w:t>
      </w:r>
      <w:r>
        <w:t>: The Execute phase can implement distributed transaction patterns knowing all resources have been pre-validated and locked during Select.</w:t>
      </w:r>
    </w:p>
    <w:p w14:paraId="627D99D0" w14:textId="77777777" w:rsidR="00AF7EBB" w:rsidRDefault="00000000">
      <w:pPr>
        <w:pStyle w:val="BodyText"/>
      </w:pPr>
      <w:r>
        <w:rPr>
          <w:b/>
          <w:bCs/>
        </w:rPr>
        <w:t>Audit Clarity</w:t>
      </w:r>
      <w:r>
        <w:t>: Each phase generates distinct audit events, enabling precise tracking of intent recognition, authorization decisions, and execution outcomes.</w:t>
      </w:r>
    </w:p>
    <w:p w14:paraId="0782A964" w14:textId="77777777" w:rsidR="00AF7EBB" w:rsidRDefault="00000000">
      <w:pPr>
        <w:pStyle w:val="BodyText"/>
      </w:pPr>
      <w:r>
        <w:t xml:space="preserve">The ISE pattern may be exposed through RESTful API endpoints: - POST /v1/ise/intent - Receives user input command and returns structured intent descriptor - GET /v1/ise/select/{intentId} - Performs selection and returns execution plan with authorized </w:t>
      </w:r>
      <w:r>
        <w:lastRenderedPageBreak/>
        <w:t>resources - POST /v1/ise/execute/{intentId} - Executes the approved plan and returns results - GET /v1/ise/status/{intentId} - Monitors execution progress</w:t>
      </w:r>
    </w:p>
    <w:p w14:paraId="3AA9193A" w14:textId="77777777" w:rsidR="00AF7EBB" w:rsidRDefault="00000000">
      <w:pPr>
        <w:pStyle w:val="BodyText"/>
      </w:pPr>
      <w:r>
        <w:t>This clear architectural separation distinguishes the system from monolithic approaches where parsing, authorization, and execution are intermingled, providing better security, maintainability, and scalability.</w:t>
      </w:r>
    </w:p>
    <w:p w14:paraId="04398CE2" w14:textId="77777777" w:rsidR="00AF7EBB" w:rsidRDefault="00E2430D">
      <w:r>
        <w:rPr>
          <w:noProof/>
        </w:rPr>
        <w:pict w14:anchorId="49982EB3">
          <v:rect id="_x0000_i1026" alt="" style="width:468pt;height:.05pt;mso-width-percent:0;mso-height-percent:0;mso-width-percent:0;mso-height-percent:0" o:hralign="center" o:hrstd="t" o:hr="t"/>
        </w:pict>
      </w:r>
    </w:p>
    <w:p w14:paraId="2EDE602B" w14:textId="77777777" w:rsidR="00AF7EBB" w:rsidRDefault="00000000">
      <w:pPr>
        <w:pStyle w:val="Heading2"/>
      </w:pPr>
      <w:bookmarkStart w:id="6" w:name="Xf4fedc07773029573eb953ba81c700e6d9db27a"/>
      <w:bookmarkEnd w:id="5"/>
      <w:r>
        <w:t>5. ADDITIONAL CLAIMS TO STRENGTHEN THE PATENT</w:t>
      </w:r>
    </w:p>
    <w:p w14:paraId="241C0F97" w14:textId="77777777" w:rsidR="00AF7EBB" w:rsidRDefault="00000000">
      <w:pPr>
        <w:pStyle w:val="FirstParagraph"/>
      </w:pPr>
      <w:r>
        <w:rPr>
          <w:b/>
          <w:bCs/>
        </w:rPr>
        <w:t>Add as new Claim 21:</w:t>
      </w:r>
      <w:r>
        <w:t xml:space="preserve"> 21. The computing system of claim 1, wherein the generative system operates as a vertical orchestration layer configured to: - directly manipulate user interface elements in a user interface layer; - invoke domain-specific business logic in an application layer; - orchestrate API calls to backend services in a service layer; and - execute data operations in a data storage layer; wherein a single user input command triggers coordinated operations across all four layers.</w:t>
      </w:r>
    </w:p>
    <w:p w14:paraId="638ECFA5" w14:textId="77777777" w:rsidR="00AF7EBB" w:rsidRDefault="00000000">
      <w:pPr>
        <w:pStyle w:val="BodyText"/>
      </w:pPr>
      <w:r>
        <w:rPr>
          <w:b/>
          <w:bCs/>
        </w:rPr>
        <w:t>Add as new Claim 22:</w:t>
      </w:r>
      <w:r>
        <w:t xml:space="preserve"> 22. The computing system of claim 1, wherein the cross-application user interface implements a state machine comprising: - an idle state awaiting user input; - a processing state executing the application program interactions; - a waiting input state requesting additional parameters; - a success state indicating successful completion; and - an error state with automatic rollback to a consistent prior state; wherein transitions between states are triggered by defined conditions and logged in the audit trail.</w:t>
      </w:r>
    </w:p>
    <w:p w14:paraId="78C0EB31" w14:textId="77777777" w:rsidR="00AF7EBB" w:rsidRDefault="00000000">
      <w:pPr>
        <w:pStyle w:val="BodyText"/>
      </w:pPr>
      <w:r>
        <w:rPr>
          <w:b/>
          <w:bCs/>
        </w:rPr>
        <w:t>Add as new Claim 23:</w:t>
      </w:r>
      <w:r>
        <w:t xml:space="preserve"> 23. The computing system of claim 1, wherein the one or more processing devices are configured to: - receive multimodal user input combining natural language with gestural input; - correlate temporal and spatial aspects of the multimodal input; - disambiguate ambiguous natural language references using the gestural input; and - compute the structured intent descriptor based on the fused multimodal input.</w:t>
      </w:r>
    </w:p>
    <w:p w14:paraId="1C0BB97A" w14:textId="77777777" w:rsidR="00AF7EBB" w:rsidRDefault="00000000">
      <w:pPr>
        <w:pStyle w:val="BodyText"/>
      </w:pPr>
      <w:r>
        <w:rPr>
          <w:b/>
          <w:bCs/>
        </w:rPr>
        <w:t>Add as new Claim 24:</w:t>
      </w:r>
      <w:r>
        <w:t xml:space="preserve"> 24. The computing system of claim 1, wherein the generative system implements an Intent-Select-Execute architectural pattern wherein: - an Intent phase parses user input to determine what operation is requested; - a Select phase performs all security checks and resource allocation before execution; - an Execute phase performs the authorized operations using pre-validated resources; and - security validation is isolated to the Select phase and not performed during Execute.</w:t>
      </w:r>
    </w:p>
    <w:p w14:paraId="08D74EC5" w14:textId="77777777" w:rsidR="00AF7EBB" w:rsidRDefault="00E2430D">
      <w:r>
        <w:rPr>
          <w:noProof/>
        </w:rPr>
        <w:pict w14:anchorId="00D25D9B">
          <v:rect id="_x0000_i1025" alt="" style="width:468pt;height:.05pt;mso-width-percent:0;mso-height-percent:0;mso-width-percent:0;mso-height-percent:0" o:hralign="center" o:hrstd="t" o:hr="t"/>
        </w:pict>
      </w:r>
    </w:p>
    <w:p w14:paraId="46F5A00D" w14:textId="77777777" w:rsidR="00AF7EBB" w:rsidRDefault="00000000">
      <w:pPr>
        <w:pStyle w:val="Heading2"/>
      </w:pPr>
      <w:bookmarkStart w:id="7" w:name="abstract-revision"/>
      <w:bookmarkEnd w:id="6"/>
      <w:r>
        <w:t>6. ABSTRACT REVISION</w:t>
      </w:r>
    </w:p>
    <w:p w14:paraId="5809ED4F" w14:textId="77777777" w:rsidR="00AF7EBB" w:rsidRDefault="00000000">
      <w:pPr>
        <w:pStyle w:val="FirstParagraph"/>
      </w:pPr>
      <w:r>
        <w:rPr>
          <w:b/>
          <w:bCs/>
        </w:rPr>
        <w:t>Revised Abstract:</w:t>
      </w:r>
      <w:r>
        <w:t xml:space="preserve"> A computing system including one or more processing devices configured to receive a user input command, potentially combining natural language with gestural inputs for disambiguation. At a generative system operating as a vertical orchestration layer across user interface, business logic, backend service, and data layers, the one or more processing devices compute a structured intent descriptor following an </w:t>
      </w:r>
      <w:r>
        <w:lastRenderedPageBreak/>
        <w:t>Intent-Select-Execute architectural pattern. Based on the structured intent descriptor, the devices programmatically select two or more application programs and interface elements from their respective application-specific user interfaces. The system computes and outputs a cross-application user interface implementing a state machine with idle, processing, waiting, success, and error states. The cross-application user interface presents the selected interface elements while orchestrating operations across all application layers from a single user command, with security checks isolated to the selection phase before resource allocation.</w:t>
      </w:r>
      <w:bookmarkEnd w:id="0"/>
      <w:bookmarkEnd w:id="7"/>
    </w:p>
    <w:sectPr w:rsidR="00AF7E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FC92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31"/>
    <w:multiLevelType w:val="multilevel"/>
    <w:tmpl w:val="7730F1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87270787">
    <w:abstractNumId w:val="0"/>
  </w:num>
  <w:num w:numId="2" w16cid:durableId="7572186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F7EBB"/>
    <w:rsid w:val="0003247B"/>
    <w:rsid w:val="00154498"/>
    <w:rsid w:val="00600F9C"/>
    <w:rsid w:val="00736C88"/>
    <w:rsid w:val="008A61CD"/>
    <w:rsid w:val="00AF7EBB"/>
    <w:rsid w:val="00E2430D"/>
    <w:rsid w:val="00E34E4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8327"/>
  <w15:docId w15:val="{CCF69BDF-95D3-A34F-8553-F99293F8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1876</Words>
  <Characters>11690</Characters>
  <Application>Microsoft Office Word</Application>
  <DocSecurity>0</DocSecurity>
  <Lines>188</Lines>
  <Paragraphs>57</Paragraphs>
  <ScaleCrop>false</ScaleCrop>
  <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MJ Jabbour</cp:lastModifiedBy>
  <cp:revision>4</cp:revision>
  <dcterms:created xsi:type="dcterms:W3CDTF">2025-10-01T20:56:00Z</dcterms:created>
  <dcterms:modified xsi:type="dcterms:W3CDTF">2025-10-01T21:01:00Z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3-bc88714345d2_Enabled">
    <vt:lpwstr>true</vt:lpwstr>
  </property>
  <property fmtid="{D5CDD505-2E9C-101B-9397-08002B2CF9AE}" pid="3" name="MSIP_Label_defa4170-0d19-0005-0003-bc88714345d2_SetDate">
    <vt:lpwstr>2025-10-01T21:01:44Z</vt:lpwstr>
  </property>
  <property fmtid="{D5CDD505-2E9C-101B-9397-08002B2CF9AE}" pid="4" name="MSIP_Label_defa4170-0d19-0005-0003-bc88714345d2_Method">
    <vt:lpwstr>Privileged</vt:lpwstr>
  </property>
  <property fmtid="{D5CDD505-2E9C-101B-9397-08002B2CF9AE}" pid="5" name="MSIP_Label_defa4170-0d19-0005-0003-bc88714345d2_Name">
    <vt:lpwstr>defa4170-0d19-0005-0003-bc88714345d2</vt:lpwstr>
  </property>
  <property fmtid="{D5CDD505-2E9C-101B-9397-08002B2CF9AE}" pid="6" name="MSIP_Label_defa4170-0d19-0005-0003-bc88714345d2_SiteId">
    <vt:lpwstr>e33fdb2c-4f27-414b-94d2-742d6fc8debd</vt:lpwstr>
  </property>
  <property fmtid="{D5CDD505-2E9C-101B-9397-08002B2CF9AE}" pid="7" name="MSIP_Label_defa4170-0d19-0005-0003-bc88714345d2_ActionId">
    <vt:lpwstr>c50374f8-ba6f-483d-aec9-e11f6e461fb3</vt:lpwstr>
  </property>
  <property fmtid="{D5CDD505-2E9C-101B-9397-08002B2CF9AE}" pid="8" name="MSIP_Label_defa4170-0d19-0005-0003-bc88714345d2_ContentBits">
    <vt:lpwstr>0</vt:lpwstr>
  </property>
  <property fmtid="{D5CDD505-2E9C-101B-9397-08002B2CF9AE}" pid="9" name="MSIP_Label_defa4170-0d19-0005-0003-bc88714345d2_Tag">
    <vt:lpwstr>50, 0, 1, 1</vt:lpwstr>
  </property>
</Properties>
</file>