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0A8E78" w14:textId="68E2DB11" w:rsidR="00DB4B16" w:rsidRDefault="00684DB5">
      <w:r>
        <w:t xml:space="preserve">Target is a national clothing, homewares and general merchandise retailer with over 280 bricks and mortar stores across Australia </w:t>
      </w:r>
      <w:r>
        <w:fldChar w:fldCharType="begin"/>
      </w:r>
      <w:r>
        <w:instrText xml:space="preserve"> ADDIN EN.CITE &lt;EndNote&gt;&lt;Cite&gt;&lt;Author&gt;Wesfarmers&lt;/Author&gt;&lt;Year&gt;2019&lt;/Year&gt;&lt;RecNum&gt;6&lt;/RecNum&gt;&lt;DisplayText&gt;(Wesfarmers, 2019)&lt;/DisplayText&gt;&lt;record&gt;&lt;rec-number&gt;6&lt;/rec-number&gt;&lt;foreign-keys&gt;&lt;key app="EN" db-id="ae9dvetve5e9fcef55zvede4sr0t5fzefdat" timestamp="1580424419"&gt;6&lt;/key&gt;&lt;/foreign-keys&gt;&lt;ref-type name="Report"&gt;27&lt;/ref-type&gt;&lt;contributors&gt;&lt;authors&gt;&lt;author&gt;Wesfarmers&lt;/author&gt;&lt;/authors&gt;&lt;/contributors&gt;&lt;titles&gt;&lt;title&gt;2019 Wesfarmers Annual Report&lt;/title&gt;&lt;/titles&gt;&lt;dates&gt;&lt;year&gt;2019&lt;/year&gt;&lt;/dates&gt;&lt;urls&gt;&lt;related-urls&gt;&lt;url&gt;https://sitefinity.wesfarmers.com.au/docs/default-source/reports/wesfarmers-2019-annual-report.pdf?sfvrsn=2&lt;/url&gt;&lt;/related-urls&gt;&lt;/urls&gt;&lt;/record&gt;&lt;/Cite&gt;&lt;/EndNote&gt;</w:instrText>
      </w:r>
      <w:r>
        <w:fldChar w:fldCharType="separate"/>
      </w:r>
      <w:r>
        <w:rPr>
          <w:noProof/>
        </w:rPr>
        <w:t>(Wesfarmers, 2019)</w:t>
      </w:r>
      <w:r>
        <w:fldChar w:fldCharType="end"/>
      </w:r>
      <w:r>
        <w:t>. Target’s online presence (</w:t>
      </w:r>
      <w:hyperlink r:id="rId5" w:history="1">
        <w:r w:rsidRPr="00684DB5">
          <w:rPr>
            <w:color w:val="0000FF"/>
            <w:u w:val="single"/>
          </w:rPr>
          <w:t>https://www.target.com.au/</w:t>
        </w:r>
      </w:hyperlink>
      <w:r>
        <w:t xml:space="preserve">) </w:t>
      </w:r>
      <w:r w:rsidR="00B747E4">
        <w:t xml:space="preserve">draws heavily on the layout of these </w:t>
      </w:r>
      <w:r w:rsidR="00310139">
        <w:t xml:space="preserve">physical stores, a technique that </w:t>
      </w:r>
      <w:r w:rsidR="00310139">
        <w:fldChar w:fldCharType="begin"/>
      </w:r>
      <w:r w:rsidR="00310139">
        <w:instrText xml:space="preserve"> ADDIN EN.CITE &lt;EndNote&gt;&lt;Cite AuthorYear="1"&gt;&lt;Author&gt;Morville&lt;/Author&gt;&lt;Year&gt;2007&lt;/Year&gt;&lt;RecNum&gt;3&lt;/RecNum&gt;&lt;Pages&gt;92&lt;/Pages&gt;&lt;DisplayText&gt;Morville and Rosenfeld (2007, p. 92)&lt;/DisplayText&gt;&lt;record&gt;&lt;rec-number&gt;3&lt;/rec-number&gt;&lt;foreign-keys&gt;&lt;key app="EN" db-id="ae9dvetve5e9fcef55zvede4sr0t5fzefdat" timestamp="1580420295"&gt;3&lt;/key&gt;&lt;/foreign-keys&gt;&lt;ref-type name="Book"&gt;6&lt;/ref-type&gt;&lt;contributors&gt;&lt;authors&gt;&lt;author&gt;Morville, P&lt;/author&gt;&lt;author&gt;Rosenfeld, L&lt;/author&gt;&lt;/authors&gt;&lt;/contributors&gt;&lt;titles&gt;&lt;title&gt;Information Architecture for the World Wide Web&lt;/title&gt;&lt;/titles&gt;&lt;edition&gt;3rd&lt;/edition&gt;&lt;dates&gt;&lt;year&gt;2007&lt;/year&gt;&lt;/dates&gt;&lt;pub-location&gt;Sebastopol, CA&lt;/pub-location&gt;&lt;publisher&gt;O&amp;apos;Reilly Media, Inc&lt;/publisher&gt;&lt;urls&gt;&lt;/urls&gt;&lt;/record&gt;&lt;/Cite&gt;&lt;/EndNote&gt;</w:instrText>
      </w:r>
      <w:r w:rsidR="00310139">
        <w:fldChar w:fldCharType="separate"/>
      </w:r>
      <w:r w:rsidR="00310139">
        <w:rPr>
          <w:noProof/>
        </w:rPr>
        <w:t>Morville and Rosenfeld (2007, p. 92)</w:t>
      </w:r>
      <w:r w:rsidR="00310139">
        <w:fldChar w:fldCharType="end"/>
      </w:r>
      <w:r w:rsidR="00310139">
        <w:t xml:space="preserve"> describe as </w:t>
      </w:r>
      <w:r w:rsidR="00A85417">
        <w:t>“</w:t>
      </w:r>
      <w:r w:rsidR="00310139">
        <w:t>metaphor</w:t>
      </w:r>
      <w:r w:rsidR="00A85417">
        <w:t>”.</w:t>
      </w:r>
      <w:r w:rsidR="00310139">
        <w:t xml:space="preserve"> This, they argue, allows users to </w:t>
      </w:r>
      <w:r w:rsidR="00310139" w:rsidRPr="00310139">
        <w:t xml:space="preserve"> </w:t>
      </w:r>
      <w:r w:rsidR="00310139">
        <w:t xml:space="preserve">intuitively </w:t>
      </w:r>
      <w:r w:rsidR="00310139" w:rsidRPr="00310139">
        <w:t xml:space="preserve">understand </w:t>
      </w:r>
      <w:r w:rsidR="00310139">
        <w:t xml:space="preserve">the </w:t>
      </w:r>
      <w:r w:rsidR="00310139" w:rsidRPr="00310139">
        <w:t xml:space="preserve">content and function </w:t>
      </w:r>
      <w:r w:rsidR="00310139">
        <w:t xml:space="preserve">of an online store because it is roughly equivalent to a typical physical store </w:t>
      </w:r>
      <w:r w:rsidR="00310139">
        <w:fldChar w:fldCharType="begin"/>
      </w:r>
      <w:r w:rsidR="00310139">
        <w:instrText xml:space="preserve"> ADDIN EN.CITE &lt;EndNote&gt;&lt;Cite&gt;&lt;Author&gt;Morville&lt;/Author&gt;&lt;Year&gt;2007&lt;/Year&gt;&lt;RecNum&gt;3&lt;/RecNum&gt;&lt;Pages&gt;92&lt;/Pages&gt;&lt;DisplayText&gt;(Morville &amp;amp; Rosenfeld, 2007, p. 92)&lt;/DisplayText&gt;&lt;record&gt;&lt;rec-number&gt;3&lt;/rec-number&gt;&lt;foreign-keys&gt;&lt;key app="EN" db-id="ae9dvetve5e9fcef55zvede4sr0t5fzefdat" timestamp="1580420295"&gt;3&lt;/key&gt;&lt;/foreign-keys&gt;&lt;ref-type name="Book"&gt;6&lt;/ref-type&gt;&lt;contributors&gt;&lt;authors&gt;&lt;author&gt;Morville, P&lt;/author&gt;&lt;author&gt;Rosenfeld, L&lt;/author&gt;&lt;/authors&gt;&lt;/contributors&gt;&lt;titles&gt;&lt;title&gt;Information Architecture for the World Wide Web&lt;/title&gt;&lt;/titles&gt;&lt;edition&gt;3rd&lt;/edition&gt;&lt;dates&gt;&lt;year&gt;2007&lt;/year&gt;&lt;/dates&gt;&lt;pub-location&gt;Sebastopol, CA&lt;/pub-location&gt;&lt;publisher&gt;O&amp;apos;Reilly Media, Inc&lt;/publisher&gt;&lt;urls&gt;&lt;/urls&gt;&lt;/record&gt;&lt;/Cite&gt;&lt;/EndNote&gt;</w:instrText>
      </w:r>
      <w:r w:rsidR="00310139">
        <w:fldChar w:fldCharType="separate"/>
      </w:r>
      <w:r w:rsidR="00310139">
        <w:rPr>
          <w:noProof/>
        </w:rPr>
        <w:t>(Morville &amp; Rosenfeld, 2007, p. 92)</w:t>
      </w:r>
      <w:r w:rsidR="00310139">
        <w:fldChar w:fldCharType="end"/>
      </w:r>
      <w:r w:rsidR="00310139">
        <w:t>.</w:t>
      </w:r>
      <w:r w:rsidR="00D3365F">
        <w:t xml:space="preserve"> </w:t>
      </w:r>
      <w:r w:rsidR="0081219E">
        <w:t>I</w:t>
      </w:r>
      <w:r w:rsidR="00446067">
        <w:t>n both cases,</w:t>
      </w:r>
      <w:r w:rsidR="0081219E">
        <w:t xml:space="preserve"> for example,</w:t>
      </w:r>
      <w:r w:rsidR="00446067">
        <w:t xml:space="preserve"> </w:t>
      </w:r>
      <w:r w:rsidR="00D3365F">
        <w:t xml:space="preserve">merchandise is categorised into departments such as </w:t>
      </w:r>
      <w:r w:rsidR="0017688C">
        <w:t>“</w:t>
      </w:r>
      <w:r w:rsidR="00D3365F">
        <w:t>Women</w:t>
      </w:r>
      <w:r w:rsidR="0017688C">
        <w:t>”</w:t>
      </w:r>
      <w:r w:rsidR="00D3365F">
        <w:t xml:space="preserve">, </w:t>
      </w:r>
      <w:r w:rsidR="0017688C">
        <w:t>“</w:t>
      </w:r>
      <w:r w:rsidR="00D3365F">
        <w:t>Kids</w:t>
      </w:r>
      <w:r w:rsidR="0017688C">
        <w:t>”</w:t>
      </w:r>
      <w:r w:rsidR="00D3365F">
        <w:t xml:space="preserve">, </w:t>
      </w:r>
      <w:r w:rsidR="0017688C">
        <w:t>“</w:t>
      </w:r>
      <w:r w:rsidR="00D3365F">
        <w:t>Toys</w:t>
      </w:r>
      <w:r w:rsidR="0017688C">
        <w:t>”</w:t>
      </w:r>
      <w:r w:rsidR="00D3365F">
        <w:t xml:space="preserve"> and </w:t>
      </w:r>
      <w:r w:rsidR="0017688C">
        <w:t>“</w:t>
      </w:r>
      <w:r w:rsidR="00D3365F">
        <w:t>Entertainment</w:t>
      </w:r>
      <w:r w:rsidR="0017688C">
        <w:t>”</w:t>
      </w:r>
      <w:r w:rsidR="00446067">
        <w:t>.</w:t>
      </w:r>
      <w:r w:rsidR="00E17666">
        <w:t xml:space="preserve"> These taxon</w:t>
      </w:r>
      <w:r w:rsidR="00B20648">
        <w:t xml:space="preserve">omies, are a central </w:t>
      </w:r>
      <w:r w:rsidR="00B85C75">
        <w:t>plank</w:t>
      </w:r>
      <w:r w:rsidR="00B20648">
        <w:t xml:space="preserve"> of the Information Architecture</w:t>
      </w:r>
      <w:r w:rsidR="001F5B6D">
        <w:t xml:space="preserve"> (IA)</w:t>
      </w:r>
      <w:r w:rsidR="0067704E">
        <w:t xml:space="preserve"> of a</w:t>
      </w:r>
      <w:r w:rsidR="007B22CC">
        <w:t xml:space="preserve"> well-designed </w:t>
      </w:r>
      <w:r w:rsidR="00C838A1">
        <w:t xml:space="preserve">website </w:t>
      </w:r>
      <w:r w:rsidR="007B22CC">
        <w:fldChar w:fldCharType="begin"/>
      </w:r>
      <w:r w:rsidR="002B200B">
        <w:instrText xml:space="preserve"> ADDIN EN.CITE &lt;EndNote&gt;&lt;Cite&gt;&lt;Author&gt;Morville&lt;/Author&gt;&lt;Year&gt;2007&lt;/Year&gt;&lt;RecNum&gt;3&lt;/RecNum&gt;&lt;Pages&gt;95&lt;/Pages&gt;&lt;DisplayText&gt;(Bigby, 2016; Morville &amp;amp; Rosenfeld, 2007, p. 95)&lt;/DisplayText&gt;&lt;record&gt;&lt;rec-number&gt;3&lt;/rec-number&gt;&lt;foreign-keys&gt;&lt;key app="EN" db-id="ae9dvetve5e9fcef55zvede4sr0t5fzefdat" timestamp="1580420295"&gt;3&lt;/key&gt;&lt;/foreign-keys&gt;&lt;ref-type name="Book"&gt;6&lt;/ref-type&gt;&lt;contributors&gt;&lt;authors&gt;&lt;author&gt;Morville, P&lt;/author&gt;&lt;author&gt;Rosenfeld, L&lt;/author&gt;&lt;/authors&gt;&lt;/contributors&gt;&lt;titles&gt;&lt;title&gt;Information Architecture for the World Wide Web&lt;/title&gt;&lt;/titles&gt;&lt;edition&gt;3rd&lt;/edition&gt;&lt;dates&gt;&lt;year&gt;2007&lt;/year&gt;&lt;/dates&gt;&lt;pub-location&gt;Sebastopol, CA&lt;/pub-location&gt;&lt;publisher&gt;O&amp;apos;Reilly Media, Inc&lt;/publisher&gt;&lt;urls&gt;&lt;/urls&gt;&lt;/record&gt;&lt;/Cite&gt;&lt;Cite&gt;&lt;Author&gt;Bigby&lt;/Author&gt;&lt;Year&gt;2016&lt;/Year&gt;&lt;RecNum&gt;1&lt;/RecNum&gt;&lt;record&gt;&lt;rec-number&gt;1&lt;/rec-number&gt;&lt;foreign-keys&gt;&lt;key app="EN" db-id="ae9dvetve5e9fcef55zvede4sr0t5fzefdat" timestamp="1580415095"&gt;1&lt;/key&gt;&lt;/foreign-keys&gt;&lt;ref-type name="Blog"&gt;56&lt;/ref-type&gt;&lt;contributors&gt;&lt;authors&gt;&lt;author&gt;Bigby, G&lt;/author&gt;&lt;/authors&gt;&lt;/contributors&gt;&lt;titles&gt;&lt;title&gt;What is the Difference Between Navigation &amp;amp; Information Architecture (IA)?&lt;/title&gt;&lt;secondary-title&gt;The User Experience Blog for Website Architecture Planning&lt;/secondary-title&gt;&lt;/titles&gt;&lt;volume&gt;2020&lt;/volume&gt;&lt;number&gt;31 January&lt;/number&gt;&lt;dates&gt;&lt;year&gt;2016&lt;/year&gt;&lt;/dates&gt;&lt;pub-location&gt;Chicago, IL&lt;/pub-location&gt;&lt;urls&gt;&lt;related-urls&gt;&lt;url&gt;https://dynomapper.com/blog/19-ux/177-navigation-vs-information-architecture-ia&lt;/url&gt;&lt;/related-urls&gt;&lt;/urls&gt;&lt;access-date&gt;31 January 2020&lt;/access-date&gt;&lt;/record&gt;&lt;/Cite&gt;&lt;/EndNote&gt;</w:instrText>
      </w:r>
      <w:r w:rsidR="007B22CC">
        <w:fldChar w:fldCharType="separate"/>
      </w:r>
      <w:r w:rsidR="002B200B">
        <w:rPr>
          <w:noProof/>
        </w:rPr>
        <w:t>(Bigby, 2016; Morville &amp; Rosenfeld, 2007, p. 95)</w:t>
      </w:r>
      <w:r w:rsidR="007B22CC">
        <w:fldChar w:fldCharType="end"/>
      </w:r>
      <w:r w:rsidR="00B85C75">
        <w:t xml:space="preserve">. </w:t>
      </w:r>
      <w:r w:rsidR="00B35259">
        <w:t>Navigation, on the other hand,</w:t>
      </w:r>
      <w:r w:rsidR="002E10BA">
        <w:t xml:space="preserve"> is the assortment of components </w:t>
      </w:r>
      <w:r w:rsidR="00936AD5">
        <w:t>that form the user interface</w:t>
      </w:r>
      <w:r w:rsidR="00C55E13">
        <w:t>, allowing</w:t>
      </w:r>
      <w:r w:rsidR="00E43692">
        <w:t xml:space="preserve"> users to find information</w:t>
      </w:r>
      <w:r w:rsidR="00CA5A1D">
        <w:t xml:space="preserve"> and </w:t>
      </w:r>
      <w:r w:rsidR="0099254C">
        <w:t xml:space="preserve">(hopefully) perform an action such buying a product </w:t>
      </w:r>
      <w:r w:rsidR="0097482D">
        <w:fldChar w:fldCharType="begin"/>
      </w:r>
      <w:r w:rsidR="0097482D">
        <w:instrText xml:space="preserve"> ADDIN EN.CITE &lt;EndNote&gt;&lt;Cite&gt;&lt;Author&gt;Bigby&lt;/Author&gt;&lt;Year&gt;2016&lt;/Year&gt;&lt;RecNum&gt;1&lt;/RecNum&gt;&lt;DisplayText&gt;(Bigby, 2016)&lt;/DisplayText&gt;&lt;record&gt;&lt;rec-number&gt;1&lt;/rec-number&gt;&lt;foreign-keys&gt;&lt;key app="EN" db-id="ae9dvetve5e9fcef55zvede4sr0t5fzefdat" timestamp="1580415095"&gt;1&lt;/key&gt;&lt;/foreign-keys&gt;&lt;ref-type name="Blog"&gt;56&lt;/ref-type&gt;&lt;contributors&gt;&lt;authors&gt;&lt;author&gt;Bigby, G&lt;/author&gt;&lt;/authors&gt;&lt;/contributors&gt;&lt;titles&gt;&lt;title&gt;What is the Difference Between Navigation &amp;amp; Information Architecture (IA)?&lt;/title&gt;&lt;secondary-title&gt;The User Experience Blog for Website Architecture Planning&lt;/secondary-title&gt;&lt;/titles&gt;&lt;volume&gt;2020&lt;/volume&gt;&lt;number&gt;31 January&lt;/number&gt;&lt;dates&gt;&lt;year&gt;2016&lt;/year&gt;&lt;/dates&gt;&lt;pub-location&gt;Chicago, IL&lt;/pub-location&gt;&lt;urls&gt;&lt;related-urls&gt;&lt;url&gt;https://dynomapper.com/blog/19-ux/177-navigation-vs-information-architecture-ia&lt;/url&gt;&lt;/related-urls&gt;&lt;/urls&gt;&lt;access-date&gt;31 January 2020&lt;/access-date&gt;&lt;/record&gt;&lt;/Cite&gt;&lt;/EndNote&gt;</w:instrText>
      </w:r>
      <w:r w:rsidR="0097482D">
        <w:fldChar w:fldCharType="separate"/>
      </w:r>
      <w:r w:rsidR="0097482D">
        <w:rPr>
          <w:noProof/>
        </w:rPr>
        <w:t>(Bigby, 2016)</w:t>
      </w:r>
      <w:r w:rsidR="0097482D">
        <w:fldChar w:fldCharType="end"/>
      </w:r>
      <w:r w:rsidR="0097482D">
        <w:t>.</w:t>
      </w:r>
      <w:r w:rsidR="006A01CC">
        <w:t xml:space="preserve"> </w:t>
      </w:r>
      <w:r w:rsidR="00DB4B16">
        <w:t xml:space="preserve">The relationship between </w:t>
      </w:r>
      <w:r w:rsidR="001F5B6D">
        <w:t>IA and navigation</w:t>
      </w:r>
      <w:r w:rsidR="009214C6">
        <w:t xml:space="preserve"> is symbiotic</w:t>
      </w:r>
      <w:r w:rsidR="00D108CD">
        <w:t xml:space="preserve">. </w:t>
      </w:r>
      <w:r w:rsidR="00AD29D9">
        <w:t xml:space="preserve">While </w:t>
      </w:r>
      <w:r w:rsidR="00AD29D9">
        <w:fldChar w:fldCharType="begin"/>
      </w:r>
      <w:r w:rsidR="00AD29D9">
        <w:instrText xml:space="preserve"> ADDIN EN.CITE &lt;EndNote&gt;&lt;Cite AuthorYear="1"&gt;&lt;Author&gt;Morville&lt;/Author&gt;&lt;Year&gt;2007&lt;/Year&gt;&lt;RecNum&gt;3&lt;/RecNum&gt;&lt;DisplayText&gt;Morville and Rosenfeld (2007)&lt;/DisplayText&gt;&lt;record&gt;&lt;rec-number&gt;3&lt;/rec-number&gt;&lt;foreign-keys&gt;&lt;key app="EN" db-id="ae9dvetve5e9fcef55zvede4sr0t5fzefdat" timestamp="1580420295"&gt;3&lt;/key&gt;&lt;/foreign-keys&gt;&lt;ref-type name="Book"&gt;6&lt;/ref-type&gt;&lt;contributors&gt;&lt;authors&gt;&lt;author&gt;Morville, P&lt;/author&gt;&lt;author&gt;Rosenfeld, L&lt;/author&gt;&lt;/authors&gt;&lt;/contributors&gt;&lt;titles&gt;&lt;title&gt;Information Architecture for the World Wide Web&lt;/title&gt;&lt;/titles&gt;&lt;edition&gt;3rd&lt;/edition&gt;&lt;dates&gt;&lt;year&gt;2007&lt;/year&gt;&lt;/dates&gt;&lt;pub-location&gt;Sebastopol, CA&lt;/pub-location&gt;&lt;publisher&gt;O&amp;apos;Reilly Media, Inc&lt;/publisher&gt;&lt;urls&gt;&lt;/urls&gt;&lt;/record&gt;&lt;/Cite&gt;&lt;/EndNote&gt;</w:instrText>
      </w:r>
      <w:r w:rsidR="00AD29D9">
        <w:fldChar w:fldCharType="separate"/>
      </w:r>
      <w:r w:rsidR="00AD29D9">
        <w:rPr>
          <w:noProof/>
        </w:rPr>
        <w:t>Morville and Rosenfeld (2007)</w:t>
      </w:r>
      <w:r w:rsidR="00AD29D9">
        <w:fldChar w:fldCharType="end"/>
      </w:r>
      <w:r w:rsidR="00AD29D9">
        <w:t xml:space="preserve"> generally argue</w:t>
      </w:r>
      <w:r w:rsidR="005A7FD4">
        <w:t xml:space="preserve"> for the primacy of IA over navigation, </w:t>
      </w:r>
      <w:r w:rsidR="005A7FD4">
        <w:fldChar w:fldCharType="begin"/>
      </w:r>
      <w:r w:rsidR="005A7FD4">
        <w:instrText xml:space="preserve"> ADDIN EN.CITE &lt;EndNote&gt;&lt;Cite AuthorYear="1"&gt;&lt;Author&gt;Bigby&lt;/Author&gt;&lt;Year&gt;2016&lt;/Year&gt;&lt;RecNum&gt;1&lt;/RecNum&gt;&lt;DisplayText&gt;Bigby (2016)&lt;/DisplayText&gt;&lt;record&gt;&lt;rec-number&gt;1&lt;/rec-number&gt;&lt;foreign-keys&gt;&lt;key app="EN" db-id="ae9dvetve5e9fcef55zvede4sr0t5fzefdat" timestamp="1580415095"&gt;1&lt;/key&gt;&lt;/foreign-keys&gt;&lt;ref-type name="Blog"&gt;56&lt;/ref-type&gt;&lt;contributors&gt;&lt;authors&gt;&lt;author&gt;Bigby, G&lt;/author&gt;&lt;/authors&gt;&lt;/contributors&gt;&lt;titles&gt;&lt;title&gt;What is the Difference Between Navigation &amp;amp; Information Architecture (IA)?&lt;/title&gt;&lt;secondary-title&gt;The User Experience Blog for Website Architecture Planning&lt;/secondary-title&gt;&lt;/titles&gt;&lt;volume&gt;2020&lt;/volume&gt;&lt;number&gt;31 January&lt;/number&gt;&lt;dates&gt;&lt;year&gt;2016&lt;/year&gt;&lt;/dates&gt;&lt;pub-location&gt;Chicago, IL&lt;/pub-location&gt;&lt;urls&gt;&lt;related-urls&gt;&lt;url&gt;https://dynomapper.com/blog/19-ux/177-navigation-vs-information-architecture-ia&lt;/url&gt;&lt;/related-urls&gt;&lt;/urls&gt;&lt;access-date&gt;31 January 2020&lt;/access-date&gt;&lt;/record&gt;&lt;/Cite&gt;&lt;/EndNote&gt;</w:instrText>
      </w:r>
      <w:r w:rsidR="005A7FD4">
        <w:fldChar w:fldCharType="separate"/>
      </w:r>
      <w:r w:rsidR="005A7FD4">
        <w:rPr>
          <w:noProof/>
        </w:rPr>
        <w:t>Bigby (2016)</w:t>
      </w:r>
      <w:r w:rsidR="005A7FD4">
        <w:fldChar w:fldCharType="end"/>
      </w:r>
      <w:r w:rsidR="00A36078">
        <w:t xml:space="preserve"> </w:t>
      </w:r>
      <w:r w:rsidR="00155EDE">
        <w:t>posits</w:t>
      </w:r>
      <w:r w:rsidR="00A36078">
        <w:t xml:space="preserve"> a more harmonious association</w:t>
      </w:r>
      <w:r w:rsidR="00874976">
        <w:t>,</w:t>
      </w:r>
      <w:r w:rsidR="00A36078">
        <w:t xml:space="preserve"> where </w:t>
      </w:r>
      <w:r w:rsidR="004C35AF">
        <w:t>IA and navigation</w:t>
      </w:r>
      <w:r w:rsidR="00015170">
        <w:t xml:space="preserve"> necessarily</w:t>
      </w:r>
      <w:r w:rsidR="004C35AF">
        <w:t xml:space="preserve"> inform the design of the other during the development process.</w:t>
      </w:r>
    </w:p>
    <w:p w14:paraId="631149D9" w14:textId="723A9985" w:rsidR="002C5300" w:rsidRDefault="002208F8">
      <w:r>
        <w:fldChar w:fldCharType="begin"/>
      </w:r>
      <w:r>
        <w:instrText xml:space="preserve"> ADDIN EN.CITE &lt;EndNote&gt;&lt;Cite AuthorYear="1"&gt;&lt;Author&gt;Kalbach&lt;/Author&gt;&lt;Year&gt;2007&lt;/Year&gt;&lt;RecNum&gt;2&lt;/RecNum&gt;&lt;DisplayText&gt;Kalbach (2007)&lt;/DisplayText&gt;&lt;record&gt;&lt;rec-number&gt;2&lt;/rec-number&gt;&lt;foreign-keys&gt;&lt;key app="EN" db-id="ae9dvetve5e9fcef55zvede4sr0t5fzefdat" timestamp="1580416156"&gt;2&lt;/key&gt;&lt;/foreign-keys&gt;&lt;ref-type name="Book"&gt;6&lt;/ref-type&gt;&lt;contributors&gt;&lt;authors&gt;&lt;author&gt;Kalbach, J&lt;/author&gt;&lt;/authors&gt;&lt;/contributors&gt;&lt;titles&gt;&lt;title&gt;Designing web navigation&lt;/title&gt;&lt;/titles&gt;&lt;dates&gt;&lt;year&gt;2007&lt;/year&gt;&lt;/dates&gt;&lt;pub-location&gt;Sebastopol, CA&lt;/pub-location&gt;&lt;publisher&gt;O&amp;apos;Reilly Media, Inc&lt;/publisher&gt;&lt;urls&gt;&lt;/urls&gt;&lt;/record&gt;&lt;/Cite&gt;&lt;/EndNote&gt;</w:instrText>
      </w:r>
      <w:r>
        <w:fldChar w:fldCharType="separate"/>
      </w:r>
      <w:r>
        <w:rPr>
          <w:noProof/>
        </w:rPr>
        <w:t>Kalbach (2007)</w:t>
      </w:r>
      <w:r>
        <w:fldChar w:fldCharType="end"/>
      </w:r>
      <w:r w:rsidR="0093485C">
        <w:t xml:space="preserve"> describes three primary categories of navigation</w:t>
      </w:r>
      <w:r w:rsidR="00E854A1">
        <w:t>: structural, associative and utility.</w:t>
      </w:r>
      <w:r w:rsidR="00B51B51">
        <w:t xml:space="preserve"> </w:t>
      </w:r>
      <w:r w:rsidR="000E69AE">
        <w:fldChar w:fldCharType="begin"/>
      </w:r>
      <w:r w:rsidR="00FB1DFC">
        <w:instrText xml:space="preserve"> ADDIN EN.CITE &lt;EndNote&gt;&lt;Cite AuthorYear="1"&gt;&lt;Author&gt;Morville&lt;/Author&gt;&lt;Year&gt;2007&lt;/Year&gt;&lt;RecNum&gt;3&lt;/RecNum&gt;&lt;Pages&gt;144&lt;/Pages&gt;&lt;DisplayText&gt;Morville and Rosenfeld (2007, p. 144)&lt;/DisplayText&gt;&lt;record&gt;&lt;rec-number&gt;3&lt;/rec-number&gt;&lt;foreign-keys&gt;&lt;key app="EN" db-id="ae9dvetve5e9fcef55zvede4sr0t5fzefdat" timestamp="1580420295"&gt;3&lt;/key&gt;&lt;/foreign-keys&gt;&lt;ref-type name="Book"&gt;6&lt;/ref-type&gt;&lt;contributors&gt;&lt;authors&gt;&lt;author&gt;Morville, P&lt;/author&gt;&lt;author&gt;Rosenfeld, L&lt;/author&gt;&lt;/authors&gt;&lt;/contributors&gt;&lt;titles&gt;&lt;title&gt;Information Architecture for the World Wide Web&lt;/title&gt;&lt;/titles&gt;&lt;edition&gt;3rd&lt;/edition&gt;&lt;dates&gt;&lt;year&gt;2007&lt;/year&gt;&lt;/dates&gt;&lt;pub-location&gt;Sebastopol, CA&lt;/pub-location&gt;&lt;publisher&gt;O&amp;apos;Reilly Media, Inc&lt;/publisher&gt;&lt;urls&gt;&lt;/urls&gt;&lt;/record&gt;&lt;/Cite&gt;&lt;/EndNote&gt;</w:instrText>
      </w:r>
      <w:r w:rsidR="000E69AE">
        <w:fldChar w:fldCharType="separate"/>
      </w:r>
      <w:r w:rsidR="00FB1DFC">
        <w:rPr>
          <w:noProof/>
        </w:rPr>
        <w:t>Morville and Rosenfeld (2007, p. 144)</w:t>
      </w:r>
      <w:r w:rsidR="000E69AE">
        <w:fldChar w:fldCharType="end"/>
      </w:r>
      <w:r w:rsidR="00E65ACD">
        <w:t xml:space="preserve">, on the other hand, </w:t>
      </w:r>
      <w:r w:rsidR="00532C5C">
        <w:t>suggest</w:t>
      </w:r>
      <w:r w:rsidR="00DC1800">
        <w:t xml:space="preserve"> </w:t>
      </w:r>
      <w:r w:rsidR="00AF216C">
        <w:t xml:space="preserve">a slightly different but related </w:t>
      </w:r>
      <w:r w:rsidR="001A4B2E">
        <w:t xml:space="preserve">taxonomy: global, local and embedded. For the purposes of </w:t>
      </w:r>
      <w:r w:rsidR="0068756F">
        <w:t>analysing the Target website</w:t>
      </w:r>
      <w:r w:rsidR="001A4B2E">
        <w:t>,</w:t>
      </w:r>
      <w:r w:rsidR="00344180">
        <w:t xml:space="preserve"> </w:t>
      </w:r>
      <w:r w:rsidR="001A4B2E">
        <w:t>I will use</w:t>
      </w:r>
      <w:r w:rsidR="002761B2">
        <w:t xml:space="preserve"> the </w:t>
      </w:r>
      <w:r w:rsidR="002C5300">
        <w:t>system</w:t>
      </w:r>
      <w:r w:rsidR="002761B2">
        <w:t xml:space="preserve"> proposed by</w:t>
      </w:r>
      <w:r w:rsidR="001A4B2E">
        <w:t xml:space="preserve"> </w:t>
      </w:r>
      <w:r w:rsidR="002761B2">
        <w:fldChar w:fldCharType="begin"/>
      </w:r>
      <w:r w:rsidR="002761B2">
        <w:instrText xml:space="preserve"> ADDIN EN.CITE &lt;EndNote&gt;&lt;Cite AuthorYear="1"&gt;&lt;Author&gt;Kalbach&lt;/Author&gt;&lt;Year&gt;2007&lt;/Year&gt;&lt;RecNum&gt;2&lt;/RecNum&gt;&lt;DisplayText&gt;Kalbach (2007)&lt;/DisplayText&gt;&lt;record&gt;&lt;rec-number&gt;2&lt;/rec-number&gt;&lt;foreign-keys&gt;&lt;key app="EN" db-id="ae9dvetve5e9fcef55zvede4sr0t5fzefdat" timestamp="1580416156"&gt;2&lt;/key&gt;&lt;/foreign-keys&gt;&lt;ref-type name="Book"&gt;6&lt;/ref-type&gt;&lt;contributors&gt;&lt;authors&gt;&lt;author&gt;Kalbach, J&lt;/author&gt;&lt;/authors&gt;&lt;/contributors&gt;&lt;titles&gt;&lt;title&gt;Designing web navigation&lt;/title&gt;&lt;/titles&gt;&lt;dates&gt;&lt;year&gt;2007&lt;/year&gt;&lt;/dates&gt;&lt;pub-location&gt;Sebastopol, CA&lt;/pub-location&gt;&lt;publisher&gt;O&amp;apos;Reilly Media, Inc&lt;/publisher&gt;&lt;urls&gt;&lt;/urls&gt;&lt;/record&gt;&lt;/Cite&gt;&lt;/EndNote&gt;</w:instrText>
      </w:r>
      <w:r w:rsidR="002761B2">
        <w:fldChar w:fldCharType="separate"/>
      </w:r>
      <w:r w:rsidR="002761B2">
        <w:rPr>
          <w:noProof/>
        </w:rPr>
        <w:t>Kalbach (2007)</w:t>
      </w:r>
      <w:r w:rsidR="002761B2">
        <w:fldChar w:fldCharType="end"/>
      </w:r>
      <w:r w:rsidR="002761B2">
        <w:t>.</w:t>
      </w:r>
    </w:p>
    <w:p w14:paraId="09701633" w14:textId="4D2073DC" w:rsidR="000E2AB5" w:rsidRDefault="00353FF4" w:rsidP="000E2AB5">
      <w:pPr>
        <w:pStyle w:val="ListParagraph"/>
        <w:numPr>
          <w:ilvl w:val="0"/>
          <w:numId w:val="1"/>
        </w:numPr>
      </w:pPr>
      <w:r>
        <w:t xml:space="preserve">Structural </w:t>
      </w:r>
      <w:r w:rsidR="00590684">
        <w:t>navigation allows users</w:t>
      </w:r>
      <w:r w:rsidR="00AC5373">
        <w:t xml:space="preserve"> to move either up or down the website’s </w:t>
      </w:r>
      <w:r w:rsidR="00881C5E">
        <w:t>hierarchy.</w:t>
      </w:r>
      <w:r w:rsidR="00553ED8">
        <w:t xml:space="preserve"> Structural navigation </w:t>
      </w:r>
      <w:r w:rsidR="008450D1">
        <w:t xml:space="preserve">has two subdivisions: </w:t>
      </w:r>
      <w:r w:rsidR="001B7432">
        <w:t>main or global navigation and local navigation.</w:t>
      </w:r>
    </w:p>
    <w:p w14:paraId="14B7408B" w14:textId="66BF6223" w:rsidR="0044027D" w:rsidRDefault="005C004E" w:rsidP="0044027D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3C41B10" wp14:editId="5724C0A4">
            <wp:simplePos x="0" y="0"/>
            <wp:positionH relativeFrom="margin">
              <wp:align>right</wp:align>
            </wp:positionH>
            <wp:positionV relativeFrom="paragraph">
              <wp:posOffset>1926590</wp:posOffset>
            </wp:positionV>
            <wp:extent cx="4905375" cy="448911"/>
            <wp:effectExtent l="0" t="0" r="0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4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F7FD5">
        <w:t>Main navigation leads users</w:t>
      </w:r>
      <w:r w:rsidR="004401DF">
        <w:t xml:space="preserve"> to pages within the site and is </w:t>
      </w:r>
      <w:r w:rsidR="00FB09D8">
        <w:t xml:space="preserve">styled and designed to behave in </w:t>
      </w:r>
      <w:r w:rsidR="0064623C">
        <w:t xml:space="preserve">a </w:t>
      </w:r>
      <w:r w:rsidR="00C57833">
        <w:t>reliable</w:t>
      </w:r>
      <w:r w:rsidR="0064623C">
        <w:t xml:space="preserve"> way. </w:t>
      </w:r>
      <w:r w:rsidR="00B3354D">
        <w:t>Main navigation</w:t>
      </w:r>
      <w:r w:rsidR="00C57833">
        <w:t>, therefore,</w:t>
      </w:r>
      <w:r w:rsidR="009F0ECA">
        <w:t xml:space="preserve"> generally remains unchanged in a consistent position</w:t>
      </w:r>
      <w:r w:rsidR="00337549">
        <w:t xml:space="preserve"> on just about every page of a site</w:t>
      </w:r>
      <w:r w:rsidR="00C57833">
        <w:t xml:space="preserve"> (t</w:t>
      </w:r>
      <w:r w:rsidR="00337549">
        <w:t>he exceptions</w:t>
      </w:r>
      <w:r w:rsidR="008E6ADD">
        <w:t xml:space="preserve"> will be discussed later</w:t>
      </w:r>
      <w:r w:rsidR="00C57833">
        <w:t>)</w:t>
      </w:r>
      <w:r w:rsidR="008E6ADD">
        <w:t>. Main navigation</w:t>
      </w:r>
      <w:r w:rsidR="00CC1C1C">
        <w:t xml:space="preserve"> is designed to answer</w:t>
      </w:r>
      <w:r w:rsidR="00540EA2">
        <w:t xml:space="preserve"> important questions for the user such as “does this site </w:t>
      </w:r>
      <w:r w:rsidR="00E732EB">
        <w:t>contain the</w:t>
      </w:r>
      <w:r w:rsidR="008E7AE1">
        <w:t xml:space="preserve"> information I am looking for?”</w:t>
      </w:r>
      <w:r w:rsidR="00F32332">
        <w:t xml:space="preserve">. It allows users to </w:t>
      </w:r>
      <w:r w:rsidR="00C51324">
        <w:t xml:space="preserve">easily </w:t>
      </w:r>
      <w:r w:rsidR="00F32332">
        <w:t>switch topics</w:t>
      </w:r>
      <w:r w:rsidR="00C51324">
        <w:t xml:space="preserve"> (or in the case of Target) departments</w:t>
      </w:r>
      <w:r w:rsidR="002E6689">
        <w:t>, reminds users of their location within the site if they are interrupted and generally defines the scope</w:t>
      </w:r>
      <w:r w:rsidR="00EB6E3E">
        <w:t xml:space="preserve"> of the website as a whole.</w:t>
      </w:r>
      <w:r w:rsidR="00A7349C">
        <w:t xml:space="preserve"> </w:t>
      </w:r>
      <w:r w:rsidR="00DB6762">
        <w:t>In this case and more generally, t</w:t>
      </w:r>
      <w:r w:rsidR="00A7349C">
        <w:t>here is a strong correlation between</w:t>
      </w:r>
      <w:r w:rsidR="002C0313">
        <w:t xml:space="preserve"> main navigation and how </w:t>
      </w:r>
      <w:r w:rsidR="00DB6762">
        <w:t>the sit</w:t>
      </w:r>
      <w:r w:rsidR="009015A7">
        <w:t>e</w:t>
      </w:r>
      <w:r w:rsidR="00DB6762">
        <w:t xml:space="preserve"> content is organised.</w:t>
      </w:r>
      <w:r w:rsidR="00603415">
        <w:t xml:space="preserve"> An example of main navigation is provided below:</w:t>
      </w:r>
    </w:p>
    <w:p w14:paraId="6BD7BC7D" w14:textId="77777777" w:rsidR="00603415" w:rsidRDefault="00603415" w:rsidP="00603415"/>
    <w:p w14:paraId="64D466ED" w14:textId="792C0CCA" w:rsidR="002D381B" w:rsidRDefault="00AF0EBE" w:rsidP="002D381B">
      <w:pPr>
        <w:pStyle w:val="ListParagraph"/>
        <w:numPr>
          <w:ilvl w:val="1"/>
          <w:numId w:val="1"/>
        </w:numPr>
      </w:pPr>
      <w:r>
        <w:t>An extension of main navigation, l</w:t>
      </w:r>
      <w:r w:rsidR="0040541F">
        <w:t>ocal navigation</w:t>
      </w:r>
      <w:r w:rsidR="009F0338">
        <w:t xml:space="preserve"> is used to access lower levels in the structure</w:t>
      </w:r>
      <w:r w:rsidR="00542BA8">
        <w:t xml:space="preserve"> with a selected category.</w:t>
      </w:r>
      <w:r w:rsidR="00B81BBE">
        <w:t xml:space="preserve"> Local navigation provides </w:t>
      </w:r>
      <w:r w:rsidR="00AB1A9C">
        <w:t>context to the main navigation categories</w:t>
      </w:r>
      <w:r w:rsidR="005967A4">
        <w:t xml:space="preserve"> and gives the first indication of the granularity of the site as a whole.</w:t>
      </w:r>
      <w:r w:rsidR="008B23F2">
        <w:t xml:space="preserve"> </w:t>
      </w:r>
      <w:r w:rsidR="002D534E">
        <w:t>In this case</w:t>
      </w:r>
      <w:r w:rsidR="002D534E">
        <w:t>,</w:t>
      </w:r>
      <w:r w:rsidR="002D534E">
        <w:t xml:space="preserve"> there is a strong correlation between main navigation and how the site content is organised. An example of </w:t>
      </w:r>
      <w:r w:rsidR="001F1253">
        <w:t xml:space="preserve">local </w:t>
      </w:r>
      <w:bookmarkStart w:id="0" w:name="_GoBack"/>
      <w:bookmarkEnd w:id="0"/>
      <w:r w:rsidR="002D534E">
        <w:t>navigation is provided below:</w:t>
      </w:r>
    </w:p>
    <w:p w14:paraId="76D649C4" w14:textId="77777777" w:rsidR="00BF0819" w:rsidRDefault="00BF0819" w:rsidP="00BF0819">
      <w:pPr>
        <w:pStyle w:val="ListParagraph"/>
      </w:pPr>
    </w:p>
    <w:p w14:paraId="25DEFE80" w14:textId="58EBBD91" w:rsidR="00BF0819" w:rsidRDefault="00BF0819" w:rsidP="00BF0819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A6057E3" wp14:editId="5AC131D0">
            <wp:simplePos x="0" y="0"/>
            <wp:positionH relativeFrom="column">
              <wp:posOffset>638828</wp:posOffset>
            </wp:positionH>
            <wp:positionV relativeFrom="paragraph">
              <wp:posOffset>0</wp:posOffset>
            </wp:positionV>
            <wp:extent cx="1810976" cy="19050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976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8B48A1" w14:textId="46BBB6A2" w:rsidR="002D381B" w:rsidRDefault="0059236C" w:rsidP="002D381B">
      <w:pPr>
        <w:pStyle w:val="ListParagraph"/>
        <w:numPr>
          <w:ilvl w:val="0"/>
          <w:numId w:val="1"/>
        </w:numPr>
      </w:pPr>
      <w:r>
        <w:t>Associative navigation</w:t>
      </w:r>
      <w:r w:rsidR="00496953">
        <w:t xml:space="preserve"> makes </w:t>
      </w:r>
      <w:r w:rsidR="00442EED">
        <w:t>connections across</w:t>
      </w:r>
      <w:r w:rsidR="007A79DD">
        <w:t xml:space="preserve"> levels of the site </w:t>
      </w:r>
      <w:r w:rsidR="00D42FE1">
        <w:t>hierarchy.</w:t>
      </w:r>
      <w:r w:rsidR="00F3251B">
        <w:t xml:space="preserve"> The </w:t>
      </w:r>
      <w:r w:rsidR="00BF0DFD">
        <w:t>four types</w:t>
      </w:r>
      <w:r w:rsidR="00F3251B">
        <w:t xml:space="preserve"> types of associative navigation are contextual</w:t>
      </w:r>
      <w:r w:rsidR="000968DD">
        <w:t xml:space="preserve">, </w:t>
      </w:r>
      <w:r w:rsidR="00BF0DFD">
        <w:t xml:space="preserve">adaptive, </w:t>
      </w:r>
      <w:r w:rsidR="000968DD">
        <w:t>quick links and footer navigation.</w:t>
      </w:r>
    </w:p>
    <w:p w14:paraId="5F65652C" w14:textId="26EBF450" w:rsidR="00EC39D9" w:rsidRDefault="00F03E0E" w:rsidP="00EC39D9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3A4F400" wp14:editId="3DEB0215">
            <wp:simplePos x="0" y="0"/>
            <wp:positionH relativeFrom="column">
              <wp:posOffset>629625</wp:posOffset>
            </wp:positionH>
            <wp:positionV relativeFrom="paragraph">
              <wp:posOffset>1432739</wp:posOffset>
            </wp:positionV>
            <wp:extent cx="5086985" cy="626110"/>
            <wp:effectExtent l="0" t="0" r="0" b="254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985" cy="6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1DD4">
        <w:t>Contextual navigation is situational and can link to similar pages at the same level</w:t>
      </w:r>
      <w:r w:rsidR="00BE5731">
        <w:t xml:space="preserve">, new content areas or a new site altogether. </w:t>
      </w:r>
      <w:r w:rsidR="00FA3A4D">
        <w:t xml:space="preserve">Target </w:t>
      </w:r>
      <w:r w:rsidR="00784646">
        <w:t xml:space="preserve">is </w:t>
      </w:r>
      <w:r w:rsidR="000160BB">
        <w:t>controlled</w:t>
      </w:r>
      <w:r w:rsidR="003750E0">
        <w:t xml:space="preserve"> by the Wesfarmers </w:t>
      </w:r>
      <w:r w:rsidR="00F26B39">
        <w:t>Group</w:t>
      </w:r>
      <w:r w:rsidR="00494783">
        <w:t xml:space="preserve"> </w:t>
      </w:r>
      <w:r w:rsidR="00494783">
        <w:fldChar w:fldCharType="begin"/>
      </w:r>
      <w:r w:rsidR="00494783">
        <w:instrText xml:space="preserve"> ADDIN EN.CITE &lt;EndNote&gt;&lt;Cite&gt;&lt;Author&gt;Wesfarmers&lt;/Author&gt;&lt;Year&gt;2019&lt;/Year&gt;&lt;RecNum&gt;6&lt;/RecNum&gt;&lt;DisplayText&gt;(Wesfarmers, 2019)&lt;/DisplayText&gt;&lt;record&gt;&lt;rec-number&gt;6&lt;/rec-number&gt;&lt;foreign-keys&gt;&lt;key app="EN" db-id="ae9dvetve5e9fcef55zvede4sr0t5fzefdat" timestamp="1580424419"&gt;6&lt;/key&gt;&lt;/foreign-keys&gt;&lt;ref-type name="Report"&gt;27&lt;/ref-type&gt;&lt;contributors&gt;&lt;authors&gt;&lt;author&gt;Wesfarmers&lt;/author&gt;&lt;/authors&gt;&lt;/contributors&gt;&lt;titles&gt;&lt;title&gt;2019 Wesfarmers Annual Report&lt;/title&gt;&lt;/titles&gt;&lt;dates&gt;&lt;year&gt;2019&lt;/year&gt;&lt;/dates&gt;&lt;urls&gt;&lt;related-urls&gt;&lt;url&gt;https://sitefinity.wesfarmers.com.au/docs/default-source/reports/wesfarmers-2019-annual-report.pdf?sfvrsn=2&lt;/url&gt;&lt;/related-urls&gt;&lt;/urls&gt;&lt;/record&gt;&lt;/Cite&gt;&lt;/EndNote&gt;</w:instrText>
      </w:r>
      <w:r w:rsidR="00494783">
        <w:fldChar w:fldCharType="separate"/>
      </w:r>
      <w:r w:rsidR="00494783">
        <w:rPr>
          <w:noProof/>
        </w:rPr>
        <w:t>(Wesfarmers, 2019)</w:t>
      </w:r>
      <w:r w:rsidR="00494783">
        <w:fldChar w:fldCharType="end"/>
      </w:r>
      <w:r w:rsidR="00CE4689">
        <w:t xml:space="preserve"> which also owns </w:t>
      </w:r>
      <w:r w:rsidR="00C97557">
        <w:t xml:space="preserve">Catch Group Holdings, </w:t>
      </w:r>
      <w:r w:rsidR="002126B5">
        <w:t>an online shopping and customised delivery platform</w:t>
      </w:r>
      <w:r w:rsidR="0029561F">
        <w:t xml:space="preserve">. </w:t>
      </w:r>
      <w:r w:rsidR="00B86F73">
        <w:t xml:space="preserve">There is </w:t>
      </w:r>
      <w:r w:rsidR="00023E80">
        <w:t>a weak</w:t>
      </w:r>
      <w:r w:rsidR="00B86F73">
        <w:t xml:space="preserve"> if any correlation between this form of navigation</w:t>
      </w:r>
      <w:r w:rsidR="00012D93">
        <w:t xml:space="preserve"> and how the Target site is organised. </w:t>
      </w:r>
      <w:r w:rsidR="0029561F">
        <w:t xml:space="preserve">A contextual link to </w:t>
      </w:r>
      <w:r w:rsidR="005C233A">
        <w:t xml:space="preserve">catch.com.au </w:t>
      </w:r>
      <w:r w:rsidR="00B670E9">
        <w:t xml:space="preserve">which </w:t>
      </w:r>
      <w:r w:rsidR="005C233A">
        <w:t>appears below the main navigation of the</w:t>
      </w:r>
      <w:r w:rsidR="00B670E9">
        <w:t xml:space="preserve"> Target site is shown below:</w:t>
      </w:r>
    </w:p>
    <w:p w14:paraId="56ABB10B" w14:textId="678B8196" w:rsidR="00B670E9" w:rsidRDefault="00B670E9" w:rsidP="00B670E9"/>
    <w:p w14:paraId="23C0759C" w14:textId="55BB735E" w:rsidR="00603415" w:rsidRDefault="00016408" w:rsidP="00A075CD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931E5D2" wp14:editId="57A543DE">
            <wp:simplePos x="0" y="0"/>
            <wp:positionH relativeFrom="margin">
              <wp:align>right</wp:align>
            </wp:positionH>
            <wp:positionV relativeFrom="paragraph">
              <wp:posOffset>1250556</wp:posOffset>
            </wp:positionV>
            <wp:extent cx="5009515" cy="1384935"/>
            <wp:effectExtent l="0" t="0" r="635" b="571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2578">
        <w:t>Adaptive navigation</w:t>
      </w:r>
      <w:r w:rsidR="00D54DDF">
        <w:t xml:space="preserve"> is a</w:t>
      </w:r>
      <w:r w:rsidR="00393FFA">
        <w:t xml:space="preserve"> special form of contextual navigation where</w:t>
      </w:r>
      <w:r w:rsidR="008A58E6">
        <w:t xml:space="preserve"> links are generated according to user</w:t>
      </w:r>
      <w:r w:rsidR="00974621">
        <w:t xml:space="preserve"> </w:t>
      </w:r>
      <w:r w:rsidR="008A58E6">
        <w:t>behaviour</w:t>
      </w:r>
      <w:r w:rsidR="00D45281">
        <w:t xml:space="preserve"> </w:t>
      </w:r>
      <w:r w:rsidR="00D45281">
        <w:t>or seller priorities</w:t>
      </w:r>
      <w:r w:rsidR="0061679C">
        <w:t>. In the case of the Target website</w:t>
      </w:r>
      <w:r w:rsidR="00296719">
        <w:t>, users will be presented</w:t>
      </w:r>
      <w:r w:rsidR="00974621">
        <w:t xml:space="preserve"> with recommendations </w:t>
      </w:r>
      <w:r w:rsidR="004B5A85">
        <w:t xml:space="preserve">based on their current </w:t>
      </w:r>
      <w:r w:rsidR="00143384">
        <w:t xml:space="preserve">search criteria or </w:t>
      </w:r>
      <w:r w:rsidR="004B5A85">
        <w:t xml:space="preserve">position in the site </w:t>
      </w:r>
      <w:r w:rsidR="007F4E1B">
        <w:t>hierarchy</w:t>
      </w:r>
      <w:r w:rsidR="004B5A85">
        <w:t>.</w:t>
      </w:r>
      <w:r w:rsidR="002300B3">
        <w:t xml:space="preserve"> There is</w:t>
      </w:r>
      <w:r w:rsidR="00C922A5">
        <w:t xml:space="preserve"> a moderate correlation</w:t>
      </w:r>
      <w:r w:rsidR="007C3E62">
        <w:t xml:space="preserve"> between this navigation feature and the organisation of the site. </w:t>
      </w:r>
      <w:r w:rsidR="001038E8">
        <w:t>An example of adaptive navigation is shown below:</w:t>
      </w:r>
    </w:p>
    <w:p w14:paraId="7E956B5B" w14:textId="0169DFCD" w:rsidR="001038E8" w:rsidRDefault="001038E8" w:rsidP="001038E8"/>
    <w:p w14:paraId="19602A88" w14:textId="2DB66B21" w:rsidR="00247FA6" w:rsidRDefault="00704B05" w:rsidP="00247FA6">
      <w:pPr>
        <w:pStyle w:val="ListParagraph"/>
        <w:numPr>
          <w:ilvl w:val="1"/>
          <w:numId w:val="1"/>
        </w:numPr>
      </w:pPr>
      <w:r>
        <w:t>Quick links</w:t>
      </w:r>
      <w:r w:rsidR="00550854">
        <w:t xml:space="preserve"> provide access to </w:t>
      </w:r>
      <w:r w:rsidR="00F2479D">
        <w:t xml:space="preserve">important </w:t>
      </w:r>
      <w:r w:rsidR="00550854">
        <w:t>areas of the site th</w:t>
      </w:r>
      <w:r w:rsidR="00F2479D">
        <w:t xml:space="preserve">at may not be represented in the main navigation. </w:t>
      </w:r>
      <w:r w:rsidR="00B1637B">
        <w:t xml:space="preserve">A marketing site such as </w:t>
      </w:r>
      <w:r w:rsidR="003A5BF6">
        <w:t>Target</w:t>
      </w:r>
      <w:r w:rsidR="00B1637B">
        <w:t xml:space="preserve"> will use quick links to prom</w:t>
      </w:r>
      <w:r w:rsidR="003A5BF6">
        <w:t>ote products or make finding seasonal goods (</w:t>
      </w:r>
      <w:r w:rsidR="00247FA6">
        <w:t xml:space="preserve">e.g. </w:t>
      </w:r>
      <w:r w:rsidR="003A5BF6">
        <w:t>Back-to-School, Christmas</w:t>
      </w:r>
      <w:r w:rsidR="00247FA6">
        <w:t xml:space="preserve">) </w:t>
      </w:r>
      <w:r w:rsidR="00254474">
        <w:t>easier</w:t>
      </w:r>
      <w:r w:rsidR="00247FA6">
        <w:t>.</w:t>
      </w:r>
      <w:r w:rsidR="00247FA6">
        <w:t xml:space="preserve"> There is a moderate correlation between this navigation feature </w:t>
      </w:r>
      <w:r w:rsidR="00247FA6">
        <w:lastRenderedPageBreak/>
        <w:t xml:space="preserve">and the organisation of the site. An example of </w:t>
      </w:r>
      <w:r w:rsidR="004945BE">
        <w:t>quick links</w:t>
      </w:r>
      <w:r w:rsidR="00247FA6">
        <w:t xml:space="preserve"> navigation is </w:t>
      </w:r>
      <w:r w:rsidR="0039010A">
        <w:rPr>
          <w:noProof/>
        </w:rPr>
        <w:drawing>
          <wp:anchor distT="0" distB="0" distL="114300" distR="114300" simplePos="0" relativeHeight="251662336" behindDoc="0" locked="0" layoutInCell="1" allowOverlap="1" wp14:anchorId="0A0DE3F9" wp14:editId="0695692F">
            <wp:simplePos x="0" y="0"/>
            <wp:positionH relativeFrom="column">
              <wp:posOffset>901521</wp:posOffset>
            </wp:positionH>
            <wp:positionV relativeFrom="paragraph">
              <wp:posOffset>527802</wp:posOffset>
            </wp:positionV>
            <wp:extent cx="4198513" cy="1952948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513" cy="1952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7FA6">
        <w:t>shown below:</w:t>
      </w:r>
    </w:p>
    <w:p w14:paraId="5C1A906A" w14:textId="2269ABFD" w:rsidR="004945BE" w:rsidRDefault="004945BE" w:rsidP="004945BE">
      <w:pPr>
        <w:pStyle w:val="ListParagraph"/>
      </w:pPr>
    </w:p>
    <w:p w14:paraId="220005A0" w14:textId="150BA8EE" w:rsidR="00603415" w:rsidRDefault="008249D3" w:rsidP="00015775">
      <w:pPr>
        <w:pStyle w:val="ListParagraph"/>
        <w:numPr>
          <w:ilvl w:val="1"/>
          <w:numId w:val="1"/>
        </w:numPr>
      </w:pPr>
      <w:r>
        <w:t>Footer navigation</w:t>
      </w:r>
      <w:r w:rsidR="00415A8E">
        <w:t xml:space="preserve"> contains information that supplements the content of the site.</w:t>
      </w:r>
      <w:r w:rsidR="001C294C">
        <w:t xml:space="preserve"> Usually represented by text links, footer navigation often access</w:t>
      </w:r>
      <w:r w:rsidR="00EF6026">
        <w:t>es</w:t>
      </w:r>
      <w:r w:rsidR="001C294C">
        <w:t xml:space="preserve"> a single page</w:t>
      </w:r>
      <w:r w:rsidR="00EF6026">
        <w:t xml:space="preserve"> displaying </w:t>
      </w:r>
      <w:r w:rsidR="00234041">
        <w:t>terms and conditions, copyright information and a site map.</w:t>
      </w:r>
      <w:r w:rsidR="00B667E1">
        <w:t xml:space="preserve"> Footer navigation</w:t>
      </w:r>
      <w:r w:rsidR="00B51CD1">
        <w:t xml:space="preserve"> </w:t>
      </w:r>
      <w:r w:rsidR="000A5F93">
        <w:t>does not directly address a user need but is nonetheless important in the organisation of the site.</w:t>
      </w:r>
      <w:r w:rsidR="008962BD">
        <w:t xml:space="preserve"> The site map is perfectly correlated to the organisation of the site as a whole. The footer navigation of the Target site is shown below:</w:t>
      </w:r>
    </w:p>
    <w:p w14:paraId="56D48715" w14:textId="7B5C7871" w:rsidR="008962BD" w:rsidRDefault="00FC4D7E" w:rsidP="008962BD">
      <w:pPr>
        <w:pStyle w:val="ListParagrap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BA8A1DB" wp14:editId="5CFAD695">
            <wp:simplePos x="0" y="0"/>
            <wp:positionH relativeFrom="margin">
              <wp:posOffset>990600</wp:posOffset>
            </wp:positionH>
            <wp:positionV relativeFrom="paragraph">
              <wp:posOffset>241300</wp:posOffset>
            </wp:positionV>
            <wp:extent cx="4072890" cy="2066925"/>
            <wp:effectExtent l="0" t="0" r="381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89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04F5AA" w14:textId="238F0578" w:rsidR="008962BD" w:rsidRDefault="008962BD" w:rsidP="008962BD">
      <w:pPr>
        <w:pStyle w:val="ListParagraph"/>
      </w:pPr>
    </w:p>
    <w:p w14:paraId="50E4065A" w14:textId="7CE8E8D1" w:rsidR="008962BD" w:rsidRDefault="00D71F54" w:rsidP="00FC4D7E">
      <w:pPr>
        <w:pStyle w:val="ListParagraph"/>
        <w:numPr>
          <w:ilvl w:val="0"/>
          <w:numId w:val="1"/>
        </w:numPr>
      </w:pPr>
      <w:r>
        <w:t xml:space="preserve">Utility navigation </w:t>
      </w:r>
      <w:r w:rsidR="00EC4E78">
        <w:t>connect to tools</w:t>
      </w:r>
      <w:r w:rsidR="0028138F">
        <w:t xml:space="preserve"> and features that are needed to achieve the aims of the site. In the case</w:t>
      </w:r>
      <w:r w:rsidR="0083433F">
        <w:t xml:space="preserve"> of the T</w:t>
      </w:r>
      <w:r w:rsidR="00445948">
        <w:t>ar</w:t>
      </w:r>
      <w:r w:rsidR="0083433F">
        <w:t>get site, these tools include shopping carts and payment options</w:t>
      </w:r>
      <w:r w:rsidR="00445948">
        <w:t xml:space="preserve">. </w:t>
      </w:r>
      <w:r w:rsidR="0083433F">
        <w:t xml:space="preserve">These </w:t>
      </w:r>
      <w:r w:rsidR="00445948">
        <w:t xml:space="preserve">sites rarely contain main navigation so as to not distract the user from the task. </w:t>
      </w:r>
      <w:r w:rsidR="00DD0744">
        <w:t>There is a weak correlation between how the content of the site is organised and the</w:t>
      </w:r>
      <w:r w:rsidR="008803CB">
        <w:t xml:space="preserve"> utility in question. An example of a utility is shown below:</w:t>
      </w:r>
    </w:p>
    <w:p w14:paraId="0E3893B0" w14:textId="46C6BD3A" w:rsidR="008803CB" w:rsidRDefault="000258F5" w:rsidP="008803CB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B47CE58" wp14:editId="2AC620BD">
            <wp:simplePos x="0" y="0"/>
            <wp:positionH relativeFrom="margin">
              <wp:align>center</wp:align>
            </wp:positionH>
            <wp:positionV relativeFrom="paragraph">
              <wp:posOffset>440</wp:posOffset>
            </wp:positionV>
            <wp:extent cx="3208929" cy="515302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929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0F6558" w14:textId="7F6C480A" w:rsidR="008E2010" w:rsidRPr="008E2010" w:rsidRDefault="008E2010" w:rsidP="008E2010">
      <w:pPr>
        <w:pStyle w:val="EndNoteBibliography"/>
        <w:spacing w:after="0"/>
        <w:ind w:left="720" w:hanging="720"/>
        <w:jc w:val="center"/>
        <w:rPr>
          <w:b/>
          <w:bCs/>
        </w:rPr>
      </w:pPr>
      <w:r w:rsidRPr="008E2010">
        <w:rPr>
          <w:b/>
          <w:bCs/>
        </w:rPr>
        <w:t>References</w:t>
      </w:r>
    </w:p>
    <w:p w14:paraId="0D51FCF0" w14:textId="77777777" w:rsidR="008E2010" w:rsidRDefault="008E2010" w:rsidP="00310139">
      <w:pPr>
        <w:pStyle w:val="EndNoteBibliography"/>
        <w:spacing w:after="0"/>
        <w:ind w:left="720" w:hanging="720"/>
      </w:pPr>
    </w:p>
    <w:p w14:paraId="5ADD6E2D" w14:textId="22956779" w:rsidR="00494783" w:rsidRPr="00494783" w:rsidRDefault="00684DB5" w:rsidP="00494783">
      <w:pPr>
        <w:pStyle w:val="EndNoteBibliography"/>
        <w:spacing w:after="0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494783" w:rsidRPr="00494783">
        <w:t xml:space="preserve">Bigby, G. (2016). What is the Difference Between Navigation &amp; Information Architecture (IA)?  Retrieved from </w:t>
      </w:r>
      <w:hyperlink r:id="rId13" w:history="1">
        <w:r w:rsidR="00494783" w:rsidRPr="00494783">
          <w:rPr>
            <w:rStyle w:val="Hyperlink"/>
          </w:rPr>
          <w:t>https://dynomapper.com/blog/19-ux/177-navigation-vs-information-architecture-ia</w:t>
        </w:r>
      </w:hyperlink>
    </w:p>
    <w:p w14:paraId="6F687D99" w14:textId="77777777" w:rsidR="00494783" w:rsidRPr="00494783" w:rsidRDefault="00494783" w:rsidP="00494783">
      <w:pPr>
        <w:pStyle w:val="EndNoteBibliography"/>
        <w:spacing w:after="0"/>
        <w:ind w:left="720" w:hanging="720"/>
      </w:pPr>
      <w:r w:rsidRPr="00494783">
        <w:t xml:space="preserve">Kalbach, J. (2007). </w:t>
      </w:r>
      <w:r w:rsidRPr="00494783">
        <w:rPr>
          <w:i/>
        </w:rPr>
        <w:t>Designing web navigation</w:t>
      </w:r>
      <w:r w:rsidRPr="00494783">
        <w:t>. Sebastopol, CA: O'Reilly Media, Inc.</w:t>
      </w:r>
    </w:p>
    <w:p w14:paraId="2B465F87" w14:textId="77777777" w:rsidR="00494783" w:rsidRPr="00494783" w:rsidRDefault="00494783" w:rsidP="00494783">
      <w:pPr>
        <w:pStyle w:val="EndNoteBibliography"/>
        <w:spacing w:after="0"/>
        <w:ind w:left="720" w:hanging="720"/>
      </w:pPr>
      <w:r w:rsidRPr="00494783">
        <w:t xml:space="preserve">Morville, P., &amp; Rosenfeld, L. (2007). </w:t>
      </w:r>
      <w:r w:rsidRPr="00494783">
        <w:rPr>
          <w:i/>
        </w:rPr>
        <w:t>Information Architecture for the World Wide Web</w:t>
      </w:r>
      <w:r w:rsidRPr="00494783">
        <w:t xml:space="preserve"> (3rd ed.). Sebastopol, CA: O'Reilly Media, Inc.</w:t>
      </w:r>
    </w:p>
    <w:p w14:paraId="3809219A" w14:textId="3428996A" w:rsidR="00494783" w:rsidRPr="00494783" w:rsidRDefault="00494783" w:rsidP="00494783">
      <w:pPr>
        <w:pStyle w:val="EndNoteBibliography"/>
        <w:ind w:left="720" w:hanging="720"/>
      </w:pPr>
      <w:r w:rsidRPr="00494783">
        <w:t xml:space="preserve">Wesfarmers. (2019). </w:t>
      </w:r>
      <w:r w:rsidRPr="00494783">
        <w:rPr>
          <w:i/>
        </w:rPr>
        <w:t>2019 Wesfarmers Annual Report</w:t>
      </w:r>
      <w:r w:rsidRPr="00494783">
        <w:t xml:space="preserve">. Retrieved from </w:t>
      </w:r>
      <w:hyperlink r:id="rId14" w:history="1">
        <w:r w:rsidRPr="00494783">
          <w:rPr>
            <w:rStyle w:val="Hyperlink"/>
          </w:rPr>
          <w:t>https://sitefinity.wesfarmers.com.au/docs/default-source/reports/wesfarmers-2019-annual-report.pdf?sfvrsn=2</w:t>
        </w:r>
      </w:hyperlink>
    </w:p>
    <w:p w14:paraId="03B2E043" w14:textId="2A025F27" w:rsidR="00D124B7" w:rsidRDefault="00684DB5">
      <w:r>
        <w:fldChar w:fldCharType="end"/>
      </w:r>
    </w:p>
    <w:sectPr w:rsidR="00D124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3E70E2"/>
    <w:multiLevelType w:val="hybridMultilevel"/>
    <w:tmpl w:val="3298408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ae9dvetve5e9fcef55zvede4sr0t5fzefdat&quot;&gt;Web development&lt;record-ids&gt;&lt;item&gt;1&lt;/item&gt;&lt;item&gt;2&lt;/item&gt;&lt;item&gt;3&lt;/item&gt;&lt;item&gt;6&lt;/item&gt;&lt;/record-ids&gt;&lt;/item&gt;&lt;/Libraries&gt;"/>
  </w:docVars>
  <w:rsids>
    <w:rsidRoot w:val="00684DB5"/>
    <w:rsid w:val="0000578B"/>
    <w:rsid w:val="00012D93"/>
    <w:rsid w:val="00015170"/>
    <w:rsid w:val="00015775"/>
    <w:rsid w:val="000160BB"/>
    <w:rsid w:val="00016408"/>
    <w:rsid w:val="00023E80"/>
    <w:rsid w:val="000258F5"/>
    <w:rsid w:val="000968DD"/>
    <w:rsid w:val="000A5F93"/>
    <w:rsid w:val="000E2AB5"/>
    <w:rsid w:val="000E69AE"/>
    <w:rsid w:val="001038E8"/>
    <w:rsid w:val="00143384"/>
    <w:rsid w:val="00155EDE"/>
    <w:rsid w:val="0017688C"/>
    <w:rsid w:val="00177959"/>
    <w:rsid w:val="00185E94"/>
    <w:rsid w:val="001A4B2E"/>
    <w:rsid w:val="001B7432"/>
    <w:rsid w:val="001C294C"/>
    <w:rsid w:val="001D4DEF"/>
    <w:rsid w:val="001F1253"/>
    <w:rsid w:val="001F5B6D"/>
    <w:rsid w:val="002126B5"/>
    <w:rsid w:val="00213F60"/>
    <w:rsid w:val="002208F8"/>
    <w:rsid w:val="002300B3"/>
    <w:rsid w:val="00234041"/>
    <w:rsid w:val="00242DE1"/>
    <w:rsid w:val="00247FA6"/>
    <w:rsid w:val="00254474"/>
    <w:rsid w:val="002761B2"/>
    <w:rsid w:val="0028138F"/>
    <w:rsid w:val="0029561F"/>
    <w:rsid w:val="00296719"/>
    <w:rsid w:val="002B200B"/>
    <w:rsid w:val="002C0313"/>
    <w:rsid w:val="002C5300"/>
    <w:rsid w:val="002D381B"/>
    <w:rsid w:val="002D534E"/>
    <w:rsid w:val="002E10BA"/>
    <w:rsid w:val="002E6689"/>
    <w:rsid w:val="00310139"/>
    <w:rsid w:val="003133A9"/>
    <w:rsid w:val="003203CC"/>
    <w:rsid w:val="00337549"/>
    <w:rsid w:val="00344180"/>
    <w:rsid w:val="00353FF4"/>
    <w:rsid w:val="003750E0"/>
    <w:rsid w:val="0039010A"/>
    <w:rsid w:val="00393FFA"/>
    <w:rsid w:val="003A5BF6"/>
    <w:rsid w:val="0040541F"/>
    <w:rsid w:val="00415A8E"/>
    <w:rsid w:val="004401DF"/>
    <w:rsid w:val="0044027D"/>
    <w:rsid w:val="00442EED"/>
    <w:rsid w:val="00445948"/>
    <w:rsid w:val="00446067"/>
    <w:rsid w:val="004945BE"/>
    <w:rsid w:val="00494783"/>
    <w:rsid w:val="00496953"/>
    <w:rsid w:val="004B5A85"/>
    <w:rsid w:val="004C35AF"/>
    <w:rsid w:val="004E4860"/>
    <w:rsid w:val="00532C5C"/>
    <w:rsid w:val="00540EA2"/>
    <w:rsid w:val="00542BA8"/>
    <w:rsid w:val="00550854"/>
    <w:rsid w:val="00553ED8"/>
    <w:rsid w:val="00561D43"/>
    <w:rsid w:val="00563DF5"/>
    <w:rsid w:val="00590684"/>
    <w:rsid w:val="0059236C"/>
    <w:rsid w:val="005967A4"/>
    <w:rsid w:val="005A7FD4"/>
    <w:rsid w:val="005C004E"/>
    <w:rsid w:val="005C233A"/>
    <w:rsid w:val="005F6206"/>
    <w:rsid w:val="00603415"/>
    <w:rsid w:val="0061679C"/>
    <w:rsid w:val="0063215B"/>
    <w:rsid w:val="0064623C"/>
    <w:rsid w:val="0065596B"/>
    <w:rsid w:val="0067704E"/>
    <w:rsid w:val="00684DB5"/>
    <w:rsid w:val="00685ED4"/>
    <w:rsid w:val="0068756F"/>
    <w:rsid w:val="006930C2"/>
    <w:rsid w:val="006A01CC"/>
    <w:rsid w:val="006A4B1C"/>
    <w:rsid w:val="00704B05"/>
    <w:rsid w:val="00784646"/>
    <w:rsid w:val="007A79DD"/>
    <w:rsid w:val="007B22CC"/>
    <w:rsid w:val="007C2578"/>
    <w:rsid w:val="007C3E62"/>
    <w:rsid w:val="007D458E"/>
    <w:rsid w:val="007F4E1B"/>
    <w:rsid w:val="0081219E"/>
    <w:rsid w:val="008249D3"/>
    <w:rsid w:val="0083433F"/>
    <w:rsid w:val="008450D1"/>
    <w:rsid w:val="0086120E"/>
    <w:rsid w:val="00874976"/>
    <w:rsid w:val="008803CB"/>
    <w:rsid w:val="00881C5E"/>
    <w:rsid w:val="008962BD"/>
    <w:rsid w:val="008A58E6"/>
    <w:rsid w:val="008B23F2"/>
    <w:rsid w:val="008E2010"/>
    <w:rsid w:val="008E6ADD"/>
    <w:rsid w:val="008E7AE1"/>
    <w:rsid w:val="009015A7"/>
    <w:rsid w:val="009214C6"/>
    <w:rsid w:val="0093485C"/>
    <w:rsid w:val="00936AD5"/>
    <w:rsid w:val="00974621"/>
    <w:rsid w:val="0097482D"/>
    <w:rsid w:val="0099254C"/>
    <w:rsid w:val="00997366"/>
    <w:rsid w:val="009F0338"/>
    <w:rsid w:val="009F0ECA"/>
    <w:rsid w:val="00A075CD"/>
    <w:rsid w:val="00A24A61"/>
    <w:rsid w:val="00A36078"/>
    <w:rsid w:val="00A7349C"/>
    <w:rsid w:val="00A85417"/>
    <w:rsid w:val="00AB1A9C"/>
    <w:rsid w:val="00AC5373"/>
    <w:rsid w:val="00AD29D9"/>
    <w:rsid w:val="00AF0EBE"/>
    <w:rsid w:val="00AF216C"/>
    <w:rsid w:val="00B1637B"/>
    <w:rsid w:val="00B20648"/>
    <w:rsid w:val="00B3354D"/>
    <w:rsid w:val="00B35259"/>
    <w:rsid w:val="00B51B51"/>
    <w:rsid w:val="00B51CD1"/>
    <w:rsid w:val="00B667E1"/>
    <w:rsid w:val="00B670E9"/>
    <w:rsid w:val="00B747E4"/>
    <w:rsid w:val="00B81BBE"/>
    <w:rsid w:val="00B85C75"/>
    <w:rsid w:val="00B86F73"/>
    <w:rsid w:val="00BA6C2A"/>
    <w:rsid w:val="00BE5731"/>
    <w:rsid w:val="00BF0819"/>
    <w:rsid w:val="00BF0DFD"/>
    <w:rsid w:val="00C51324"/>
    <w:rsid w:val="00C55E13"/>
    <w:rsid w:val="00C57833"/>
    <w:rsid w:val="00C838A1"/>
    <w:rsid w:val="00C922A5"/>
    <w:rsid w:val="00C97557"/>
    <w:rsid w:val="00CA5A1D"/>
    <w:rsid w:val="00CC1C1C"/>
    <w:rsid w:val="00CE4689"/>
    <w:rsid w:val="00CE6755"/>
    <w:rsid w:val="00D108CD"/>
    <w:rsid w:val="00D124B7"/>
    <w:rsid w:val="00D3365F"/>
    <w:rsid w:val="00D42FE1"/>
    <w:rsid w:val="00D45281"/>
    <w:rsid w:val="00D54DDF"/>
    <w:rsid w:val="00D71F54"/>
    <w:rsid w:val="00DB4B16"/>
    <w:rsid w:val="00DB6762"/>
    <w:rsid w:val="00DC1800"/>
    <w:rsid w:val="00DD0744"/>
    <w:rsid w:val="00E17666"/>
    <w:rsid w:val="00E43692"/>
    <w:rsid w:val="00E65ACD"/>
    <w:rsid w:val="00E71DD4"/>
    <w:rsid w:val="00E732EB"/>
    <w:rsid w:val="00E854A1"/>
    <w:rsid w:val="00EB6E3E"/>
    <w:rsid w:val="00EC39D9"/>
    <w:rsid w:val="00EC4E78"/>
    <w:rsid w:val="00EE397E"/>
    <w:rsid w:val="00EF6026"/>
    <w:rsid w:val="00F03E0E"/>
    <w:rsid w:val="00F2479D"/>
    <w:rsid w:val="00F26B39"/>
    <w:rsid w:val="00F32332"/>
    <w:rsid w:val="00F3251B"/>
    <w:rsid w:val="00F800E2"/>
    <w:rsid w:val="00F9501C"/>
    <w:rsid w:val="00FA3A4D"/>
    <w:rsid w:val="00FB09D8"/>
    <w:rsid w:val="00FB1DFC"/>
    <w:rsid w:val="00FC4D7E"/>
    <w:rsid w:val="00FF7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8C77F"/>
  <w15:chartTrackingRefBased/>
  <w15:docId w15:val="{7080072F-A5E4-453A-B68F-CCB373DF1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ndNoteBibliographyTitle">
    <w:name w:val="EndNote Bibliography Title"/>
    <w:basedOn w:val="Normal"/>
    <w:link w:val="EndNoteBibliographyTitleChar"/>
    <w:rsid w:val="00684DB5"/>
    <w:pPr>
      <w:spacing w:after="0"/>
      <w:jc w:val="center"/>
    </w:pPr>
    <w:rPr>
      <w:rFonts w:ascii="Calibri" w:hAnsi="Calibri" w:cs="Calibri"/>
      <w:noProof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684DB5"/>
    <w:rPr>
      <w:rFonts w:ascii="Calibri" w:hAnsi="Calibri" w:cs="Calibri"/>
      <w:noProof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684DB5"/>
    <w:pPr>
      <w:spacing w:line="240" w:lineRule="auto"/>
    </w:pPr>
    <w:rPr>
      <w:rFonts w:ascii="Calibri" w:hAnsi="Calibri" w:cs="Calibri"/>
      <w:noProof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684DB5"/>
    <w:rPr>
      <w:rFonts w:ascii="Calibri" w:hAnsi="Calibri" w:cs="Calibri"/>
      <w:noProof/>
      <w:lang w:val="en-US"/>
    </w:rPr>
  </w:style>
  <w:style w:type="character" w:styleId="Hyperlink">
    <w:name w:val="Hyperlink"/>
    <w:basedOn w:val="DefaultParagraphFont"/>
    <w:uiPriority w:val="99"/>
    <w:unhideWhenUsed/>
    <w:rsid w:val="00684D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4DB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53F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ynomapper.com/blog/19-ux/177-navigation-vs-information-architecture-ia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target.com.au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sitefinity.wesfarmers.com.au/docs/default-source/reports/wesfarmers-2019-annual-report.pdf?sfvrsn=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4</Pages>
  <Words>2332</Words>
  <Characters>13014</Characters>
  <Application>Microsoft Office Word</Application>
  <DocSecurity>0</DocSecurity>
  <Lines>224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Jakimowicz</dc:creator>
  <cp:keywords/>
  <dc:description/>
  <cp:lastModifiedBy>Michael Jakimowicz</cp:lastModifiedBy>
  <cp:revision>196</cp:revision>
  <dcterms:created xsi:type="dcterms:W3CDTF">2020-01-30T22:53:00Z</dcterms:created>
  <dcterms:modified xsi:type="dcterms:W3CDTF">2020-01-31T03:43:00Z</dcterms:modified>
</cp:coreProperties>
</file>