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F4601"/>
          <w:sz w:val="48"/>
          <w:szCs w:val="48"/>
        </w:rPr>
        <w:t xml:space="preserve">UNDERWRITING REPORT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3221 Brighton St, Baltimore, MD 21216</w:t>
      </w:r>
    </w:p>
    <w:p>
      <w:pPr>
        <w:spacing w:after="300"/>
        <w:jc w:val="center"/>
      </w:pPr>
      <w:r>
        <w:rPr>
          <w:rFonts w:ascii="Arial" w:cs="Arial" w:eastAsia="Arial" w:hAnsi="Arial"/>
          <w:color w:val="F5A623"/>
          <w:sz w:val="24"/>
          <w:szCs w:val="24"/>
        </w:rPr>
        <w:t xml:space="preserve">Co-Living Conversion Analysis</w:t>
      </w:r>
    </w:p>
    <w:p>
      <w:pPr>
        <w:pBdr>
          <w:top w:val="single" w:color="DF4601" w:sz="2" w:space="8"/>
          <w:bottom w:val="single" w:color="DF4601" w:sz="2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CONDITIONAL GO</w:t>
      </w:r>
    </w:p>
    <w:p>
      <w:pPr>
        <w:spacing w:after="300"/>
      </w:pPr>
    </w:p>
    <w:tbl>
      <w:tblPr>
        <w:tblW w:type="dxa" w:w="10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920"/>
      </w:tblGrid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Mike Davis / 443 Innovative Solutions LLC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Subject-To Acquisition + Land Trust + Co-Living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May 13, 2026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3BR/1BA Row Home | 1,176 SF | Built 1923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Purchase Price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$99,000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PML Ask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$85,000 @ 12% Interest-Only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Projected CoC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43% (MUST-BUY Tier)</w:t>
            </w:r>
          </w:p>
        </w:tc>
      </w:tr>
    </w:tbl>
    <w:r>
      <w:br w:type="page"/>
    </w:r>
    <w:p>
      <w:pPr>
        <w:pBdr>
          <w:bottom w:val="single" w:color="DF460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DF4601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3221 Brighton St is a 3BR/1BA row home (1,176 SF, built 1923) in Baltimore’s Rosemont neighborhood being acquired subject-to an existing mortgage at 4% fixed. Purchase price is $99,000 with $7,000 down payment to the seller. The property will be converted into a 4-room, 2-bathroom co-living rental generating $2,550/month gross income at stabilization.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An $85,000 private money loan at 12% interest-only funds the full renovation: basement finish (4th room + private bath), upstairs bathroom remodel, bedroom refresh, HVAC, kitchen, and cosmetic work. The primary exit is a DSCR refinance at month 12.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2C55E"/>
          <w:sz w:val="28"/>
          <w:szCs w:val="28"/>
        </w:rPr>
        <w:t xml:space="preserve">VERDICT: CONDITIONAL GO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The financials are strong (43% CoC, $430/mo net cash flow with PML active, DSCR 1.94–2.22 for refi), but regulatory compliance must be confirmed before closing. Baltimore City requires a rooming house license for 3+ unrelated tenants, and the R-7/R-8 zoning may require conditional use approval.</w:t>
      </w:r>
    </w:p>
    <w:r>
      <w:br w:type="page"/>
    </w:r>
    <w:p>
      <w:pPr>
        <w:pBdr>
          <w:bottom w:val="single" w:color="DF460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DF4601"/>
          <w:sz w:val="32"/>
          <w:szCs w:val="32"/>
        </w:rPr>
        <w:t xml:space="preserve">1. DEAL STRUCTURE</w:t>
      </w:r>
    </w:p>
    <w:tbl>
      <w:tblPr>
        <w:tblW w:type="dxa" w:w="10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920"/>
      </w:tblGrid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Purchase Price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$99,000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Acquisition Type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Subject-To (existing FHA mortgage stays in place)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Down Payment to Seller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$7,000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Existing Loan Balance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$87,000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Existing Loan Rate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4% fixed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Existing Loan Payment (PITI)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~$760/mo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Remaining Term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12 years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Lender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M&amp;T Bank / Lakeview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PML Raise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$85,000 @ 12% I/O, 12-month term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Total Basis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$172,000 (1st: $87K + 2nd: $85K)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Brighton Street Land Trust (Trustee: 443 Innovative Solutions LLC)</w:t>
            </w:r>
          </w:p>
        </w:tc>
      </w:tr>
    </w:tbl>
    <w:r>
      <w:br w:type="page"/>
    </w:r>
    <w:p>
      <w:pPr>
        <w:pBdr>
          <w:bottom w:val="single" w:color="DF460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DF4601"/>
          <w:sz w:val="32"/>
          <w:szCs w:val="32"/>
        </w:rPr>
        <w:t xml:space="preserve">2. COMPARABLE SALES ANALYSIS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As-Is Comps (Staircase Method)</w:t>
      </w:r>
    </w:p>
    <w:tbl>
      <w:tblPr>
        <w:tblW w:type="dxa" w:w="8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100"/>
        <w:gridCol w:w="1000"/>
        <w:gridCol w:w="1420"/>
      </w:tblGrid>
      <w:tr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Bed/Bath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SF</w:t>
            </w:r>
          </w:p>
        </w:tc>
        <w:tc>
          <w:tcPr>
            <w:tcW w:type="dxa" w:w="14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3202 Brighton St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$70,000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May 2024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3/1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1,268</w:t>
            </w:r>
          </w:p>
        </w:tc>
        <w:tc>
          <w:tcPr>
            <w:tcW w:type="dxa" w:w="14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As-is</w:t>
            </w:r>
          </w:p>
        </w:tc>
      </w:tr>
      <w:tr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3114 Brighton St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$95,000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Listed 2025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3/2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1,192</w:t>
            </w:r>
          </w:p>
        </w:tc>
        <w:tc>
          <w:tcPr>
            <w:tcW w:type="dxa" w:w="14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3002 Presstman St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$64,000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Nov 2025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4/1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1,330</w:t>
            </w:r>
          </w:p>
        </w:tc>
        <w:tc>
          <w:tcPr>
            <w:tcW w:type="dxa" w:w="14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As-is</w:t>
            </w:r>
          </w:p>
        </w:tc>
      </w:tr>
      <w:tr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2801 Presbury St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$60,000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Mar 2026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3/1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1,200</w:t>
            </w:r>
          </w:p>
        </w:tc>
        <w:tc>
          <w:tcPr>
            <w:tcW w:type="dxa" w:w="14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As-is</w:t>
            </w:r>
          </w:p>
        </w:tc>
      </w:tr>
      <w:tr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2904 Winchester St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$60,000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Jan 2026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3/1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1,488</w:t>
            </w:r>
          </w:p>
        </w:tc>
        <w:tc>
          <w:tcPr>
            <w:tcW w:type="dxa" w:w="14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As-is</w:t>
            </w:r>
          </w:p>
        </w:tc>
      </w:tr>
      <w:tr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2826 Riggs Ave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$95,000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Jan 2026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3/1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1,412</w:t>
            </w:r>
          </w:p>
        </w:tc>
        <w:tc>
          <w:tcPr>
            <w:tcW w:type="dxa" w:w="14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Light rehab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As-Is Value Range: $65,000–$85,000</w:t>
      </w:r>
    </w:p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Renovated Comps</w:t>
      </w:r>
    </w:p>
    <w:tbl>
      <w:tblPr>
        <w:tblW w:type="dxa" w:w="8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100"/>
        <w:gridCol w:w="1000"/>
        <w:gridCol w:w="1420"/>
      </w:tblGrid>
      <w:tr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Bed/Bath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SF</w:t>
            </w:r>
          </w:p>
        </w:tc>
        <w:tc>
          <w:tcPr>
            <w:tcW w:type="dxa" w:w="14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3200 Brighton St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$190,000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Aug 2022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?/1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1,316</w:t>
            </w:r>
          </w:p>
        </w:tc>
        <w:tc>
          <w:tcPr>
            <w:tcW w:type="dxa" w:w="14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Renovated</w:t>
            </w:r>
          </w:p>
        </w:tc>
      </w:tr>
      <w:tr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2912 Brighton St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$200,000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Jan 2025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?/2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1,800</w:t>
            </w:r>
          </w:p>
        </w:tc>
        <w:tc>
          <w:tcPr>
            <w:tcW w:type="dxa" w:w="14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Renovated</w:t>
            </w:r>
          </w:p>
        </w:tc>
      </w:tr>
      <w:tr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3044 Brighton St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$125,000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Jan 2025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3/1.5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2,306</w:t>
            </w:r>
          </w:p>
        </w:tc>
        <w:tc>
          <w:tcPr>
            <w:tcW w:type="dxa" w:w="14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Renovated</w:t>
            </w:r>
          </w:p>
        </w:tc>
      </w:tr>
      <w:tr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1210 N Bentalou St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$176,000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Jul 2025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4/2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1,556</w:t>
            </w:r>
          </w:p>
        </w:tc>
        <w:tc>
          <w:tcPr>
            <w:tcW w:type="dxa" w:w="14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Fully renovated</w:t>
            </w:r>
          </w:p>
        </w:tc>
      </w:tr>
      <w:tr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732 Whitmore Ave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$229,900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May 2025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4/2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1,653</w:t>
            </w:r>
          </w:p>
        </w:tc>
        <w:tc>
          <w:tcPr>
            <w:tcW w:type="dxa" w:w="14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Renovated</w:t>
            </w:r>
          </w:p>
        </w:tc>
      </w:tr>
      <w:tr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2920 Winchester St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$128,000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Nov 2025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3/1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1,538</w:t>
            </w:r>
          </w:p>
        </w:tc>
        <w:tc>
          <w:tcPr>
            <w:tcW w:type="dxa" w:w="14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Updated</w:t>
            </w:r>
          </w:p>
        </w:tc>
      </w:tr>
      <w:tr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2504 N Longwood St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$287,999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Apr 2025</w:t>
            </w:r>
          </w:p>
        </w:tc>
        <w:tc>
          <w:tcPr>
            <w:tcW w:type="dxa" w:w="11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4/3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1,892</w:t>
            </w:r>
          </w:p>
        </w:tc>
        <w:tc>
          <w:tcPr>
            <w:tcW w:type="dxa" w:w="14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Premium reno</w:t>
            </w:r>
          </w:p>
        </w:tc>
      </w:tr>
    </w:tbl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ARV Conclusion</w:t>
      </w:r>
    </w:p>
    <w:tbl>
      <w:tblPr>
        <w:tblW w:type="dxa" w:w="10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60"/>
        <w:gridCol w:w="5060"/>
      </w:tblGrid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ARV Range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Traditional (4BR/2BA retail buyer)</w:t>
            </w:r>
          </w:p>
        </w:tc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$165,000–$195,000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Income-based (investor/co-living)</w:t>
            </w:r>
          </w:p>
        </w:tc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$185,000–$215,000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Working ARV (blended)</w:t>
            </w:r>
          </w:p>
        </w:tc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$180,000–$200,000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Key comps: 3200 Brighton (same block) sold $190K renovated. 2912 Brighton sold $200K renovated Jan 2025. The street supports $180K+.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ACC15"/>
          <w:sz w:val="20"/>
          <w:szCs w:val="20"/>
        </w:rPr>
        <w:t xml:space="preserve">Note: 21216 average home values trending down 5.7% YoY per Zillow. Conservative end of range warranted.</w:t>
      </w:r>
    </w:p>
    <w:r>
      <w:br w:type="page"/>
    </w:r>
    <w:p>
      <w:pPr>
        <w:pBdr>
          <w:bottom w:val="single" w:color="DF460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DF4601"/>
          <w:sz w:val="32"/>
          <w:szCs w:val="32"/>
        </w:rPr>
        <w:t xml:space="preserve">3. ROOM RENTAL RATE ANALYSIS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Market Data (21216 / West Baltimore, May 2026)</w:t>
      </w:r>
    </w:p>
    <w:tbl>
      <w:tblPr>
        <w:tblW w:type="dxa" w:w="10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3520"/>
      </w:tblGrid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3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Unfurnished, shared bath (Rosemont)</w:t>
            </w:r>
          </w:p>
        </w:tc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$550–$700/mo</w:t>
            </w:r>
          </w:p>
        </w:tc>
        <w:tc>
          <w:tcPr>
            <w:tcW w:type="dxa" w:w="3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Roomies, SpareRoom, Craigslist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Furnished, shared bath</w:t>
            </w:r>
          </w:p>
        </w:tc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$650–$800/mo</w:t>
            </w:r>
          </w:p>
        </w:tc>
        <w:tc>
          <w:tcPr>
            <w:tcW w:type="dxa" w:w="3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SpareRoom, Roomies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Private bath room</w:t>
            </w:r>
          </w:p>
        </w:tc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$800–$850/mo</w:t>
            </w:r>
          </w:p>
        </w:tc>
        <w:tc>
          <w:tcPr>
            <w:tcW w:type="dxa" w:w="3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SpareRoom, Roomies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Basement, private bath + entrance</w:t>
            </w:r>
          </w:p>
        </w:tc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$800–$1,150/mo</w:t>
            </w:r>
          </w:p>
        </w:tc>
        <w:tc>
          <w:tcPr>
            <w:tcW w:type="dxa" w:w="3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SpareRoom, Trovit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PadSplit rooms (Baltimore)</w:t>
            </w:r>
          </w:p>
        </w:tc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$155–$250/wk ($672–$1,083/mo)</w:t>
            </w:r>
          </w:p>
        </w:tc>
        <w:tc>
          <w:tcPr>
            <w:tcW w:type="dxa" w:w="3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PadSplit</w:t>
            </w:r>
          </w:p>
        </w:tc>
      </w:tr>
    </w:tbl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Pro Forma Rents vs. Market</w:t>
      </w:r>
    </w:p>
    <w:tbl>
      <w:tblPr>
        <w:tblW w:type="dxa" w:w="10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3520"/>
      </w:tblGrid>
      <w:tr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Forma</w:t>
            </w:r>
          </w:p>
        </w:tc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Range</w:t>
            </w:r>
          </w:p>
        </w:tc>
        <w:tc>
          <w:tcPr>
            <w:tcW w:type="dxa" w:w="3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Room 1 (shared bath)</w:t>
            </w:r>
          </w:p>
        </w:tc>
        <w:tc>
          <w:tcPr>
            <w:tcW w:type="dxa" w:w="1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$625</w:t>
            </w:r>
          </w:p>
        </w:tc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$550–$700</w:t>
            </w:r>
          </w:p>
        </w:tc>
        <w:tc>
          <w:tcPr>
            <w:tcW w:type="dxa" w:w="3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MARKET CENTER</w:t>
            </w:r>
          </w:p>
        </w:tc>
      </w:tr>
      <w:tr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Room 2 (shared bath)</w:t>
            </w:r>
          </w:p>
        </w:tc>
        <w:tc>
          <w:tcPr>
            <w:tcW w:type="dxa" w:w="1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$625</w:t>
            </w:r>
          </w:p>
        </w:tc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$550–$700</w:t>
            </w:r>
          </w:p>
        </w:tc>
        <w:tc>
          <w:tcPr>
            <w:tcW w:type="dxa" w:w="3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MARKET CENTER</w:t>
            </w:r>
          </w:p>
        </w:tc>
      </w:tr>
      <w:tr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Room 3 (shared bath)</w:t>
            </w:r>
          </w:p>
        </w:tc>
        <w:tc>
          <w:tcPr>
            <w:tcW w:type="dxa" w:w="1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$625</w:t>
            </w:r>
          </w:p>
        </w:tc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$550–$700</w:t>
            </w:r>
          </w:p>
        </w:tc>
        <w:tc>
          <w:tcPr>
            <w:tcW w:type="dxa" w:w="3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MARKET CENTER</w:t>
            </w:r>
          </w:p>
        </w:tc>
      </w:tr>
      <w:tr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Room 4 (private bath + entrance)</w:t>
            </w:r>
          </w:p>
        </w:tc>
        <w:tc>
          <w:tcPr>
            <w:tcW w:type="dxa" w:w="1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$675</w:t>
            </w:r>
          </w:p>
        </w:tc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$800–$1,150</w:t>
            </w:r>
          </w:p>
        </w:tc>
        <w:tc>
          <w:tcPr>
            <w:tcW w:type="dxa" w:w="3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CONSERVATIVE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Key Finding: The basement unit with private bath and private entrance is significantly underpriced at $675. Market data shows comparable units at $800–$1,150. Upside potential of $125–$475/month on Room 4 alone.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C55E"/>
          <w:sz w:val="20"/>
          <w:szCs w:val="20"/>
        </w:rPr>
        <w:t xml:space="preserve">Upside Scenario: If Room 4 is priced at market ($800/mo), gross income increases to $2,675/mo (+$125/mo or $1,500/yr).</w:t>
      </w:r>
    </w:p>
    <w:r>
      <w:br w:type="page"/>
    </w:r>
    <w:p>
      <w:pPr>
        <w:pBdr>
          <w:bottom w:val="single" w:color="DF460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DF4601"/>
          <w:sz w:val="32"/>
          <w:szCs w:val="32"/>
        </w:rPr>
        <w:t xml:space="preserve">4. FINANCIAL ANALYSIS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Pro Forma — Stabilized (Month 4+)</w:t>
      </w:r>
    </w:p>
    <w:tbl>
      <w:tblPr>
        <w:tblW w:type="dxa" w:w="10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60"/>
        <w:gridCol w:w="2500"/>
        <w:gridCol w:w="2560"/>
      </w:tblGrid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5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Gross Rental Income (4 rooms)</w:t>
            </w:r>
          </w:p>
        </w:tc>
        <w:tc>
          <w:tcPr>
            <w:tcW w:type="dxa" w:w="2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$2,550</w:t>
            </w:r>
          </w:p>
        </w:tc>
        <w:tc>
          <w:tcPr>
            <w:tcW w:type="dxa" w:w="25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$30,600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Less: Vacancy (10%)</w:t>
            </w:r>
          </w:p>
        </w:tc>
        <w:tc>
          <w:tcPr>
            <w:tcW w:type="dxa" w:w="2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-$255</w:t>
            </w:r>
          </w:p>
        </w:tc>
        <w:tc>
          <w:tcPr>
            <w:tcW w:type="dxa" w:w="25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-$3,060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Less: Repairs &amp; Maintenance (10%)</w:t>
            </w:r>
          </w:p>
        </w:tc>
        <w:tc>
          <w:tcPr>
            <w:tcW w:type="dxa" w:w="2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-$255</w:t>
            </w:r>
          </w:p>
        </w:tc>
        <w:tc>
          <w:tcPr>
            <w:tcW w:type="dxa" w:w="25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-$3,060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Effective Gross Income</w:t>
            </w:r>
          </w:p>
        </w:tc>
        <w:tc>
          <w:tcPr>
            <w:tcW w:type="dxa" w:w="2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$2,040</w:t>
            </w:r>
          </w:p>
        </w:tc>
        <w:tc>
          <w:tcPr>
            <w:tcW w:type="dxa" w:w="25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$24,480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Less: 1st Lien PITI</w:t>
            </w:r>
          </w:p>
        </w:tc>
        <w:tc>
          <w:tcPr>
            <w:tcW w:type="dxa" w:w="2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-$760</w:t>
            </w:r>
          </w:p>
        </w:tc>
        <w:tc>
          <w:tcPr>
            <w:tcW w:type="dxa" w:w="25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-$9,120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Less: PML Interest (12%)</w:t>
            </w:r>
          </w:p>
        </w:tc>
        <w:tc>
          <w:tcPr>
            <w:tcW w:type="dxa" w:w="2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-$850</w:t>
            </w:r>
          </w:p>
        </w:tc>
        <w:tc>
          <w:tcPr>
            <w:tcW w:type="dxa" w:w="25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-$10,200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Net Cash Flow (PML active)</w:t>
            </w:r>
          </w:p>
        </w:tc>
        <w:tc>
          <w:tcPr>
            <w:tcW w:type="dxa" w:w="2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$430</w:t>
            </w:r>
          </w:p>
        </w:tc>
        <w:tc>
          <w:tcPr>
            <w:tcW w:type="dxa" w:w="25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$5,160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Net Cash Flow (PML retired)</w:t>
            </w:r>
          </w:p>
        </w:tc>
        <w:tc>
          <w:tcPr>
            <w:tcW w:type="dxa" w:w="2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$1,280</w:t>
            </w:r>
          </w:p>
        </w:tc>
        <w:tc>
          <w:tcPr>
            <w:tcW w:type="dxa" w:w="25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$15,360</w:t>
            </w:r>
          </w:p>
        </w:tc>
      </w:tr>
    </w:tbl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Key Metrics</w:t>
      </w:r>
    </w:p>
    <w:tbl>
      <w:tblPr>
        <w:tblW w:type="dxa" w:w="8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1520"/>
      </w:tblGrid>
      <w:tr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Cash-on-Cash Return (PML active)</w:t>
            </w:r>
          </w:p>
        </w:tc>
        <w:tc>
          <w:tcPr>
            <w:tcW w:type="dxa" w:w="1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43%</w:t>
            </w:r>
          </w:p>
        </w:tc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12% minimum</w:t>
            </w:r>
          </w:p>
        </w:tc>
        <w:tc>
          <w:tcPr>
            <w:tcW w:type="dxa" w:w="1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MUST-BUY</w:t>
            </w:r>
          </w:p>
        </w:tc>
      </w:tr>
      <w:tr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Cash-on-Cash Return (PML retired)</w:t>
            </w:r>
          </w:p>
        </w:tc>
        <w:tc>
          <w:tcPr>
            <w:tcW w:type="dxa" w:w="1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128%</w:t>
            </w:r>
          </w:p>
        </w:tc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15% golden</w:t>
            </w:r>
          </w:p>
        </w:tc>
        <w:tc>
          <w:tcPr>
            <w:tcW w:type="dxa" w:w="1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MUST-BUY</w:t>
            </w:r>
          </w:p>
        </w:tc>
      </w:tr>
      <w:tr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Monthly Cash Flow (PML active)</w:t>
            </w:r>
          </w:p>
        </w:tc>
        <w:tc>
          <w:tcPr>
            <w:tcW w:type="dxa" w:w="1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$430</w:t>
            </w:r>
          </w:p>
        </w:tc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$500 minimum</w:t>
            </w:r>
          </w:p>
        </w:tc>
        <w:tc>
          <w:tcPr>
            <w:tcW w:type="dxa" w:w="1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MARGINAL</w:t>
            </w:r>
          </w:p>
        </w:tc>
      </w:tr>
      <w:tr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Monthly Cash Flow (PML retired)</w:t>
            </w:r>
          </w:p>
        </w:tc>
        <w:tc>
          <w:tcPr>
            <w:tcW w:type="dxa" w:w="1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$1,280</w:t>
            </w:r>
          </w:p>
        </w:tc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$1,000 excellent</w:t>
            </w:r>
          </w:p>
        </w:tc>
        <w:tc>
          <w:tcPr>
            <w:tcW w:type="dxa" w:w="1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DSCR (current, both liens)</w:t>
            </w:r>
          </w:p>
        </w:tc>
        <w:tc>
          <w:tcPr>
            <w:tcW w:type="dxa" w:w="1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1.27</w:t>
            </w:r>
          </w:p>
        </w:tc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1.25 minimum</w:t>
            </w:r>
          </w:p>
        </w:tc>
        <w:tc>
          <w:tcPr>
            <w:tcW w:type="dxa" w:w="1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PASSES</w:t>
            </w:r>
          </w:p>
        </w:tc>
      </w:tr>
      <w:tr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DSCR (post-refi, conservative)</w:t>
            </w:r>
          </w:p>
        </w:tc>
        <w:tc>
          <w:tcPr>
            <w:tcW w:type="dxa" w:w="1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2.22</w:t>
            </w:r>
          </w:p>
        </w:tc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1.25 minimum</w:t>
            </w:r>
          </w:p>
        </w:tc>
        <w:tc>
          <w:tcPr>
            <w:tcW w:type="dxa" w:w="1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DSCR (post-refi, realistic)</w:t>
            </w:r>
          </w:p>
        </w:tc>
        <w:tc>
          <w:tcPr>
            <w:tcW w:type="dxa" w:w="1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1.94</w:t>
            </w:r>
          </w:p>
        </w:tc>
        <w:tc>
          <w:tcPr>
            <w:tcW w:type="dxa" w:w="2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1.25 minimum</w:t>
            </w:r>
          </w:p>
        </w:tc>
        <w:tc>
          <w:tcPr>
            <w:tcW w:type="dxa" w:w="1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STRONG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Cash-on-Cash Calculation: Cash invested $12,000 ($7K down + $5K closing). Annual cash flow $5,160. CoC = 43% (Tier 7: Must-Buy).</w:t>
      </w:r>
    </w:p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Capital Stack &amp; LTV</w:t>
      </w:r>
    </w:p>
    <w:tbl>
      <w:tblPr>
        <w:tblW w:type="dxa" w:w="10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800"/>
        <w:gridCol w:w="2820"/>
      </w:tblGrid>
      <w:tr>
        <w:tc>
          <w:tcPr>
            <w:tcW w:type="dxa" w:w="2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LTV ($180K Cons.)</w:t>
            </w:r>
          </w:p>
        </w:tc>
        <w:tc>
          <w:tcPr>
            <w:tcW w:type="dxa" w:w="28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LTV ($200K Real.)</w:t>
            </w:r>
          </w:p>
        </w:tc>
      </w:tr>
      <w:tr>
        <w:tc>
          <w:tcPr>
            <w:tcW w:type="dxa" w:w="2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1st Lien</w:t>
            </w:r>
          </w:p>
        </w:tc>
        <w:tc>
          <w:tcPr>
            <w:tcW w:type="dxa" w:w="2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$87,000</w:t>
            </w:r>
          </w:p>
        </w:tc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48%</w:t>
            </w:r>
          </w:p>
        </w:tc>
        <w:tc>
          <w:tcPr>
            <w:tcW w:type="dxa" w:w="28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44%</w:t>
            </w:r>
          </w:p>
        </w:tc>
      </w:tr>
      <w:tr>
        <w:tc>
          <w:tcPr>
            <w:tcW w:type="dxa" w:w="2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2nd Lien (PML)</w:t>
            </w:r>
          </w:p>
        </w:tc>
        <w:tc>
          <w:tcPr>
            <w:tcW w:type="dxa" w:w="2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$85,000</w:t>
            </w:r>
          </w:p>
        </w:tc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47%</w:t>
            </w:r>
          </w:p>
        </w:tc>
        <w:tc>
          <w:tcPr>
            <w:tcW w:type="dxa" w:w="28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43%</w:t>
            </w:r>
          </w:p>
        </w:tc>
      </w:tr>
      <w:tr>
        <w:tc>
          <w:tcPr>
            <w:tcW w:type="dxa" w:w="2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$172,000</w:t>
            </w:r>
          </w:p>
        </w:tc>
        <w:tc>
          <w:tcPr>
            <w:tcW w:type="dxa" w:w="28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96%</w:t>
            </w:r>
          </w:p>
        </w:tc>
        <w:tc>
          <w:tcPr>
            <w:tcW w:type="dxa" w:w="28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86%</w:t>
            </w:r>
          </w:p>
        </w:tc>
      </w:tr>
    </w:tbl>
    <w:r>
      <w:br w:type="page"/>
    </w:r>
    <w:p>
      <w:pPr>
        <w:pBdr>
          <w:bottom w:val="single" w:color="DF460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DF4601"/>
          <w:sz w:val="32"/>
          <w:szCs w:val="32"/>
        </w:rPr>
        <w:t xml:space="preserve">5. PML EXIT ANALYSIS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Primary Exit — DSCR Refinance at Month 12</w:t>
      </w:r>
    </w:p>
    <w:tbl>
      <w:tblPr>
        <w:tblW w:type="dxa" w:w="10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60"/>
        <w:gridCol w:w="3360"/>
      </w:tblGrid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 ($180K)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Realistic ($200K)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ARV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$180,000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$200,000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Refi at 75% LTV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$135,000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$150,000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1st Lien Payoff (~12 months)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-$83,000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-$83,000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Cash Available for PML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$52,000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$67,000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PML Balance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$85,000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$85,000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-$33,000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-$18,000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12 Months Cash Flow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+$5,160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+$5,160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Net Gap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-$27,840</w:t>
            </w:r>
          </w:p>
        </w:tc>
        <w:tc>
          <w:tcPr>
            <w:tcW w:type="dxa" w:w="33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-$12,840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At realistic ARV ($200K): Gap of $12,840 — easily manageable via PML extension at reduced rate or portfolio cash injection.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ACC15"/>
          <w:sz w:val="20"/>
          <w:szCs w:val="20"/>
        </w:rPr>
        <w:t xml:space="preserve">At conservative ARV ($180K): Gap of $27,840 — requires PML extension of 6–12 months + continued cash flow paydown.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C55E"/>
          <w:sz w:val="20"/>
          <w:szCs w:val="20"/>
        </w:rPr>
        <w:t xml:space="preserve">DSCR at refi (1.94–2.22) is well above the 1.25 lender threshold — refinancing is highly feasible.</w:t>
      </w:r>
    </w:p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Backup Exits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PML Term Extension — Negotiate continued 12% I/O or reduced rate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Cash Flow Paydown — $430/mo net reduces balance over time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Sale at ARV — $180K–$200K sale covers all debt with proceeds to spare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PadSplit Conversion — Furnished rooms at $155–$250/wk increases gross income significantly</w:t>
      </w:r>
    </w:p>
    <w:r>
      <w:br w:type="page"/>
    </w:r>
    <w:p>
      <w:pPr>
        <w:pBdr>
          <w:bottom w:val="single" w:color="DF460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DF4601"/>
          <w:sz w:val="32"/>
          <w:szCs w:val="32"/>
        </w:rPr>
        <w:t xml:space="preserve">6. REGULATORY &amp; ZONING ANALYSIS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FACC15"/>
          <w:sz w:val="28"/>
          <w:szCs w:val="28"/>
        </w:rPr>
        <w:t xml:space="preserve">⚠ CRITICAL: ROOMING HOUSE LICENSE REQUIRED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Baltimore City requires a rooming house license for properties with 3+ unrelated tenants sharing common facilities. Without this license, operating a 4-room co-living unit violates city code.</w:t>
      </w:r>
    </w:p>
    <w:tbl>
      <w:tblPr>
        <w:tblW w:type="dxa" w:w="10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720"/>
      </w:tblGrid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Cost/Action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Property Registration (DHCD)</w:t>
            </w:r>
          </w:p>
        </w:tc>
        <w:tc>
          <w:tcPr>
            <w:tcW w:type="dxa" w:w="3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Required within 10 days</w:t>
            </w:r>
          </w:p>
        </w:tc>
        <w:tc>
          <w:tcPr>
            <w:tcW w:type="dxa" w:w="37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$500 fine if late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Rental Dwelling License</w:t>
            </w:r>
          </w:p>
        </w:tc>
        <w:tc>
          <w:tcPr>
            <w:tcW w:type="dxa" w:w="3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Required — $60/unit, 2-year</w:t>
            </w:r>
          </w:p>
        </w:tc>
        <w:tc>
          <w:tcPr>
            <w:tcW w:type="dxa" w:w="37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Includes passing inspection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Rooming House License</w:t>
            </w:r>
          </w:p>
        </w:tc>
        <w:tc>
          <w:tcPr>
            <w:tcW w:type="dxa" w:w="3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REQUIRED for 3+ unrelated</w:t>
            </w:r>
          </w:p>
        </w:tc>
        <w:tc>
          <w:tcPr>
            <w:tcW w:type="dxa" w:w="37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Confirm with DHCD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Lead Paint Registration (MDE)</w:t>
            </w:r>
          </w:p>
        </w:tc>
        <w:tc>
          <w:tcPr>
            <w:tcW w:type="dxa" w:w="3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MANDATORY (1923 build)</w:t>
            </w:r>
          </w:p>
        </w:tc>
        <w:tc>
          <w:tcPr>
            <w:tcW w:type="dxa" w:w="37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$75 for 2-year period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Lead Paint Inspection</w:t>
            </w:r>
          </w:p>
        </w:tc>
        <w:tc>
          <w:tcPr>
            <w:tcW w:type="dxa" w:w="3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At every tenant turnover</w:t>
            </w:r>
          </w:p>
        </w:tc>
        <w:tc>
          <w:tcPr>
            <w:tcW w:type="dxa" w:w="37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$150–$300 per inspection</w:t>
            </w:r>
          </w:p>
        </w:tc>
      </w:tr>
      <w:tr>
        <w:tc>
          <w:tcPr>
            <w:tcW w:type="dxa" w:w="34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Zoning Approval</w:t>
            </w:r>
          </w:p>
        </w:tc>
        <w:tc>
          <w:tcPr>
            <w:tcW w:type="dxa" w:w="3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May need conditional use</w:t>
            </w:r>
          </w:p>
        </w:tc>
        <w:tc>
          <w:tcPr>
            <w:tcW w:type="dxa" w:w="37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Consult zoning attorney</w:t>
            </w:r>
          </w:p>
        </w:tc>
      </w:tr>
    </w:tbl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Zoning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Current designation: R-7 or R-8 (Rowhouse Residential)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Conversion to multi-tenant requires conditional use approval by City Council ordinance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2 unrelated persons maximum without rooming house classification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Housing Options and Opportunities Act (pending) would allow duplex/triplex/fourplex in R-7/R-8</w:t>
      </w:r>
    </w:p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Lead Paint (Non-Negotiable)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Annual registration under owner-specific MDE Tracking Number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Lead inspection at every tenant turnover (unless certified lead-free)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All chipping/peeling paint must be corrected before certificate issued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Budget: $2,000–$5,000 for lead-safe certification, $150–$300 per turnover inspection</w:t>
      </w:r>
    </w:p>
    <w:r>
      <w:br w:type="page"/>
    </w:r>
    <w:p>
      <w:pPr>
        <w:pBdr>
          <w:bottom w:val="single" w:color="DF460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DF4601"/>
          <w:sz w:val="32"/>
          <w:szCs w:val="32"/>
        </w:rPr>
        <w:t xml:space="preserve">7. BLOCK-LEVEL LOCATION ANALYSIS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Neighborhood Tier: 4 (Transitional)</w:t>
      </w:r>
    </w:p>
    <w:tbl>
      <w:tblPr>
        <w:tblW w:type="dxa" w:w="10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920"/>
      </w:tblGrid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 (Transitional)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Cap Rate Target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12–15%+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Vacancy Assumption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Risk Profile</w:t>
            </w:r>
          </w:p>
        </w:tc>
        <w:tc>
          <w:tcPr>
            <w:tcW w:type="dxa" w:w="69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Higher risk, higher potential returns</w:t>
            </w:r>
          </w:p>
        </w:tc>
      </w:tr>
    </w:tbl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Crime &amp; Safety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Western District — historically one of Baltimore’s most challenged police districts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2C55E"/>
          <w:sz w:val="20"/>
          <w:szCs w:val="20"/>
        </w:rPr>
        <w:t xml:space="preserve">POSITIVE: City-wide homicides at 50-year low (131 in 2025, down 31% YoY)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2C55E"/>
          <w:sz w:val="20"/>
          <w:szCs w:val="20"/>
        </w:rPr>
        <w:t xml:space="preserve">POSITIVE: Non-fatal shootings down 24%, carjackings down 37%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ACC15"/>
          <w:sz w:val="20"/>
          <w:szCs w:val="20"/>
        </w:rPr>
        <w:t xml:space="preserve">CAUTION: Western District still had elevated violent crime in July 2024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Block-by-block variation is extreme — walking the 3200 block is essential</w:t>
      </w:r>
    </w:p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Proximity to Anchors</w:t>
      </w:r>
    </w:p>
    <w:tbl>
      <w:tblPr>
        <w:tblW w:type="dxa" w:w="10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60"/>
        <w:gridCol w:w="5060"/>
      </w:tblGrid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</w:t>
            </w:r>
          </w:p>
        </w:tc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Mondawmin Mall / Metro Station</w:t>
            </w:r>
          </w:p>
        </w:tc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~1.5 mi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Coppin State University</w:t>
            </w:r>
          </w:p>
        </w:tc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~1.5 mi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West Baltimore MARC Station</w:t>
            </w:r>
          </w:p>
        </w:tc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~2 mi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Gwynns Falls Park</w:t>
            </w:r>
          </w:p>
        </w:tc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Adjacent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Walbrook Junction Shopping</w:t>
            </w:r>
          </w:p>
        </w:tc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~0.5 mi</w:t>
            </w:r>
          </w:p>
        </w:tc>
      </w:tr>
      <w:tr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CityLink bus routes</w:t>
            </w:r>
          </w:p>
        </w:tc>
        <w:tc>
          <w:tcPr>
            <w:tcW w:type="dxa" w:w="506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On North Ave nearby</w:t>
            </w:r>
          </w:p>
        </w:tc>
      </w:tr>
    </w:tbl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Market Dynamics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2C55E"/>
          <w:sz w:val="20"/>
          <w:szCs w:val="20"/>
        </w:rPr>
        <w:t xml:space="preserve">Rosemont median home prices up 32% YoY ($113K median)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$100M state investment in Baltimore vacant property revitalization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Co-living demand: 163,000 housing unit deficit in Baltimore metro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PadSplit has 98 rooms listed in Baltimore — growing market</w:t>
      </w:r>
    </w:p>
    <w:r>
      <w:br w:type="page"/>
    </w:r>
    <w:p>
      <w:pPr>
        <w:pBdr>
          <w:bottom w:val="single" w:color="DF460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DF4601"/>
          <w:sz w:val="32"/>
          <w:szCs w:val="32"/>
        </w:rPr>
        <w:t xml:space="preserve">8. RISK MATRIX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200"/>
        <w:gridCol w:w="3820"/>
        <w:gridCol w:w="1000"/>
      </w:tblGrid>
      <w:tr>
        <w:tc>
          <w:tcPr>
            <w:tcW w:type="dxa" w:w="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</w:t>
            </w:r>
          </w:p>
        </w:tc>
      </w:tr>
      <w:tr>
        <w:tc>
          <w:tcPr>
            <w:tcW w:type="dxa" w:w="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Rooming house license denial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38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Research with DHCD before closing. Fallback: 2-tenant traditional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Conditional use permit required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8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Budget $3K–$5K and 3–6 months for approval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Lead paint remediation costs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8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Budget $2K–$5K in renovation. Full inspection at acquisition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PML refi gap at conservative ARV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8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Pre-negotiate extension. Cash flow covers $430/mo paydown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Rehab budget overrun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LOW-MED</w:t>
            </w:r>
          </w:p>
        </w:tc>
        <w:tc>
          <w:tcPr>
            <w:tcW w:type="dxa" w:w="38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15% contingency in $85K budget. Standard scope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Due-on-sale clause triggered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38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18yr seasoned. Land trust. 4% rate = no incentive to call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Vacancy exceeds 10%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38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 streams vs 1. Room rates at/below market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Neighborhood crime/safety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8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City-wide trends positive. Walk block before committing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Months 1–3 negative cash flow</w:t>
            </w:r>
          </w:p>
        </w:tc>
        <w:tc>
          <w:tcPr>
            <w:tcW w:type="dxa" w:w="12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38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~$1,600–$3,700 burn funded from PML reserves</w:t>
            </w:r>
          </w:p>
        </w:tc>
        <w:tc>
          <w:tcPr>
            <w:tcW w:type="dxa" w:w="1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VERY LOW</w:t>
            </w:r>
          </w:p>
        </w:tc>
      </w:tr>
    </w:tbl>
    <w:r>
      <w:br w:type="page"/>
    </w:r>
    <w:p>
      <w:pPr>
        <w:pBdr>
          <w:bottom w:val="single" w:color="DF460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DF4601"/>
          <w:sz w:val="32"/>
          <w:szCs w:val="32"/>
        </w:rPr>
        <w:t xml:space="preserve">9. GO/NO-GO RECOMMENDATION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2C55E"/>
          <w:sz w:val="28"/>
          <w:szCs w:val="28"/>
        </w:rPr>
        <w:t xml:space="preserve">VERDICT: CONDITIONAL GO</w:t>
      </w:r>
    </w:p>
    <w:tbl>
      <w:tblPr>
        <w:tblW w:type="dxa" w:w="10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20"/>
        <w:gridCol w:w="2600"/>
      </w:tblGrid>
      <w:tr>
        <w:tc>
          <w:tcPr>
            <w:tcW w:type="dxa" w:w="2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2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Financials</w:t>
            </w:r>
          </w:p>
        </w:tc>
        <w:tc>
          <w:tcPr>
            <w:tcW w:type="dxa" w:w="5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CoC 43%, cash flow $430–$1,280/mo, DSCR 1.94–2.22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Comps/ARV</w:t>
            </w:r>
          </w:p>
        </w:tc>
        <w:tc>
          <w:tcPr>
            <w:tcW w:type="dxa" w:w="5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$180K–$200K supported by same-street sales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Room Rates</w:t>
            </w:r>
          </w:p>
        </w:tc>
        <w:tc>
          <w:tcPr>
            <w:tcW w:type="dxa" w:w="5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$625 validated at market center, $675 conservative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PML Exit</w:t>
            </w:r>
          </w:p>
        </w:tc>
        <w:tc>
          <w:tcPr>
            <w:tcW w:type="dxa" w:w="5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Gap manageable at realistic ARV, tight at conservative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dxa" w:w="2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Regulations</w:t>
            </w:r>
          </w:p>
        </w:tc>
        <w:tc>
          <w:tcPr>
            <w:tcW w:type="dxa" w:w="5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Rooming house license + conditional use needed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2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Tier 4 transitional, crime improving, 32% growth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dxa" w:w="20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Lead Paint</w:t>
            </w:r>
          </w:p>
        </w:tc>
        <w:tc>
          <w:tcPr>
            <w:tcW w:type="dxa" w:w="55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Mandatory compliance, budgeted in renovation scope</w:t>
            </w:r>
          </w:p>
        </w:tc>
        <w:tc>
          <w:tcPr>
            <w:tcW w:type="dxa" w:w="26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YELLOW</w:t>
            </w:r>
          </w:p>
        </w:tc>
      </w:tr>
    </w:tbl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Conditions for Full GO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Confirm rooming house license feasibility — Contact DHCD before closing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Verify exact zoning — Use CityView to confirm R-7 vs R-8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Walk the 3200 block — Count vacants, assess condition, talk to neighbors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Get lead paint inspection — Full inspection to scope remediation costs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Pre-negotiate PML extension terms — Ensure fallback if refi proceeds fall short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Get co-living insurance quote — Commercial landlord policy with lead paint coverage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Consult Baltimore zoning attorney — $500–$1,000 for definitive answer</w:t>
      </w:r>
    </w:p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Fallback Strategy (If rooming house license denied)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Option A: Rent to 2 unrelated tenants (2BR traditional) — gross ~$1,250–$1,400/mo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Option B: Rent to a family (whole unit) — gross ~$1,200–$1,500/mo for 4BR/2BA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DF4601"/>
          <w:sz w:val="20"/>
          <w:szCs w:val="20"/>
        </w:rPr>
        <w:t xml:space="preserve">•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Option C: PadSplit partnership (they handle licensing/compliance)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In all fallback scenarios, the property still cash flows and the PML is serviceable, but returns compress significantly.</w:t>
      </w:r>
    </w:p>
    <w:r>
      <w:br w:type="page"/>
    </w:r>
    <w:p>
      <w:pPr>
        <w:pBdr>
          <w:bottom w:val="single" w:color="DF4601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DF4601"/>
          <w:sz w:val="32"/>
          <w:szCs w:val="32"/>
        </w:rPr>
        <w:t xml:space="preserve">10. UPSIDE SCENARIOS</w:t>
      </w:r>
    </w:p>
    <w:tbl>
      <w:tblPr>
        <w:tblW w:type="dxa" w:w="10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620"/>
      </w:tblGrid>
      <w:tr>
        <w:tc>
          <w:tcPr>
            <w:tcW w:type="dxa" w:w="4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6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F46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Room 4 priced at market ($800 vs $675)</w:t>
            </w:r>
          </w:p>
        </w:tc>
        <w:tc>
          <w:tcPr>
            <w:tcW w:type="dxa" w:w="56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+$125/mo, +$1,500/yr, CoC jumps to 55%</w:t>
            </w:r>
          </w:p>
        </w:tc>
      </w:tr>
      <w:tr>
        <w:tc>
          <w:tcPr>
            <w:tcW w:type="dxa" w:w="4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All rooms furnished + utilities included</w:t>
            </w:r>
          </w:p>
        </w:tc>
        <w:tc>
          <w:tcPr>
            <w:tcW w:type="dxa" w:w="56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+$100–$200/room/mo. Gross could reach $3,400/mo</w:t>
            </w:r>
          </w:p>
        </w:tc>
      </w:tr>
      <w:tr>
        <w:tc>
          <w:tcPr>
            <w:tcW w:type="dxa" w:w="4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PadSplit placement (weekly billing)</w:t>
            </w:r>
          </w:p>
        </w:tc>
        <w:tc>
          <w:tcPr>
            <w:tcW w:type="dxa" w:w="56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$155–$250/wk per room. 4 rooms at $175/wk avg = $3,033/mo</w:t>
            </w:r>
          </w:p>
        </w:tc>
      </w:tr>
      <w:tr>
        <w:tc>
          <w:tcPr>
            <w:tcW w:type="dxa" w:w="4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Housing Options Act passes</w:t>
            </w:r>
          </w:p>
        </w:tc>
        <w:tc>
          <w:tcPr>
            <w:tcW w:type="dxa" w:w="56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6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Simplifies zoning, removes conditional use barrier</w:t>
            </w:r>
          </w:p>
        </w:tc>
      </w:tr>
      <w:tr>
        <w:tc>
          <w:tcPr>
            <w:tcW w:type="dxa" w:w="450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Section 8 / BRHP voucher tenants</w:t>
            </w:r>
          </w:p>
        </w:tc>
        <w:tc>
          <w:tcPr>
            <w:tcW w:type="dxa" w:w="5620"/>
            <w:gridSpan w:val="1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Guaranteed rent payments, reduced vacancy risk</w:t>
            </w:r>
          </w:p>
        </w:tc>
      </w:tr>
    </w:tbl>
    <w:p>
      <w:pPr>
        <w:spacing w:before="400"/>
      </w:pPr>
    </w:p>
    <w:p>
      <w:pPr>
        <w:pBdr>
          <w:top w:val="single" w:color="333333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B0B0B0"/>
          <w:sz w:val="16"/>
          <w:szCs w:val="16"/>
        </w:rPr>
        <w:t xml:space="preserve">Report generated May 13, 2026. All projections are estimates based on current market data.</w:t>
      </w:r>
    </w:p>
    <w:p>
      <w:pPr>
        <w:jc w:val="center"/>
      </w:pPr>
      <w:r>
        <w:rPr>
          <w:rFonts w:ascii="Arial" w:cs="Arial" w:eastAsia="Arial" w:hAnsi="Arial"/>
          <w:i/>
          <w:iCs/>
          <w:color w:val="B0B0B0"/>
          <w:sz w:val="16"/>
          <w:szCs w:val="16"/>
        </w:rPr>
        <w:t xml:space="preserve">Sources: Redfin, Zillow, Homes.com, Roomies, SpareRoom, PadSplit, Zumper, Craigslist, Baltimore City DHCD, BPD.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3333" w:sz="1" w:space="4"/>
      </w:pBdr>
      <w:tabs>
        <w:tab w:val="right" w:pos="9026"/>
      </w:tabs>
    </w:pPr>
    <w:r>
      <w:rPr>
        <w:rFonts w:ascii="Arial" w:cs="Arial" w:eastAsia="Arial" w:hAnsi="Arial"/>
        <w:color w:val="B0B0B0"/>
        <w:sz w:val="14"/>
        <w:szCs w:val="14"/>
      </w:rPr>
      <w:t xml:space="preserve">TOP Wheels | 443 Innovative Solutions LLC</w:t>
    </w:r>
    <w:r>
      <w:rPr>
        <w:rFonts w:ascii="Arial" w:cs="Arial" w:eastAsia="Arial" w:hAnsi="Arial"/>
        <w:color w:val="B0B0B0"/>
        <w:sz w:val="14"/>
        <w:szCs w:val="14"/>
      </w:rPr>
      <w:t xml:space="preserve">	Page </w:t>
    </w:r>
    <w:r>
      <w:rPr>
        <w:rFonts w:ascii="Arial" w:cs="Arial" w:eastAsia="Arial" w:hAnsi="Arial"/>
        <w:color w:val="B0B0B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4601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DF4601"/>
        <w:sz w:val="16"/>
        <w:szCs w:val="16"/>
      </w:rPr>
      <w:t xml:space="preserve">CONFIDENTIAL</w:t>
    </w:r>
    <w:r>
      <w:rPr>
        <w:rFonts w:ascii="Arial" w:cs="Arial" w:eastAsia="Arial" w:hAnsi="Arial"/>
        <w:color w:val="B0B0B0"/>
        <w:sz w:val="16"/>
        <w:szCs w:val="16"/>
      </w:rPr>
      <w:t xml:space="preserve">	3221 Brighton St | Underwriting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FFFFF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2026-05-13T23:31:09.566Z</dcterms:created>
  <dcterms:modified xsi:type="dcterms:W3CDTF">2026-05-13T23:31:09.567Z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