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p>
    <w:p>
      <w:pPr>
        <w:spacing w:after="100" w:before="100"/>
      </w:pPr>
    </w:p>
    <w:p>
      <w:pPr>
        <w:spacing w:after="120" w:before="120"/>
        <w:jc w:val="center"/>
      </w:pPr>
      <w:r>
        <w:rPr>
          <w:rFonts w:ascii="Arial" w:cs="Arial" w:eastAsia="Arial" w:hAnsi="Arial"/>
          <w:b/>
          <w:bCs/>
          <w:sz w:val="28"/>
          <w:szCs w:val="28"/>
        </w:rPr>
        <w:t xml:space="preserve">UNITED STATES PATENT APPLICATION</w:t>
      </w:r>
    </w:p>
    <w:p>
      <w:pPr>
        <w:spacing w:after="100" w:before="100"/>
      </w:pPr>
    </w:p>
    <w:p>
      <w:pPr>
        <w:spacing w:after="120" w:before="120"/>
        <w:jc w:val="center"/>
      </w:pPr>
      <w:r>
        <w:rPr>
          <w:rFonts w:ascii="Arial" w:cs="Arial" w:eastAsia="Arial" w:hAnsi="Arial"/>
          <w:b/>
          <w:bCs/>
          <w:sz w:val="24"/>
          <w:szCs w:val="24"/>
        </w:rPr>
        <w:t xml:space="preserve">PROVISIONAL PATENT APPLICATION</w:t>
      </w:r>
    </w:p>
    <w:p>
      <w:pPr>
        <w:spacing w:after="100" w:before="100"/>
      </w:pPr>
    </w:p>
    <w:p>
      <w:pPr>
        <w:spacing w:after="100" w:before="100"/>
      </w:pPr>
    </w:p>
    <w:p>
      <w:pPr>
        <w:spacing w:after="80"/>
        <w:jc w:val="center"/>
      </w:pPr>
      <w:r>
        <w:rPr>
          <w:rFonts w:ascii="Arial" w:cs="Arial" w:eastAsia="Arial" w:hAnsi="Arial"/>
          <w:b/>
          <w:bCs/>
          <w:sz w:val="24"/>
          <w:szCs w:val="24"/>
        </w:rPr>
        <w:t xml:space="preserve">TITLE OF INVENTION:</w:t>
      </w:r>
    </w:p>
    <w:p>
      <w:pPr>
        <w:spacing w:after="120" w:before="120"/>
        <w:jc w:val="center"/>
      </w:pPr>
      <w:r>
        <w:rPr>
          <w:rFonts w:ascii="Arial" w:cs="Arial" w:eastAsia="Arial" w:hAnsi="Arial"/>
          <w:b/>
          <w:bCs/>
          <w:sz w:val="28"/>
          <w:szCs w:val="28"/>
        </w:rPr>
        <w:t xml:space="preserve">ONBOARDED: A MULTI-TENANT PLATFORM INTELLIGENCE
SYSTEM WITH DATA-DRIVEN ADAPTER SYNTHESIS</w:t>
      </w:r>
    </w:p>
    <w:p>
      <w:pPr>
        <w:spacing w:after="100" w:before="100"/>
      </w:pPr>
    </w:p>
    <w:p>
      <w:pPr>
        <w:spacing w:after="100" w:before="100"/>
      </w:pP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3000"/>
        <w:gridCol w:w="6360"/>
      </w:tblGrid>
      <w:tr>
        <w:tc>
          <w:tcPr>
            <w:tcW w:type="dxa" w:w="3000"/>
            <w:shd w:fill="F0F4F8" w:val="clear"/>
            <w:tcMar>
              <w:top w:type="dxa" w:w="100"/>
              <w:left w:type="dxa" w:w="150"/>
              <w:bottom w:type="dxa" w:w="100"/>
              <w:right w:type="dxa" w:w="150"/>
            </w:tcMar>
          </w:tcPr>
          <w:p>
            <w:r>
              <w:rPr>
                <w:rFonts w:ascii="Arial" w:cs="Arial" w:eastAsia="Arial" w:hAnsi="Arial"/>
                <w:b/>
                <w:bCs/>
                <w:sz w:val="20"/>
                <w:szCs w:val="20"/>
              </w:rPr>
              <w:t xml:space="preserve">Application Type</w:t>
            </w:r>
          </w:p>
        </w:tc>
        <w:tc>
          <w:tcPr>
            <w:tcW w:type="dxa" w:w="6360"/>
            <w:tcMar>
              <w:top w:type="dxa" w:w="100"/>
              <w:left w:type="dxa" w:w="150"/>
              <w:bottom w:type="dxa" w:w="100"/>
              <w:right w:type="dxa" w:w="150"/>
            </w:tcMar>
          </w:tcPr>
          <w:p>
            <w:r>
              <w:rPr>
                <w:rFonts w:ascii="Arial" w:cs="Arial" w:eastAsia="Arial" w:hAnsi="Arial"/>
                <w:sz w:val="20"/>
                <w:szCs w:val="20"/>
              </w:rPr>
              <w:t xml:space="preserve">Non-Provisional Utility Patent (Provisional Filed Herewith)</w:t>
            </w:r>
          </w:p>
        </w:tc>
      </w:tr>
      <w:tr>
        <w:tc>
          <w:tcPr>
            <w:tcW w:type="dxa" w:w="3000"/>
            <w:shd w:fill="F0F4F8" w:val="clear"/>
            <w:tcMar>
              <w:top w:type="dxa" w:w="100"/>
              <w:left w:type="dxa" w:w="150"/>
              <w:bottom w:type="dxa" w:w="100"/>
              <w:right w:type="dxa" w:w="150"/>
            </w:tcMar>
          </w:tcPr>
          <w:p>
            <w:r>
              <w:rPr>
                <w:rFonts w:ascii="Arial" w:cs="Arial" w:eastAsia="Arial" w:hAnsi="Arial"/>
                <w:b/>
                <w:bCs/>
                <w:sz w:val="20"/>
                <w:szCs w:val="20"/>
              </w:rPr>
              <w:t xml:space="preserve">Filing Date</w:t>
            </w:r>
          </w:p>
        </w:tc>
        <w:tc>
          <w:tcPr>
            <w:tcW w:type="dxa" w:w="6360"/>
            <w:tcMar>
              <w:top w:type="dxa" w:w="100"/>
              <w:left w:type="dxa" w:w="150"/>
              <w:bottom w:type="dxa" w:w="100"/>
              <w:right w:type="dxa" w:w="150"/>
            </w:tcMar>
          </w:tcPr>
          <w:p>
            <w:r>
              <w:rPr>
                <w:rFonts w:ascii="Arial" w:cs="Arial" w:eastAsia="Arial" w:hAnsi="Arial"/>
                <w:sz w:val="20"/>
                <w:szCs w:val="20"/>
              </w:rPr>
              <w:t xml:space="preserve">[DATE OF FILING]</w:t>
            </w:r>
          </w:p>
        </w:tc>
      </w:tr>
      <w:tr>
        <w:tc>
          <w:tcPr>
            <w:tcW w:type="dxa" w:w="3000"/>
            <w:shd w:fill="F0F4F8" w:val="clear"/>
            <w:tcMar>
              <w:top w:type="dxa" w:w="100"/>
              <w:left w:type="dxa" w:w="150"/>
              <w:bottom w:type="dxa" w:w="100"/>
              <w:right w:type="dxa" w:w="150"/>
            </w:tcMar>
          </w:tcPr>
          <w:p>
            <w:r>
              <w:rPr>
                <w:rFonts w:ascii="Arial" w:cs="Arial" w:eastAsia="Arial" w:hAnsi="Arial"/>
                <w:b/>
                <w:bCs/>
                <w:sz w:val="20"/>
                <w:szCs w:val="20"/>
              </w:rPr>
              <w:t xml:space="preserve">Applicant(s)</w:t>
            </w:r>
          </w:p>
        </w:tc>
        <w:tc>
          <w:tcPr>
            <w:tcW w:type="dxa" w:w="6360"/>
            <w:tcMar>
              <w:top w:type="dxa" w:w="100"/>
              <w:left w:type="dxa" w:w="150"/>
              <w:bottom w:type="dxa" w:w="100"/>
              <w:right w:type="dxa" w:w="150"/>
            </w:tcMar>
          </w:tcPr>
          <w:p>
            <w:r>
              <w:rPr>
                <w:rFonts w:ascii="Arial" w:cs="Arial" w:eastAsia="Arial" w:hAnsi="Arial"/>
                <w:sz w:val="20"/>
                <w:szCs w:val="20"/>
              </w:rPr>
              <w:t xml:space="preserve">[APPLICANT NAME(S)]</w:t>
            </w:r>
          </w:p>
        </w:tc>
      </w:tr>
      <w:tr>
        <w:tc>
          <w:tcPr>
            <w:tcW w:type="dxa" w:w="3000"/>
            <w:shd w:fill="F0F4F8" w:val="clear"/>
            <w:tcMar>
              <w:top w:type="dxa" w:w="100"/>
              <w:left w:type="dxa" w:w="150"/>
              <w:bottom w:type="dxa" w:w="100"/>
              <w:right w:type="dxa" w:w="150"/>
            </w:tcMar>
          </w:tcPr>
          <w:p>
            <w:r>
              <w:rPr>
                <w:rFonts w:ascii="Arial" w:cs="Arial" w:eastAsia="Arial" w:hAnsi="Arial"/>
                <w:b/>
                <w:bCs/>
                <w:sz w:val="20"/>
                <w:szCs w:val="20"/>
              </w:rPr>
              <w:t xml:space="preserve">Inventors</w:t>
            </w:r>
          </w:p>
        </w:tc>
        <w:tc>
          <w:tcPr>
            <w:tcW w:type="dxa" w:w="6360"/>
            <w:tcMar>
              <w:top w:type="dxa" w:w="100"/>
              <w:left w:type="dxa" w:w="150"/>
              <w:bottom w:type="dxa" w:w="100"/>
              <w:right w:type="dxa" w:w="150"/>
            </w:tcMar>
          </w:tcPr>
          <w:p>
            <w:r>
              <w:rPr>
                <w:rFonts w:ascii="Arial" w:cs="Arial" w:eastAsia="Arial" w:hAnsi="Arial"/>
                <w:sz w:val="20"/>
                <w:szCs w:val="20"/>
              </w:rPr>
              <w:t xml:space="preserve">[INVENTOR NAME(S)]</w:t>
            </w:r>
          </w:p>
        </w:tc>
      </w:tr>
      <w:tr>
        <w:tc>
          <w:tcPr>
            <w:tcW w:type="dxa" w:w="3000"/>
            <w:shd w:fill="F0F4F8" w:val="clear"/>
            <w:tcMar>
              <w:top w:type="dxa" w:w="100"/>
              <w:left w:type="dxa" w:w="150"/>
              <w:bottom w:type="dxa" w:w="100"/>
              <w:right w:type="dxa" w:w="150"/>
            </w:tcMar>
          </w:tcPr>
          <w:p>
            <w:r>
              <w:rPr>
                <w:rFonts w:ascii="Arial" w:cs="Arial" w:eastAsia="Arial" w:hAnsi="Arial"/>
                <w:b/>
                <w:bCs/>
                <w:sz w:val="20"/>
                <w:szCs w:val="20"/>
              </w:rPr>
              <w:t xml:space="preserve">Assignee</w:t>
            </w:r>
          </w:p>
        </w:tc>
        <w:tc>
          <w:tcPr>
            <w:tcW w:type="dxa" w:w="6360"/>
            <w:tcMar>
              <w:top w:type="dxa" w:w="100"/>
              <w:left w:type="dxa" w:w="150"/>
              <w:bottom w:type="dxa" w:w="100"/>
              <w:right w:type="dxa" w:w="150"/>
            </w:tcMar>
          </w:tcPr>
          <w:p>
            <w:r>
              <w:rPr>
                <w:rFonts w:ascii="Arial" w:cs="Arial" w:eastAsia="Arial" w:hAnsi="Arial"/>
                <w:sz w:val="20"/>
                <w:szCs w:val="20"/>
              </w:rPr>
              <w:t xml:space="preserve">[ASSIGNEE / ORGANIZATION NAME]</w:t>
            </w:r>
          </w:p>
        </w:tc>
      </w:tr>
      <w:tr>
        <w:tc>
          <w:tcPr>
            <w:tcW w:type="dxa" w:w="3000"/>
            <w:shd w:fill="F0F4F8" w:val="clear"/>
            <w:tcMar>
              <w:top w:type="dxa" w:w="100"/>
              <w:left w:type="dxa" w:w="150"/>
              <w:bottom w:type="dxa" w:w="100"/>
              <w:right w:type="dxa" w:w="150"/>
            </w:tcMar>
          </w:tcPr>
          <w:p>
            <w:r>
              <w:rPr>
                <w:rFonts w:ascii="Arial" w:cs="Arial" w:eastAsia="Arial" w:hAnsi="Arial"/>
                <w:b/>
                <w:bCs/>
                <w:sz w:val="20"/>
                <w:szCs w:val="20"/>
              </w:rPr>
              <w:t xml:space="preserve">Attorney Docket</w:t>
            </w:r>
          </w:p>
        </w:tc>
        <w:tc>
          <w:tcPr>
            <w:tcW w:type="dxa" w:w="6360"/>
            <w:tcMar>
              <w:top w:type="dxa" w:w="100"/>
              <w:left w:type="dxa" w:w="150"/>
              <w:bottom w:type="dxa" w:w="100"/>
              <w:right w:type="dxa" w:w="150"/>
            </w:tcMar>
          </w:tcPr>
          <w:p>
            <w:r>
              <w:rPr>
                <w:rFonts w:ascii="Arial" w:cs="Arial" w:eastAsia="Arial" w:hAnsi="Arial"/>
                <w:sz w:val="20"/>
                <w:szCs w:val="20"/>
              </w:rPr>
              <w:t xml:space="preserve">OB-2026-001</w:t>
            </w:r>
          </w:p>
        </w:tc>
      </w:tr>
      <w:tr>
        <w:tc>
          <w:tcPr>
            <w:tcW w:type="dxa" w:w="3000"/>
            <w:shd w:fill="F0F4F8" w:val="clear"/>
            <w:tcMar>
              <w:top w:type="dxa" w:w="100"/>
              <w:left w:type="dxa" w:w="150"/>
              <w:bottom w:type="dxa" w:w="100"/>
              <w:right w:type="dxa" w:w="150"/>
            </w:tcMar>
          </w:tcPr>
          <w:p>
            <w:r>
              <w:rPr>
                <w:rFonts w:ascii="Arial" w:cs="Arial" w:eastAsia="Arial" w:hAnsi="Arial"/>
                <w:b/>
                <w:bCs/>
                <w:sz w:val="20"/>
                <w:szCs w:val="20"/>
              </w:rPr>
              <w:t xml:space="preserve">Country</w:t>
            </w:r>
          </w:p>
        </w:tc>
        <w:tc>
          <w:tcPr>
            <w:tcW w:type="dxa" w:w="6360"/>
            <w:tcMar>
              <w:top w:type="dxa" w:w="100"/>
              <w:left w:type="dxa" w:w="150"/>
              <w:bottom w:type="dxa" w:w="100"/>
              <w:right w:type="dxa" w:w="150"/>
            </w:tcMar>
          </w:tcPr>
          <w:p>
            <w:r>
              <w:rPr>
                <w:rFonts w:ascii="Arial" w:cs="Arial" w:eastAsia="Arial" w:hAnsi="Arial"/>
                <w:sz w:val="20"/>
                <w:szCs w:val="20"/>
              </w:rPr>
              <w:t xml:space="preserve">United States of America</w:t>
            </w:r>
          </w:p>
        </w:tc>
      </w:tr>
    </w:tbl>
    <w:p>
      <w:pPr>
        <w:spacing w:after="100" w:before="100"/>
      </w:pPr>
    </w:p>
    <w:p>
      <w:pPr>
        <w:spacing w:after="100" w:before="100"/>
      </w:pPr>
    </w:p>
    <w:p>
      <w:pPr>
        <w:jc w:val="center"/>
      </w:pPr>
      <w:r>
        <w:rPr>
          <w:rFonts w:ascii="Arial" w:cs="Arial" w:eastAsia="Arial" w:hAnsi="Arial"/>
          <w:b/>
          <w:bCs/>
          <w:color w:val="AA0000"/>
          <w:sz w:val="20"/>
          <w:szCs w:val="20"/>
        </w:rPr>
        <w:t xml:space="preserve">DRAFT — PRE-REVIEW — NOT FOR FILING</w:t>
      </w:r>
    </w:p>
    <w:p>
      <w:pPr>
        <w:spacing w:after="80"/>
        <w:jc w:val="center"/>
      </w:pPr>
      <w:r>
        <w:rPr>
          <w:rFonts w:ascii="Arial" w:cs="Arial" w:eastAsia="Arial" w:hAnsi="Arial"/>
          <w:color w:val="666666"/>
          <w:sz w:val="18"/>
          <w:szCs w:val="18"/>
        </w:rPr>
        <w:t xml:space="preserve">v1 Pre-reviewed Draft | Prepared for Patent Counsel Review</w:t>
      </w:r>
    </w:p>
    <w:p>
      <w:r>
        <w:br/>
        <w:t xml:space="preserve"/>
      </w:r>
    </w:p>
    <w:p>
      <w:pPr>
        <w:pStyle w:val="Heading1"/>
        <w:spacing w:after="200" w:before="480"/>
      </w:pPr>
      <w:r>
        <w:rPr>
          <w:rFonts w:ascii="Arial" w:cs="Arial" w:eastAsia="Arial" w:hAnsi="Arial"/>
          <w:b/>
          <w:bCs/>
          <w:sz w:val="32"/>
          <w:szCs w:val="32"/>
        </w:rPr>
        <w:t xml:space="preserve">CROSS-REFERENCE TO RELATED APPLICATIONS</w:t>
      </w:r>
    </w:p>
    <w:p>
      <w:pPr>
        <w:spacing w:after="80" w:before="80"/>
        <w:jc w:val="both"/>
      </w:pPr>
      <w:r>
        <w:rPr>
          <w:rFonts w:ascii="Arial" w:cs="Arial" w:eastAsia="Arial" w:hAnsi="Arial"/>
          <w:sz w:val="22"/>
          <w:szCs w:val="22"/>
        </w:rPr>
        <w:t xml:space="preserve">This application claims the benefit of and priority to U.S. Provisional Patent Application No. [PROVISIONAL APPLICATION NUMBER], filed [PROVISIONAL FILING DATE], the entire contents of which are incorporated herein by reference.</w:t>
      </w:r>
    </w:p>
    <w:p>
      <w:pPr>
        <w:spacing w:after="100" w:before="100"/>
      </w:pPr>
    </w:p>
    <w:p>
      <w:pPr>
        <w:pStyle w:val="Heading1"/>
        <w:spacing w:after="200" w:before="480"/>
      </w:pPr>
      <w:r>
        <w:rPr>
          <w:rFonts w:ascii="Arial" w:cs="Arial" w:eastAsia="Arial" w:hAnsi="Arial"/>
          <w:b/>
          <w:bCs/>
          <w:sz w:val="32"/>
          <w:szCs w:val="32"/>
        </w:rPr>
        <w:t xml:space="preserve">FIELD OF THE INVENTION</w:t>
      </w:r>
    </w:p>
    <w:p>
      <w:pPr>
        <w:spacing w:after="80" w:before="80"/>
        <w:jc w:val="both"/>
      </w:pPr>
      <w:r>
        <w:rPr>
          <w:rFonts w:ascii="Arial" w:cs="Arial" w:eastAsia="Arial" w:hAnsi="Arial"/>
          <w:sz w:val="22"/>
          <w:szCs w:val="22"/>
        </w:rPr>
        <w:t xml:space="preserve">The present invention relates to software development tooling, and more particularly to a system and method for encoding platform-specific institutional knowledge as structured tenant domain data, and for synthesizing executable adapters from that data across multiple runtime environments and programming languages simultaneously.</w:t>
      </w:r>
    </w:p>
    <w:p>
      <w:pPr>
        <w:spacing w:after="100" w:before="100"/>
      </w:pPr>
    </w:p>
    <w:p>
      <w:pPr>
        <w:pStyle w:val="Heading1"/>
        <w:spacing w:after="200" w:before="480"/>
      </w:pPr>
      <w:r>
        <w:rPr>
          <w:rFonts w:ascii="Arial" w:cs="Arial" w:eastAsia="Arial" w:hAnsi="Arial"/>
          <w:b/>
          <w:bCs/>
          <w:sz w:val="32"/>
          <w:szCs w:val="32"/>
        </w:rPr>
        <w:t xml:space="preserve">BACKGROUND OF THE INVENTION</w:t>
      </w:r>
    </w:p>
    <w:p>
      <w:pPr>
        <w:spacing w:after="80" w:before="80"/>
        <w:jc w:val="both"/>
      </w:pPr>
      <w:r>
        <w:rPr>
          <w:rFonts w:ascii="Arial" w:cs="Arial" w:eastAsia="Arial" w:hAnsi="Arial"/>
          <w:sz w:val="22"/>
          <w:szCs w:val="22"/>
        </w:rPr>
        <w:t xml:space="preserve">Software engineering teams maintaining large multi-generational platforms face a persistent problem: institutional knowledge about the system—which source files implement which business operations, what status codes mean, which compliance rules apply to which repositories—is distributed across documentation, tribal memory, and proprietary tooling that is never systematically captured or made queryable.</w:t>
      </w:r>
    </w:p>
    <w:p>
      <w:pPr>
        <w:spacing w:after="100" w:before="100"/>
      </w:pPr>
    </w:p>
    <w:p>
      <w:pPr>
        <w:spacing w:after="80" w:before="80"/>
        <w:jc w:val="both"/>
      </w:pPr>
      <w:r>
        <w:rPr>
          <w:rFonts w:ascii="Arial" w:cs="Arial" w:eastAsia="Arial" w:hAnsi="Arial"/>
          <w:sz w:val="22"/>
          <w:szCs w:val="22"/>
        </w:rPr>
        <w:t xml:space="preserve">Existing developer experience (DevEx) tools address fragments of this problem in isolation. Code navigation tools (e.g., IDE language servers, grep-based tools) require users to already know what to search for. Static analysis tools (e.g., linters, SAST scanners) are configured per-project and do not encode domain-specific organizational knowledge. Documentation wikis become stale and are not executable. None of these approaches provide a unified, data-first representation of an organization's platform knowledge that is simultaneously queryable by humans at the terminal, renderable in a web browser, executable as compliance rules, and synthesizable into multiple shell and typed programming language adapters from a single source of truth.</w:t>
      </w:r>
    </w:p>
    <w:p>
      <w:pPr>
        <w:spacing w:after="100" w:before="100"/>
      </w:pPr>
    </w:p>
    <w:p>
      <w:pPr>
        <w:spacing w:after="80" w:before="80"/>
        <w:jc w:val="both"/>
      </w:pPr>
      <w:r>
        <w:rPr>
          <w:rFonts w:ascii="Arial" w:cs="Arial" w:eastAsia="Arial" w:hAnsi="Arial"/>
          <w:sz w:val="22"/>
          <w:szCs w:val="22"/>
        </w:rPr>
        <w:t xml:space="preserve">There is therefore a need for a system that: (1) represents platform knowledge as structured declarative data in a schema-validated format; (2) synthesizes that data into executable adapters for multiple runtime environments without manual duplication; (3) enforces that the data remains the authoritative source and that adapters are always derivative; (4) supports multiple organizational tenants with domain isolation; and (5) provides both a command-line interface and a web-based portal from the same data source, without requiring a runtime data-fetch API layer for the portal.</w:t>
      </w:r>
    </w:p>
    <w:p>
      <w:pPr>
        <w:spacing w:after="100" w:before="100"/>
      </w:pPr>
    </w:p>
    <w:p>
      <w:pPr>
        <w:pStyle w:val="Heading1"/>
        <w:spacing w:after="200" w:before="480"/>
      </w:pPr>
      <w:r>
        <w:rPr>
          <w:rFonts w:ascii="Arial" w:cs="Arial" w:eastAsia="Arial" w:hAnsi="Arial"/>
          <w:b/>
          <w:bCs/>
          <w:sz w:val="32"/>
          <w:szCs w:val="32"/>
        </w:rPr>
        <w:t xml:space="preserve">SUMMARY OF THE INVENTION</w:t>
      </w:r>
    </w:p>
    <w:p>
      <w:pPr>
        <w:spacing w:after="80" w:before="80"/>
        <w:jc w:val="both"/>
      </w:pPr>
      <w:r>
        <w:rPr>
          <w:rFonts w:ascii="Arial" w:cs="Arial" w:eastAsia="Arial" w:hAnsi="Arial"/>
          <w:sz w:val="22"/>
          <w:szCs w:val="22"/>
        </w:rPr>
        <w:t xml:space="preserve">The present invention provides a multi-tenant platform intelligence system, comprising a structured tenant domain layer that encodes platform knowledge as schema-validated JSON; a multi-target adapter synthesis engine that generates shell adapters (Zsh, POSIX sh, PowerShell) and typed language snapshots (TypeScript) from the domain data; a data-driven static analysis engine that executes compliance rules defined as domain data; a tenant-aware API microservice layer; and a web portal that renders all domain knowledge at build time without a runtime data-fetch, using generated TypeScript snapshots as its data source.</w:t>
      </w:r>
    </w:p>
    <w:p>
      <w:pPr>
        <w:spacing w:after="100" w:before="100"/>
      </w:pPr>
    </w:p>
    <w:p>
      <w:pPr>
        <w:spacing w:after="80" w:before="80"/>
        <w:jc w:val="both"/>
      </w:pPr>
      <w:r>
        <w:rPr>
          <w:rFonts w:ascii="Arial" w:cs="Arial" w:eastAsia="Arial" w:hAnsi="Arial"/>
          <w:sz w:val="22"/>
          <w:szCs w:val="22"/>
        </w:rPr>
        <w:t xml:space="preserve">In one aspect, the invention provides a method for synthesizing executable adapters, comprising: receiving a tenant domain specification in a schema-validated declarative format; validating the specification against a JSON Schema definition; encoding regular expression patterns within the specification as base64-encoded strings to prevent field-delimiter collisions; and emitting a set of adapter files in multiple target formats from the validated specification, such that all adapter files are derived from and consistent with the specification.</w:t>
      </w:r>
    </w:p>
    <w:p>
      <w:pPr>
        <w:spacing w:after="100" w:before="100"/>
      </w:pPr>
    </w:p>
    <w:p>
      <w:pPr>
        <w:spacing w:after="80" w:before="80"/>
        <w:jc w:val="both"/>
      </w:pPr>
      <w:r>
        <w:rPr>
          <w:rFonts w:ascii="Arial" w:cs="Arial" w:eastAsia="Arial" w:hAnsi="Arial"/>
          <w:sz w:val="22"/>
          <w:szCs w:val="22"/>
        </w:rPr>
        <w:t xml:space="preserve">In another aspect, the invention provides a system for multi-tenant platform knowledge management in which tenant isolation is enforced at the data layer—each tenant's domain specification is independent—while the adapter synthesis engine, the static analysis engine, the API microservice, and the web portal are all tenant-agnostic and receive tenant context only at configuration time.</w:t>
      </w:r>
    </w:p>
    <w:p>
      <w:pPr>
        <w:spacing w:after="100" w:before="100"/>
      </w:pPr>
    </w:p>
    <w:p>
      <w:pPr>
        <w:pStyle w:val="Heading1"/>
        <w:spacing w:after="200" w:before="480"/>
      </w:pPr>
      <w:r>
        <w:rPr>
          <w:rFonts w:ascii="Arial" w:cs="Arial" w:eastAsia="Arial" w:hAnsi="Arial"/>
          <w:b/>
          <w:bCs/>
          <w:sz w:val="32"/>
          <w:szCs w:val="32"/>
        </w:rPr>
        <w:t xml:space="preserve">BRIEF DESCRIPTION OF THE DRAWINGS</w:t>
      </w:r>
    </w:p>
    <w:p>
      <w:pPr>
        <w:spacing w:after="80" w:before="80"/>
        <w:jc w:val="both"/>
      </w:pPr>
      <w:r>
        <w:rPr>
          <w:rFonts w:ascii="Arial" w:cs="Arial" w:eastAsia="Arial" w:hAnsi="Arial"/>
          <w:sz w:val="22"/>
          <w:szCs w:val="22"/>
        </w:rPr>
        <w:t xml:space="preserve">[DRAWINGS TO BE PROVIDED BY PATENT COUNSEL]</w:t>
      </w:r>
    </w:p>
    <w:p>
      <w:pPr>
        <w:spacing w:after="100" w:before="100"/>
      </w:pPr>
    </w:p>
    <w:p>
      <w:pPr>
        <w:spacing w:after="80" w:before="80"/>
        <w:jc w:val="both"/>
      </w:pPr>
      <w:r>
        <w:rPr>
          <w:rFonts w:ascii="Arial" w:cs="Arial" w:eastAsia="Arial" w:hAnsi="Arial"/>
          <w:sz w:val="22"/>
          <w:szCs w:val="22"/>
        </w:rPr>
        <w:t xml:space="preserve">FIG. 1 is a system architecture diagram showing the data flow from a tenant domain specification through the adapter synthesis engine to the four target runtimes.</w:t>
      </w:r>
    </w:p>
    <w:p>
      <w:pPr>
        <w:spacing w:after="100" w:before="100"/>
      </w:pPr>
    </w:p>
    <w:p>
      <w:pPr>
        <w:spacing w:after="80" w:before="80"/>
        <w:jc w:val="both"/>
      </w:pPr>
      <w:r>
        <w:rPr>
          <w:rFonts w:ascii="Arial" w:cs="Arial" w:eastAsia="Arial" w:hAnsi="Arial"/>
          <w:sz w:val="22"/>
          <w:szCs w:val="22"/>
        </w:rPr>
        <w:t xml:space="preserve">FIG. 2 is a schematic diagram showing the tenant isolation model, with multiple independent tenant domain specifications sharing a common schema and synthesis engine.</w:t>
      </w:r>
    </w:p>
    <w:p>
      <w:pPr>
        <w:spacing w:after="100" w:before="100"/>
      </w:pPr>
    </w:p>
    <w:p>
      <w:pPr>
        <w:spacing w:after="80" w:before="80"/>
        <w:jc w:val="both"/>
      </w:pPr>
      <w:r>
        <w:rPr>
          <w:rFonts w:ascii="Arial" w:cs="Arial" w:eastAsia="Arial" w:hAnsi="Arial"/>
          <w:sz w:val="22"/>
          <w:szCs w:val="22"/>
        </w:rPr>
        <w:t xml:space="preserve">FIG. 3 is a flow diagram of the adapter synthesis process, illustrating validation, base64 pattern encoding, and multi-target emission.</w:t>
      </w:r>
    </w:p>
    <w:p>
      <w:pPr>
        <w:spacing w:after="100" w:before="100"/>
      </w:pPr>
    </w:p>
    <w:p>
      <w:pPr>
        <w:spacing w:after="80" w:before="80"/>
        <w:jc w:val="both"/>
      </w:pPr>
      <w:r>
        <w:rPr>
          <w:rFonts w:ascii="Arial" w:cs="Arial" w:eastAsia="Arial" w:hAnsi="Arial"/>
          <w:sz w:val="22"/>
          <w:szCs w:val="22"/>
        </w:rPr>
        <w:t xml:space="preserve">FIG. 4 is a block diagram of the web portal architecture showing the Angular shell, the React island integration boundary, and the build-time domain data injection path.</w:t>
      </w:r>
    </w:p>
    <w:p>
      <w:pPr>
        <w:spacing w:after="100" w:before="100"/>
      </w:pPr>
    </w:p>
    <w:p>
      <w:pPr>
        <w:spacing w:after="80" w:before="80"/>
        <w:jc w:val="both"/>
      </w:pPr>
      <w:r>
        <w:rPr>
          <w:rFonts w:ascii="Arial" w:cs="Arial" w:eastAsia="Arial" w:hAnsi="Arial"/>
          <w:sz w:val="22"/>
          <w:szCs w:val="22"/>
        </w:rPr>
        <w:t xml:space="preserve">FIG. 5 is a flow diagram of the static analysis engine, showing rule application, base64 pattern decoding, and finding aggregation.</w:t>
      </w:r>
    </w:p>
    <w:p>
      <w:pPr>
        <w:spacing w:after="100" w:before="100"/>
      </w:pPr>
    </w:p>
    <w:p>
      <w:pPr>
        <w:pStyle w:val="Heading1"/>
        <w:spacing w:after="200" w:before="480"/>
      </w:pPr>
      <w:r>
        <w:rPr>
          <w:rFonts w:ascii="Arial" w:cs="Arial" w:eastAsia="Arial" w:hAnsi="Arial"/>
          <w:b/>
          <w:bCs/>
          <w:sz w:val="32"/>
          <w:szCs w:val="32"/>
        </w:rPr>
        <w:t xml:space="preserve">DETAILED DESCRIPTION OF THE PREFERRED EMBODIMENTS</w:t>
      </w:r>
    </w:p>
    <w:p>
      <w:pPr>
        <w:pStyle w:val="Heading2"/>
        <w:spacing w:after="120" w:before="320"/>
      </w:pPr>
      <w:r>
        <w:rPr>
          <w:rFonts w:ascii="Arial" w:cs="Arial" w:eastAsia="Arial" w:hAnsi="Arial"/>
          <w:b/>
          <w:bCs/>
          <w:sz w:val="26"/>
          <w:szCs w:val="26"/>
        </w:rPr>
        <w:t xml:space="preserve">I. System Overview</w:t>
      </w:r>
    </w:p>
    <w:p>
      <w:pPr>
        <w:spacing w:after="80" w:before="80"/>
        <w:jc w:val="both"/>
      </w:pPr>
      <w:r>
        <w:rPr>
          <w:rFonts w:ascii="Arial" w:cs="Arial" w:eastAsia="Arial" w:hAnsi="Arial"/>
          <w:sz w:val="22"/>
          <w:szCs w:val="22"/>
        </w:rPr>
        <w:t xml:space="preserve">The Onboarded system comprises the following principal components, each described in detail below:</w:t>
      </w:r>
    </w:p>
    <w:p>
      <w:pPr>
        <w:spacing w:after="100" w:before="100"/>
      </w:pPr>
    </w:p>
    <w:p>
      <w:pPr>
        <w:pStyle w:val="ListParagraph"/>
        <w:numPr>
          <w:ilvl w:val="0"/>
          <w:numId w:val="2"/>
        </w:numPr>
        <w:spacing w:after="60" w:before="60"/>
      </w:pPr>
      <w:r>
        <w:rPr>
          <w:rFonts w:ascii="Arial" w:cs="Arial" w:eastAsia="Arial" w:hAnsi="Arial"/>
          <w:sz w:val="22"/>
          <w:szCs w:val="22"/>
        </w:rPr>
        <w:t xml:space="preserve">A Tenant Domain Layer (§II) — a schema-validated JSON specification encoding all platform knowledge for a given organizational tenant</w:t>
      </w:r>
    </w:p>
    <w:p>
      <w:pPr>
        <w:pStyle w:val="ListParagraph"/>
        <w:numPr>
          <w:ilvl w:val="0"/>
          <w:numId w:val="2"/>
        </w:numPr>
        <w:spacing w:after="60" w:before="60"/>
      </w:pPr>
      <w:r>
        <w:rPr>
          <w:rFonts w:ascii="Arial" w:cs="Arial" w:eastAsia="Arial" w:hAnsi="Arial"/>
          <w:sz w:val="22"/>
          <w:szCs w:val="22"/>
        </w:rPr>
        <w:t xml:space="preserve">An Adapter Synthesis Engine (§III) — a code generation subsystem that reads the domain specification and emits executable adapters for multiple target environments</w:t>
      </w:r>
    </w:p>
    <w:p>
      <w:pPr>
        <w:pStyle w:val="ListParagraph"/>
        <w:numPr>
          <w:ilvl w:val="0"/>
          <w:numId w:val="2"/>
        </w:numPr>
        <w:spacing w:after="60" w:before="60"/>
      </w:pPr>
      <w:r>
        <w:rPr>
          <w:rFonts w:ascii="Arial" w:cs="Arial" w:eastAsia="Arial" w:hAnsi="Arial"/>
          <w:sz w:val="22"/>
          <w:szCs w:val="22"/>
        </w:rPr>
        <w:t xml:space="preserve">A Static Analysis Engine (§IV) — a pattern-matching subsystem that executes compliance rules defined as domain data</w:t>
      </w:r>
    </w:p>
    <w:p>
      <w:pPr>
        <w:pStyle w:val="ListParagraph"/>
        <w:numPr>
          <w:ilvl w:val="0"/>
          <w:numId w:val="2"/>
        </w:numPr>
        <w:spacing w:after="60" w:before="60"/>
      </w:pPr>
      <w:r>
        <w:rPr>
          <w:rFonts w:ascii="Arial" w:cs="Arial" w:eastAsia="Arial" w:hAnsi="Arial"/>
          <w:sz w:val="22"/>
          <w:szCs w:val="22"/>
        </w:rPr>
        <w:t xml:space="preserve">A Tenant-Aware API Microservice (§V) — a RESTful HTTP service that exposes domain data and scan execution endpoints</w:t>
      </w:r>
    </w:p>
    <w:p>
      <w:pPr>
        <w:pStyle w:val="ListParagraph"/>
        <w:numPr>
          <w:ilvl w:val="0"/>
          <w:numId w:val="2"/>
        </w:numPr>
        <w:spacing w:after="60" w:before="60"/>
      </w:pPr>
      <w:r>
        <w:rPr>
          <w:rFonts w:ascii="Arial" w:cs="Arial" w:eastAsia="Arial" w:hAnsi="Arial"/>
          <w:sz w:val="22"/>
          <w:szCs w:val="22"/>
        </w:rPr>
        <w:t xml:space="preserve">A Composite Web Portal (§VI) — an Angular-based SPA with embedded React islands that renders domain data from build-time generated TypeScript snapshots</w:t>
      </w:r>
    </w:p>
    <w:p>
      <w:pPr>
        <w:pStyle w:val="ListParagraph"/>
        <w:numPr>
          <w:ilvl w:val="0"/>
          <w:numId w:val="2"/>
        </w:numPr>
        <w:spacing w:after="60" w:before="60"/>
      </w:pPr>
      <w:r>
        <w:rPr>
          <w:rFonts w:ascii="Arial" w:cs="Arial" w:eastAsia="Arial" w:hAnsi="Arial"/>
          <w:sz w:val="22"/>
          <w:szCs w:val="22"/>
        </w:rPr>
        <w:t xml:space="preserve">An Administrative Command-Line Interface (§VII) — a TypeScript-based power-user tool that communicates with the API microservice</w:t>
      </w:r>
    </w:p>
    <w:p>
      <w:pPr>
        <w:spacing w:after="100" w:before="100"/>
      </w:pPr>
    </w:p>
    <w:p>
      <w:pPr>
        <w:pStyle w:val="Heading2"/>
        <w:spacing w:after="120" w:before="320"/>
      </w:pPr>
      <w:r>
        <w:rPr>
          <w:rFonts w:ascii="Arial" w:cs="Arial" w:eastAsia="Arial" w:hAnsi="Arial"/>
          <w:b/>
          <w:bCs/>
          <w:sz w:val="26"/>
          <w:szCs w:val="26"/>
        </w:rPr>
        <w:t xml:space="preserve">II. Tenant Domain Layer</w:t>
      </w:r>
    </w:p>
    <w:p>
      <w:pPr>
        <w:spacing w:after="80" w:before="80"/>
        <w:jc w:val="both"/>
      </w:pPr>
      <w:r>
        <w:rPr>
          <w:rFonts w:ascii="Arial" w:cs="Arial" w:eastAsia="Arial" w:hAnsi="Arial"/>
          <w:sz w:val="22"/>
          <w:szCs w:val="22"/>
        </w:rPr>
        <w:t xml:space="preserve">The core data structure of the Onboarded system is a per-tenant domain specification, stored as a JSON document conforming to a JSON Schema (Draft-7) definition. The domain specification encodes:</w:t>
      </w:r>
    </w:p>
    <w:p>
      <w:pPr>
        <w:spacing w:after="100" w:before="100"/>
      </w:pPr>
    </w:p>
    <w:p>
      <w:pPr>
        <w:pStyle w:val="ListParagraph"/>
        <w:numPr>
          <w:ilvl w:val="0"/>
          <w:numId w:val="2"/>
        </w:numPr>
        <w:spacing w:after="60" w:before="60"/>
      </w:pPr>
      <w:r>
        <w:rPr>
          <w:rFonts w:ascii="Arial" w:cs="Arial" w:eastAsia="Arial" w:hAnsi="Arial"/>
          <w:sz w:val="22"/>
          <w:szCs w:val="22"/>
        </w:rPr>
        <w:t xml:space="preserve">Tenant Metadata: slug, brand name, CLI alias name, and terminology overrides</w:t>
      </w:r>
    </w:p>
    <w:p>
      <w:pPr>
        <w:pStyle w:val="ListParagraph"/>
        <w:numPr>
          <w:ilvl w:val="0"/>
          <w:numId w:val="2"/>
        </w:numPr>
        <w:spacing w:after="60" w:before="60"/>
      </w:pPr>
      <w:r>
        <w:rPr>
          <w:rFonts w:ascii="Arial" w:cs="Arial" w:eastAsia="Arial" w:hAnsi="Arial"/>
          <w:sz w:val="22"/>
          <w:szCs w:val="22"/>
        </w:rPr>
        <w:t xml:space="preserve">Repository Configuration: per-repository identifiers, environment variable mappings, and default directory names</w:t>
      </w:r>
    </w:p>
    <w:p>
      <w:pPr>
        <w:pStyle w:val="ListParagraph"/>
        <w:numPr>
          <w:ilvl w:val="0"/>
          <w:numId w:val="2"/>
        </w:numPr>
        <w:spacing w:after="60" w:before="60"/>
      </w:pPr>
      <w:r>
        <w:rPr>
          <w:rFonts w:ascii="Arial" w:cs="Arial" w:eastAsia="Arial" w:hAnsi="Arial"/>
          <w:sz w:val="22"/>
          <w:szCs w:val="22"/>
        </w:rPr>
        <w:t xml:space="preserve">Operations: named business operations, each associated with zero or more source file paths categorized as controllers, services, message queues, or JavaScript entry points</w:t>
      </w:r>
    </w:p>
    <w:p>
      <w:pPr>
        <w:pStyle w:val="ListParagraph"/>
        <w:numPr>
          <w:ilvl w:val="0"/>
          <w:numId w:val="2"/>
        </w:numPr>
        <w:spacing w:after="60" w:before="60"/>
      </w:pPr>
      <w:r>
        <w:rPr>
          <w:rFonts w:ascii="Arial" w:cs="Arial" w:eastAsia="Arial" w:hAnsi="Arial"/>
          <w:sz w:val="22"/>
          <w:szCs w:val="22"/>
        </w:rPr>
        <w:t xml:space="preserve">Status Codes: a mapping of numeric or alphanumeric codes to human-readable descriptions</w:t>
      </w:r>
    </w:p>
    <w:p>
      <w:pPr>
        <w:pStyle w:val="ListParagraph"/>
        <w:numPr>
          <w:ilvl w:val="0"/>
          <w:numId w:val="2"/>
        </w:numPr>
        <w:spacing w:after="60" w:before="60"/>
      </w:pPr>
      <w:r>
        <w:rPr>
          <w:rFonts w:ascii="Arial" w:cs="Arial" w:eastAsia="Arial" w:hAnsi="Arial"/>
          <w:sz w:val="22"/>
          <w:szCs w:val="22"/>
        </w:rPr>
        <w:t xml:space="preserve">Product Lines: product identifiers with associated insurance lines, policy states, and surplus status</w:t>
      </w:r>
    </w:p>
    <w:p>
      <w:pPr>
        <w:pStyle w:val="ListParagraph"/>
        <w:numPr>
          <w:ilvl w:val="0"/>
          <w:numId w:val="2"/>
        </w:numPr>
        <w:spacing w:after="60" w:before="60"/>
      </w:pPr>
      <w:r>
        <w:rPr>
          <w:rFonts w:ascii="Arial" w:cs="Arial" w:eastAsia="Arial" w:hAnsi="Arial"/>
          <w:sz w:val="22"/>
          <w:szCs w:val="22"/>
        </w:rPr>
        <w:t xml:space="preserve">Portals: named web portal instances with URLs and types</w:t>
      </w:r>
    </w:p>
    <w:p>
      <w:pPr>
        <w:pStyle w:val="ListParagraph"/>
        <w:numPr>
          <w:ilvl w:val="0"/>
          <w:numId w:val="2"/>
        </w:numPr>
        <w:spacing w:after="60" w:before="60"/>
      </w:pPr>
      <w:r>
        <w:rPr>
          <w:rFonts w:ascii="Arial" w:cs="Arial" w:eastAsia="Arial" w:hAnsi="Arial"/>
          <w:sz w:val="22"/>
          <w:szCs w:val="22"/>
        </w:rPr>
        <w:t xml:space="preserve">Message Queues: queue identifiers with consumer and dead-letter queue associations</w:t>
      </w:r>
    </w:p>
    <w:p>
      <w:pPr>
        <w:pStyle w:val="ListParagraph"/>
        <w:numPr>
          <w:ilvl w:val="0"/>
          <w:numId w:val="2"/>
        </w:numPr>
        <w:spacing w:after="60" w:before="60"/>
      </w:pPr>
      <w:r>
        <w:rPr>
          <w:rFonts w:ascii="Arial" w:cs="Arial" w:eastAsia="Arial" w:hAnsi="Arial"/>
          <w:sz w:val="22"/>
          <w:szCs w:val="22"/>
        </w:rPr>
        <w:t xml:space="preserve">Glossary: domain term definitions with cross-reference associations</w:t>
      </w:r>
    </w:p>
    <w:p>
      <w:pPr>
        <w:pStyle w:val="ListParagraph"/>
        <w:numPr>
          <w:ilvl w:val="0"/>
          <w:numId w:val="2"/>
        </w:numPr>
        <w:spacing w:after="60" w:before="60"/>
      </w:pPr>
      <w:r>
        <w:rPr>
          <w:rFonts w:ascii="Arial" w:cs="Arial" w:eastAsia="Arial" w:hAnsi="Arial"/>
          <w:sz w:val="22"/>
          <w:szCs w:val="22"/>
        </w:rPr>
        <w:t xml:space="preserve">Scan Rules: compliance rules each comprising a label, a regular expression pattern, a severity level, a category, file scope glob patterns, optional repository restrictions, exclusion patterns, a reference document, and a remediation hint</w:t>
      </w:r>
    </w:p>
    <w:p>
      <w:pPr>
        <w:spacing w:after="100" w:before="100"/>
      </w:pPr>
    </w:p>
    <w:p>
      <w:pPr>
        <w:spacing w:after="80" w:before="80"/>
        <w:jc w:val="both"/>
      </w:pPr>
      <w:r>
        <w:rPr>
          <w:rFonts w:ascii="Arial" w:cs="Arial" w:eastAsia="Arial" w:hAnsi="Arial"/>
          <w:sz w:val="22"/>
          <w:szCs w:val="22"/>
        </w:rPr>
        <w:t xml:space="preserve">The domain specification is the single authoritative source of truth. All other components of the system derive their behavior from this specification. No business logic, path knowledge, or compliance rule is hardcoded in any engine or interface component. This property—that domain knowledge is data and engines are data-consumers—is a central technical contribution of the present invention.</w:t>
      </w:r>
    </w:p>
    <w:p>
      <w:pPr>
        <w:spacing w:after="100" w:before="100"/>
      </w:pPr>
    </w:p>
    <w:p>
      <w:pPr>
        <w:spacing w:after="80" w:before="80"/>
        <w:jc w:val="both"/>
      </w:pPr>
      <w:r>
        <w:rPr>
          <w:rFonts w:ascii="Arial" w:cs="Arial" w:eastAsia="Arial" w:hAnsi="Arial"/>
          <w:sz w:val="22"/>
          <w:szCs w:val="22"/>
        </w:rPr>
        <w:t xml:space="preserve">The JSON Schema validation step rejects any domain specification that: omits required top-level keys; provides an invalid semantic version string; omits required fields from any scan rule; or specifies an invalid severity or category value. Validation is performed before any adapter synthesis, ensuring that no malformed specification can produce inconsistent adapters.</w:t>
      </w:r>
    </w:p>
    <w:p>
      <w:pPr>
        <w:spacing w:after="100" w:before="100"/>
      </w:pPr>
    </w:p>
    <w:p>
      <w:pPr>
        <w:pStyle w:val="Heading2"/>
        <w:spacing w:after="120" w:before="320"/>
      </w:pPr>
      <w:r>
        <w:rPr>
          <w:rFonts w:ascii="Arial" w:cs="Arial" w:eastAsia="Arial" w:hAnsi="Arial"/>
          <w:b/>
          <w:bCs/>
          <w:sz w:val="26"/>
          <w:szCs w:val="26"/>
        </w:rPr>
        <w:t xml:space="preserve">III. Adapter Synthesis Engine</w:t>
      </w:r>
    </w:p>
    <w:p>
      <w:pPr>
        <w:spacing w:after="80" w:before="80"/>
        <w:jc w:val="both"/>
      </w:pPr>
      <w:r>
        <w:rPr>
          <w:rFonts w:ascii="Arial" w:cs="Arial" w:eastAsia="Arial" w:hAnsi="Arial"/>
          <w:sz w:val="22"/>
          <w:szCs w:val="22"/>
        </w:rPr>
        <w:t xml:space="preserve">The Adapter Synthesis Engine is a Python-based code generation subsystem that reads one or more tenant domain specifications and emits adapter files for multiple target environments. In the preferred embodiment, four adapter files are generated per tenant:</w:t>
      </w:r>
    </w:p>
    <w:p>
      <w:pPr>
        <w:spacing w:after="100" w:before="100"/>
      </w:pPr>
    </w:p>
    <w:p>
      <w:pPr>
        <w:pStyle w:val="ListParagraph"/>
        <w:numPr>
          <w:ilvl w:val="0"/>
          <w:numId w:val="2"/>
        </w:numPr>
        <w:spacing w:after="60" w:before="60"/>
      </w:pPr>
      <w:r>
        <w:rPr>
          <w:rFonts w:ascii="Arial" w:cs="Arial" w:eastAsia="Arial" w:hAnsi="Arial"/>
          <w:sz w:val="22"/>
          <w:szCs w:val="22"/>
        </w:rPr>
        <w:t xml:space="preserve">A Zsh associative-array adapter (nav_maps.zsh) — declares OPS, STATUS, PRODUCTS, PORTALS, QUEUES, GLOSSARY, and REPOS arrays using Zsh-specific typeset -gA declarations, with global: scope for post-dot-source persistence</w:t>
      </w:r>
    </w:p>
    <w:p>
      <w:pPr>
        <w:pStyle w:val="ListParagraph"/>
        <w:numPr>
          <w:ilvl w:val="0"/>
          <w:numId w:val="2"/>
        </w:numPr>
        <w:spacing w:after="60" w:before="60"/>
      </w:pPr>
      <w:r>
        <w:rPr>
          <w:rFonts w:ascii="Arial" w:cs="Arial" w:eastAsia="Arial" w:hAnsi="Arial"/>
          <w:sz w:val="22"/>
          <w:szCs w:val="22"/>
        </w:rPr>
        <w:t xml:space="preserve">A Zsh scan rules adapter (scan_rules.zsh) — declares SCAN_RULES, SCAN_BY_SEVERITY, and SCAN_BY_CATEGORY arrays with values in a defined pipe-delimited field format</w:t>
      </w:r>
    </w:p>
    <w:p>
      <w:pPr>
        <w:pStyle w:val="ListParagraph"/>
        <w:numPr>
          <w:ilvl w:val="0"/>
          <w:numId w:val="2"/>
        </w:numPr>
        <w:spacing w:after="60" w:before="60"/>
      </w:pPr>
      <w:r>
        <w:rPr>
          <w:rFonts w:ascii="Arial" w:cs="Arial" w:eastAsia="Arial" w:hAnsi="Arial"/>
          <w:sz w:val="22"/>
          <w:szCs w:val="22"/>
        </w:rPr>
        <w:t xml:space="preserve">A PowerShell hashtable adapter (nav_maps.ps1) — declares equivalent PowerShell global hashtable variables using PowerShell syntax</w:t>
      </w:r>
    </w:p>
    <w:p>
      <w:pPr>
        <w:pStyle w:val="ListParagraph"/>
        <w:numPr>
          <w:ilvl w:val="0"/>
          <w:numId w:val="2"/>
        </w:numPr>
        <w:spacing w:after="60" w:before="60"/>
      </w:pPr>
      <w:r>
        <w:rPr>
          <w:rFonts w:ascii="Arial" w:cs="Arial" w:eastAsia="Arial" w:hAnsi="Arial"/>
          <w:sz w:val="22"/>
          <w:szCs w:val="22"/>
        </w:rPr>
        <w:t xml:space="preserve">A PowerShell scan rules adapter (scan_rules.ps1) — declares PowerShell scan rule hashtables with the same field format</w:t>
      </w:r>
    </w:p>
    <w:p>
      <w:pPr>
        <w:pStyle w:val="ListParagraph"/>
        <w:numPr>
          <w:ilvl w:val="0"/>
          <w:numId w:val="2"/>
        </w:numPr>
        <w:spacing w:after="60" w:before="60"/>
      </w:pPr>
      <w:r>
        <w:rPr>
          <w:rFonts w:ascii="Arial" w:cs="Arial" w:eastAsia="Arial" w:hAnsi="Arial"/>
          <w:sz w:val="22"/>
          <w:szCs w:val="22"/>
        </w:rPr>
        <w:t xml:space="preserve">A TypeScript domain snapshot (packages/shared/src/lib/tenants/&lt;slug&gt;.ts) — a statically typed TypeScript module exporting a TENANT_DOMAIN constant conforming to the TenantDomain interface</w:t>
      </w:r>
    </w:p>
    <w:p>
      <w:pPr>
        <w:spacing w:after="100" w:before="100"/>
      </w:pPr>
    </w:p>
    <w:p>
      <w:pPr>
        <w:spacing w:after="80" w:before="80"/>
        <w:jc w:val="both"/>
      </w:pPr>
      <w:r>
        <w:rPr>
          <w:rFonts w:ascii="Arial" w:cs="Arial" w:eastAsia="Arial" w:hAnsi="Arial"/>
          <w:sz w:val="22"/>
          <w:szCs w:val="22"/>
        </w:rPr>
        <w:t xml:space="preserve">A key technical feature of the adapter synthesis engine is the base64 encoding of scan rule pattern fields. Scan rules include regular expression patterns that may contain the pipe character (|), which is also the field delimiter in the pipe-delimited value format used by the shell adapters. The engine encodes each pattern as a base64 string before embedding it in a shell adapter value. Consuming engines (the static analysis engine) decode the base64 string before compiling the regular expression. This encoding strategy prevents field-delimiter collisions regardless of the complexity of the regular expression, while remaining deterministic, reversible, and ASCII-safe.</w:t>
      </w:r>
    </w:p>
    <w:p>
      <w:pPr>
        <w:spacing w:after="100" w:before="100"/>
      </w:pPr>
    </w:p>
    <w:p>
      <w:pPr>
        <w:spacing w:after="80" w:before="80"/>
        <w:jc w:val="both"/>
      </w:pPr>
      <w:r>
        <w:rPr>
          <w:rFonts w:ascii="Arial" w:cs="Arial" w:eastAsia="Arial" w:hAnsi="Arial"/>
          <w:sz w:val="22"/>
          <w:szCs w:val="22"/>
        </w:rPr>
        <w:t xml:space="preserve">The engine enforces that generated adapter files are never hand-edited. All adapter files include a comment header identifying them as auto-generated and directing editors to the domain specification. The CI/CD pipeline regenerates all adapters from the domain specification on every merge, and adapter files committed to version control are verified against freshly generated output.</w:t>
      </w:r>
    </w:p>
    <w:p>
      <w:pPr>
        <w:spacing w:after="100" w:before="100"/>
      </w:pPr>
    </w:p>
    <w:p>
      <w:pPr>
        <w:spacing w:after="80" w:before="80"/>
        <w:jc w:val="both"/>
      </w:pPr>
      <w:r>
        <w:rPr>
          <w:rFonts w:ascii="Arial" w:cs="Arial" w:eastAsia="Arial" w:hAnsi="Arial"/>
          <w:sz w:val="22"/>
          <w:szCs w:val="22"/>
        </w:rPr>
        <w:t xml:space="preserve">The TypeScript snapshot represents a novel approach to web portal data provision. Rather than serving domain data through a runtime HTTP API and loading it in the browser on application initialization, the system bakes the domain data into the Angular application bundle at build time by importing the generated TypeScript snapshot as a static module. This approach eliminates the need for an API call on first page load, makes the portal functional without network access, and causes TypeScript compilation to fail if the domain specification changes in a way that is incompatible with the TypeScript type definitions—providing a compile-time contract between the data layer and the presentation layer.</w:t>
      </w:r>
    </w:p>
    <w:p>
      <w:pPr>
        <w:spacing w:after="100" w:before="100"/>
      </w:pPr>
    </w:p>
    <w:p>
      <w:pPr>
        <w:pStyle w:val="Heading2"/>
        <w:spacing w:after="120" w:before="320"/>
      </w:pPr>
      <w:r>
        <w:rPr>
          <w:rFonts w:ascii="Arial" w:cs="Arial" w:eastAsia="Arial" w:hAnsi="Arial"/>
          <w:b/>
          <w:bCs/>
          <w:sz w:val="26"/>
          <w:szCs w:val="26"/>
        </w:rPr>
        <w:t xml:space="preserve">IV. Static Analysis Engine</w:t>
      </w:r>
    </w:p>
    <w:p>
      <w:pPr>
        <w:spacing w:after="80" w:before="80"/>
        <w:jc w:val="both"/>
      </w:pPr>
      <w:r>
        <w:rPr>
          <w:rFonts w:ascii="Arial" w:cs="Arial" w:eastAsia="Arial" w:hAnsi="Arial"/>
          <w:sz w:val="22"/>
          <w:szCs w:val="22"/>
        </w:rPr>
        <w:t xml:space="preserve">The Static Analysis Engine is a component of both the shell adapter (as a set of Zsh/PowerShell functions) and the API microservice (as a Python service). Both implementations read scan rules from the tenant domain and execute them against source files on the filesystem.</w:t>
      </w:r>
    </w:p>
    <w:p>
      <w:pPr>
        <w:spacing w:after="100" w:before="100"/>
      </w:pPr>
    </w:p>
    <w:p>
      <w:pPr>
        <w:spacing w:after="80" w:before="80"/>
        <w:jc w:val="both"/>
      </w:pPr>
      <w:r>
        <w:rPr>
          <w:rFonts w:ascii="Arial" w:cs="Arial" w:eastAsia="Arial" w:hAnsi="Arial"/>
          <w:sz w:val="22"/>
          <w:szCs w:val="22"/>
        </w:rPr>
        <w:t xml:space="preserve">In the shell implementation, the ob_scan_engine.zsh module reads scan rules from the generated scan_rules.zsh adapter. For each rule to be executed, the engine: retrieves the base64-encoded pattern from the rule value at field index 5; decodes it using the base64 -d command; compiles it as an extended regular expression; and applies it to files matching the scope glob patterns, excluding files matching the exclusion patterns. Findings are reported with severity, category, file path, line number, and the remediation hint from the domain specification.</w:t>
      </w:r>
    </w:p>
    <w:p>
      <w:pPr>
        <w:spacing w:after="100" w:before="100"/>
      </w:pPr>
    </w:p>
    <w:p>
      <w:pPr>
        <w:spacing w:after="80" w:before="80"/>
        <w:jc w:val="both"/>
      </w:pPr>
      <w:r>
        <w:rPr>
          <w:rFonts w:ascii="Arial" w:cs="Arial" w:eastAsia="Arial" w:hAnsi="Arial"/>
          <w:sz w:val="22"/>
          <w:szCs w:val="22"/>
        </w:rPr>
        <w:t xml:space="preserve">The API-layer scanner (app/services/scanner.py) performs the same scan using Python's re module. It accepts a ScanRequest specifying optional rule_ids, severity, category, and file path restrictions. The scanner returns a ScanResult containing all findings, the maximum severity encountered, the total number of rules executed, and the elapsed time in milliseconds.</w:t>
      </w:r>
    </w:p>
    <w:p>
      <w:pPr>
        <w:spacing w:after="100" w:before="100"/>
      </w:pPr>
    </w:p>
    <w:p>
      <w:pPr>
        <w:spacing w:after="80" w:before="80"/>
        <w:jc w:val="both"/>
      </w:pPr>
      <w:r>
        <w:rPr>
          <w:rFonts w:ascii="Arial" w:cs="Arial" w:eastAsia="Arial" w:hAnsi="Arial"/>
          <w:sz w:val="22"/>
          <w:szCs w:val="22"/>
        </w:rPr>
        <w:t xml:space="preserve">A key property of both implementations is that they are tenant-agnostic. The shell engine reads from variables named ${OB_NAV_SLUG}_SCAN_RULES, where OB_NAV_SLUG is the uppercase tenant slug (e.g., MSI, GENERIC). The API scanner reads from the TenantDomain object passed by the request context. No engine code contains tenant-specific logic.</w:t>
      </w:r>
    </w:p>
    <w:p>
      <w:pPr>
        <w:spacing w:after="100" w:before="100"/>
      </w:pPr>
    </w:p>
    <w:p>
      <w:pPr>
        <w:pStyle w:val="Heading2"/>
        <w:spacing w:after="120" w:before="320"/>
      </w:pPr>
      <w:r>
        <w:rPr>
          <w:rFonts w:ascii="Arial" w:cs="Arial" w:eastAsia="Arial" w:hAnsi="Arial"/>
          <w:b/>
          <w:bCs/>
          <w:sz w:val="26"/>
          <w:szCs w:val="26"/>
        </w:rPr>
        <w:t xml:space="preserve">V. Tenant-Aware API Microservice</w:t>
      </w:r>
    </w:p>
    <w:p>
      <w:pPr>
        <w:spacing w:after="80" w:before="80"/>
        <w:jc w:val="both"/>
      </w:pPr>
      <w:r>
        <w:rPr>
          <w:rFonts w:ascii="Arial" w:cs="Arial" w:eastAsia="Arial" w:hAnsi="Arial"/>
          <w:sz w:val="22"/>
          <w:szCs w:val="22"/>
        </w:rPr>
        <w:t xml:space="preserve">The API microservice is implemented in Python using the FastAPI framework. It exposes the following endpoint groups:</w:t>
      </w:r>
    </w:p>
    <w:p>
      <w:pPr>
        <w:spacing w:after="100" w:before="100"/>
      </w:pPr>
    </w:p>
    <w:p>
      <w:pPr>
        <w:pStyle w:val="ListParagraph"/>
        <w:numPr>
          <w:ilvl w:val="0"/>
          <w:numId w:val="2"/>
        </w:numPr>
        <w:spacing w:after="60" w:before="60"/>
      </w:pPr>
      <w:r>
        <w:rPr>
          <w:rFonts w:ascii="Arial" w:cs="Arial" w:eastAsia="Arial" w:hAnsi="Arial"/>
          <w:sz w:val="22"/>
          <w:szCs w:val="22"/>
        </w:rPr>
        <w:t xml:space="preserve">Domain endpoints (/api/v1/domain/*): read-only access to all tenant domain data, including operations, statuses, products, portals, queues, glossary, and scan rules, with filtering support</w:t>
      </w:r>
    </w:p>
    <w:p>
      <w:pPr>
        <w:pStyle w:val="ListParagraph"/>
        <w:numPr>
          <w:ilvl w:val="0"/>
          <w:numId w:val="2"/>
        </w:numPr>
        <w:spacing w:after="60" w:before="60"/>
      </w:pPr>
      <w:r>
        <w:rPr>
          <w:rFonts w:ascii="Arial" w:cs="Arial" w:eastAsia="Arial" w:hAnsi="Arial"/>
          <w:sz w:val="22"/>
          <w:szCs w:val="22"/>
        </w:rPr>
        <w:t xml:space="preserve">Scan endpoints (/api/v1/scan/*): POST endpoints for executing scan rules, including a general audit endpoint, a secrets-only endpoint for critical security rules, and a single-rule execution endpoint</w:t>
      </w:r>
    </w:p>
    <w:p>
      <w:pPr>
        <w:pStyle w:val="ListParagraph"/>
        <w:numPr>
          <w:ilvl w:val="0"/>
          <w:numId w:val="2"/>
        </w:numPr>
        <w:spacing w:after="60" w:before="60"/>
      </w:pPr>
      <w:r>
        <w:rPr>
          <w:rFonts w:ascii="Arial" w:cs="Arial" w:eastAsia="Arial" w:hAnsi="Arial"/>
          <w:sz w:val="22"/>
          <w:szCs w:val="22"/>
        </w:rPr>
        <w:t xml:space="preserve">Admin endpoints (/api/v1/admin/*): adapter regeneration, domain hot-reload, and tenant listing</w:t>
      </w:r>
    </w:p>
    <w:p>
      <w:pPr>
        <w:pStyle w:val="ListParagraph"/>
        <w:numPr>
          <w:ilvl w:val="0"/>
          <w:numId w:val="2"/>
        </w:numPr>
        <w:spacing w:after="60" w:before="60"/>
      </w:pPr>
      <w:r>
        <w:rPr>
          <w:rFonts w:ascii="Arial" w:cs="Arial" w:eastAsia="Arial" w:hAnsi="Arial"/>
          <w:sz w:val="22"/>
          <w:szCs w:val="22"/>
        </w:rPr>
        <w:t xml:space="preserve">Health endpoint (/health): service status and loaded tenant list</w:t>
      </w:r>
    </w:p>
    <w:p>
      <w:pPr>
        <w:spacing w:after="100" w:before="100"/>
      </w:pPr>
    </w:p>
    <w:p>
      <w:pPr>
        <w:spacing w:after="80" w:before="80"/>
        <w:jc w:val="both"/>
      </w:pPr>
      <w:r>
        <w:rPr>
          <w:rFonts w:ascii="Arial" w:cs="Arial" w:eastAsia="Arial" w:hAnsi="Arial"/>
          <w:sz w:val="22"/>
          <w:szCs w:val="22"/>
        </w:rPr>
        <w:t xml:space="preserve">Tenant resolution is performed by a middleware component (TenantMiddleware) that inspects the X-Onboarded-Tenant request header, the tenant query parameter, and a configurable default. All domain data is loaded into application state at startup using the DomainLoader service, which reads all domain.json files from the tenants directory. No per-request disk I/O is performed after startup.</w:t>
      </w:r>
    </w:p>
    <w:p>
      <w:pPr>
        <w:spacing w:after="100" w:before="100"/>
      </w:pPr>
    </w:p>
    <w:p>
      <w:pPr>
        <w:spacing w:after="80" w:before="80"/>
        <w:jc w:val="both"/>
      </w:pPr>
      <w:r>
        <w:rPr>
          <w:rFonts w:ascii="Arial" w:cs="Arial" w:eastAsia="Arial" w:hAnsi="Arial"/>
          <w:sz w:val="22"/>
          <w:szCs w:val="22"/>
        </w:rPr>
        <w:t xml:space="preserve">The API microservice is stateless with respect to scan results. All state (domain data) is loaded at startup and is refreshed on demand via the /admin/reload endpoint without requiring a server restart. This design allows domain specifications to be updated and deployed independently of the API server process.</w:t>
      </w:r>
    </w:p>
    <w:p>
      <w:pPr>
        <w:spacing w:after="100" w:before="100"/>
      </w:pPr>
    </w:p>
    <w:p>
      <w:pPr>
        <w:pStyle w:val="Heading2"/>
        <w:spacing w:after="120" w:before="320"/>
      </w:pPr>
      <w:r>
        <w:rPr>
          <w:rFonts w:ascii="Arial" w:cs="Arial" w:eastAsia="Arial" w:hAnsi="Arial"/>
          <w:b/>
          <w:bCs/>
          <w:sz w:val="26"/>
          <w:szCs w:val="26"/>
        </w:rPr>
        <w:t xml:space="preserve">VI. Composite Web Portal</w:t>
      </w:r>
    </w:p>
    <w:p>
      <w:pPr>
        <w:spacing w:after="80" w:before="80"/>
        <w:jc w:val="both"/>
      </w:pPr>
      <w:r>
        <w:rPr>
          <w:rFonts w:ascii="Arial" w:cs="Arial" w:eastAsia="Arial" w:hAnsi="Arial"/>
          <w:sz w:val="22"/>
          <w:szCs w:val="22"/>
        </w:rPr>
        <w:t xml:space="preserve">The web portal is an Angular 19+ single-page application using the standalone component API and the Angular Router with lazy-loaded feature routes. The portal receives domain data exclusively from the build-time generated TypeScript snapshot, not from a runtime API call. This is the primary technical distinction between the portal's data access pattern and conventional web applications.</w:t>
      </w:r>
    </w:p>
    <w:p>
      <w:pPr>
        <w:spacing w:after="100" w:before="100"/>
      </w:pPr>
    </w:p>
    <w:p>
      <w:pPr>
        <w:spacing w:after="80" w:before="80"/>
        <w:jc w:val="both"/>
      </w:pPr>
      <w:r>
        <w:rPr>
          <w:rFonts w:ascii="Arial" w:cs="Arial" w:eastAsia="Arial" w:hAnsi="Arial"/>
          <w:sz w:val="22"/>
          <w:szCs w:val="22"/>
        </w:rPr>
        <w:t xml:space="preserve">The DomainService provides a typed Angular injection token that wraps the imported domain snapshot. All portal components receive domain data through this service. No component imports a tenant-specific module directly; they all inject the DomainService, which is configured by the active environment file. Switching between tenant builds requires only changing the environment file import and rebuilding.</w:t>
      </w:r>
    </w:p>
    <w:p>
      <w:pPr>
        <w:spacing w:after="100" w:before="100"/>
      </w:pPr>
    </w:p>
    <w:p>
      <w:pPr>
        <w:spacing w:after="80" w:before="80"/>
        <w:jc w:val="both"/>
      </w:pPr>
      <w:r>
        <w:rPr>
          <w:rFonts w:ascii="Arial" w:cs="Arial" w:eastAsia="Arial" w:hAnsi="Arial"/>
          <w:sz w:val="22"/>
          <w:szCs w:val="22"/>
        </w:rPr>
        <w:t xml:space="preserve">The portal additionally embeds React application components (referred to herein as React islands) within the Angular shell. The integration boundary is managed by a ReactBridgeService that: lazy-loads React and ReactDOM using dynamic import() only when an island is first mounted; creates a React root via createRoot() outside Angular's change detection zone; passes a typed IslandProps object from Angular to React as the root component's props; and forwards React-originated navigation events back into Angular's zone for router processing. This bi-directional boundary allows React and Angular to coexist without either framework's reconciler interfering with the other's DOM subtree.</w:t>
      </w:r>
    </w:p>
    <w:p>
      <w:pPr>
        <w:spacing w:after="100" w:before="100"/>
      </w:pPr>
    </w:p>
    <w:p>
      <w:pPr>
        <w:spacing w:after="80" w:before="80"/>
        <w:jc w:val="both"/>
      </w:pPr>
      <w:r>
        <w:rPr>
          <w:rFonts w:ascii="Arial" w:cs="Arial" w:eastAsia="Arial" w:hAnsi="Arial"/>
          <w:sz w:val="22"/>
          <w:szCs w:val="22"/>
        </w:rPr>
        <w:t xml:space="preserve">The React islands implement the scan dashboard (live scan execution via the API, with severity filtering and expandable finding rows) and the glossary search (fuzzy-match search with keyboard navigation). These features are selected for React island implementation because their local state complexity (multi-dimensional filters, live polling, keyboard traps) is better expressed with React's fine-grained re-render model than with Angular's zone-based change detection.</w:t>
      </w:r>
    </w:p>
    <w:p>
      <w:pPr>
        <w:spacing w:after="100" w:before="100"/>
      </w:pPr>
    </w:p>
    <w:p>
      <w:pPr>
        <w:pStyle w:val="Heading2"/>
        <w:spacing w:after="120" w:before="320"/>
      </w:pPr>
      <w:r>
        <w:rPr>
          <w:rFonts w:ascii="Arial" w:cs="Arial" w:eastAsia="Arial" w:hAnsi="Arial"/>
          <w:b/>
          <w:bCs/>
          <w:sz w:val="26"/>
          <w:szCs w:val="26"/>
        </w:rPr>
        <w:t xml:space="preserve">VII. Administrative Command-Line Interface</w:t>
      </w:r>
    </w:p>
    <w:p>
      <w:pPr>
        <w:spacing w:after="80" w:before="80"/>
        <w:jc w:val="both"/>
      </w:pPr>
      <w:r>
        <w:rPr>
          <w:rFonts w:ascii="Arial" w:cs="Arial" w:eastAsia="Arial" w:hAnsi="Arial"/>
          <w:sz w:val="22"/>
          <w:szCs w:val="22"/>
        </w:rPr>
        <w:t xml:space="preserve">The administrative CLI (ob-admin) is a TypeScript Node.js application using the Commander.js framework. It provides typed access to all API microservice endpoints through an OnboardedApiClient class that wraps fetch calls with typed request and response models. Commands are organized into three groups: domain (inspection of all domain data), scan (audit, secrets scan, single-rule execution, and rule listing), and admin (health check, tenant listing, adapter regeneration, and domain hot-reload).</w:t>
      </w:r>
    </w:p>
    <w:p>
      <w:pPr>
        <w:spacing w:after="100" w:before="100"/>
      </w:pPr>
    </w:p>
    <w:p>
      <w:pPr>
        <w:spacing w:after="80" w:before="80"/>
        <w:jc w:val="both"/>
      </w:pPr>
      <w:r>
        <w:rPr>
          <w:rFonts w:ascii="Arial" w:cs="Arial" w:eastAsia="Arial" w:hAnsi="Arial"/>
          <w:sz w:val="22"/>
          <w:szCs w:val="22"/>
        </w:rPr>
        <w:t xml:space="preserve">The CLI configures the API base URL and active tenant from command-line flags, environment variables (OB_API_BASE, OB_TENANT), or defaults. All output is formatted using the chalk terminal styling library, with severity-specific color coding for scan findings.</w:t>
      </w:r>
    </w:p>
    <w:p>
      <w:pPr>
        <w:spacing w:after="100" w:before="100"/>
      </w:pPr>
    </w:p>
    <w:p>
      <w:pPr>
        <w:pStyle w:val="Heading1"/>
        <w:spacing w:after="200" w:before="480"/>
      </w:pPr>
      <w:r>
        <w:rPr>
          <w:rFonts w:ascii="Arial" w:cs="Arial" w:eastAsia="Arial" w:hAnsi="Arial"/>
          <w:b/>
          <w:bCs/>
          <w:sz w:val="32"/>
          <w:szCs w:val="32"/>
        </w:rPr>
        <w:t xml:space="preserve">CLAIMS</w:t>
      </w:r>
    </w:p>
    <w:p>
      <w:pPr>
        <w:spacing w:after="80" w:before="80"/>
        <w:jc w:val="both"/>
      </w:pPr>
      <w:r>
        <w:rPr>
          <w:rFonts w:ascii="Arial" w:cs="Arial" w:eastAsia="Arial" w:hAnsi="Arial"/>
          <w:sz w:val="22"/>
          <w:szCs w:val="22"/>
        </w:rPr>
        <w:t xml:space="preserve">What is claimed is:</w:t>
      </w:r>
    </w:p>
    <w:p>
      <w:pPr>
        <w:spacing w:after="100" w:before="100"/>
      </w:pPr>
    </w:p>
    <w:p>
      <w:pPr>
        <w:spacing w:after="80" w:before="120"/>
        <w:ind w:left="0" w:hanging="0"/>
        <w:jc w:val="both"/>
      </w:pPr>
      <w:r>
        <w:rPr>
          <w:rFonts w:ascii="Arial" w:cs="Arial" w:eastAsia="Arial" w:hAnsi="Arial"/>
          <w:b/>
          <w:bCs/>
          <w:sz w:val="22"/>
          <w:szCs w:val="22"/>
        </w:rPr>
        <w:t xml:space="preserve">1. </w:t>
      </w:r>
      <w:r>
        <w:rPr>
          <w:rFonts w:ascii="Arial" w:cs="Arial" w:eastAsia="Arial" w:hAnsi="Arial"/>
          <w:sz w:val="22"/>
          <w:szCs w:val="22"/>
        </w:rPr>
        <w:t xml:space="preserve">A system for multi-tenant platform knowledge management, comprising: a data store configured to maintain, for each of a plurality of organizational tenants, a tenant domain specification comprising a structured representation of platform knowledge including one or more of: named platform operations associated with source file paths categorized by role; numeric or alphanumeric status codes associated with descriptions; and compliance scan rules each comprising a regular expression pattern, a severity level, a category designation, and file scope parameters; a validation engine configured to validate each tenant domain specification against a schema definition before processing; an adapter synthesis engine configured to receive a validated tenant domain specification and emit, without human intervention, a plurality of adapter files in different programming language or shell runtime formats, each adapter file derived from and consistent with the tenant domain specification; and a static analysis engine configured to read one or more compliance scan rules from a tenant domain specification and execute the rules against source files on a filesystem, reporting findings with associated severity, category, and remediation information.</w:t>
      </w:r>
    </w:p>
    <w:p>
      <w:pPr>
        <w:spacing w:after="100" w:before="100"/>
      </w:pPr>
    </w:p>
    <w:p>
      <w:pPr>
        <w:spacing w:after="80" w:before="120"/>
        <w:ind w:left="720" w:hanging="0"/>
        <w:jc w:val="both"/>
      </w:pPr>
      <w:r>
        <w:rPr>
          <w:rFonts w:ascii="Arial" w:cs="Arial" w:eastAsia="Arial" w:hAnsi="Arial"/>
          <w:b/>
          <w:bCs/>
          <w:sz w:val="22"/>
          <w:szCs w:val="22"/>
        </w:rPr>
        <w:t xml:space="preserve">2. </w:t>
      </w:r>
      <w:r>
        <w:rPr>
          <w:rFonts w:ascii="Arial" w:cs="Arial" w:eastAsia="Arial" w:hAnsi="Arial"/>
          <w:sz w:val="22"/>
          <w:szCs w:val="22"/>
        </w:rPr>
        <w:t xml:space="preserve">The system of claim 1, wherein the adapter synthesis engine is configured to encode regular expression patterns as base64 strings within adapter files that use a pipe-delimited field format, and the static analysis engine is configured to decode the base64 strings before compiling and executing the regular expressions.</w:t>
      </w:r>
    </w:p>
    <w:p>
      <w:pPr>
        <w:spacing w:after="100" w:before="100"/>
      </w:pPr>
    </w:p>
    <w:p>
      <w:pPr>
        <w:spacing w:after="80" w:before="120"/>
        <w:ind w:left="720" w:hanging="0"/>
        <w:jc w:val="both"/>
      </w:pPr>
      <w:r>
        <w:rPr>
          <w:rFonts w:ascii="Arial" w:cs="Arial" w:eastAsia="Arial" w:hAnsi="Arial"/>
          <w:b/>
          <w:bCs/>
          <w:sz w:val="22"/>
          <w:szCs w:val="22"/>
        </w:rPr>
        <w:t xml:space="preserve">3. </w:t>
      </w:r>
      <w:r>
        <w:rPr>
          <w:rFonts w:ascii="Arial" w:cs="Arial" w:eastAsia="Arial" w:hAnsi="Arial"/>
          <w:sz w:val="22"/>
          <w:szCs w:val="22"/>
        </w:rPr>
        <w:t xml:space="preserve">The system of claim 1, wherein the adapter files emitted by the adapter synthesis engine comprise at least one shell adapter in a Unix shell format and at least one typed language snapshot in a statically typed programming language, such that a change to the tenant domain specification causes both the shell adapter and the typed language snapshot to be regenerated from the updated specification.</w:t>
      </w:r>
    </w:p>
    <w:p>
      <w:pPr>
        <w:spacing w:after="100" w:before="100"/>
      </w:pPr>
    </w:p>
    <w:p>
      <w:pPr>
        <w:spacing w:after="80" w:before="120"/>
        <w:ind w:left="720" w:hanging="0"/>
        <w:jc w:val="both"/>
      </w:pPr>
      <w:r>
        <w:rPr>
          <w:rFonts w:ascii="Arial" w:cs="Arial" w:eastAsia="Arial" w:hAnsi="Arial"/>
          <w:b/>
          <w:bCs/>
          <w:sz w:val="22"/>
          <w:szCs w:val="22"/>
        </w:rPr>
        <w:t xml:space="preserve">4. </w:t>
      </w:r>
      <w:r>
        <w:rPr>
          <w:rFonts w:ascii="Arial" w:cs="Arial" w:eastAsia="Arial" w:hAnsi="Arial"/>
          <w:sz w:val="22"/>
          <w:szCs w:val="22"/>
        </w:rPr>
        <w:t xml:space="preserve">The system of claim 3, wherein the typed language snapshot is a TypeScript module that is imported by a web application at build time such that the web application receives domain data without a runtime HTTP request, and such that type errors in the typed language snapshot cause compilation of the web application to fail.</w:t>
      </w:r>
    </w:p>
    <w:p>
      <w:pPr>
        <w:spacing w:after="100" w:before="100"/>
      </w:pPr>
    </w:p>
    <w:p>
      <w:pPr>
        <w:spacing w:after="80" w:before="120"/>
        <w:ind w:left="720" w:hanging="0"/>
        <w:jc w:val="both"/>
      </w:pPr>
      <w:r>
        <w:rPr>
          <w:rFonts w:ascii="Arial" w:cs="Arial" w:eastAsia="Arial" w:hAnsi="Arial"/>
          <w:b/>
          <w:bCs/>
          <w:sz w:val="22"/>
          <w:szCs w:val="22"/>
        </w:rPr>
        <w:t xml:space="preserve">5. </w:t>
      </w:r>
      <w:r>
        <w:rPr>
          <w:rFonts w:ascii="Arial" w:cs="Arial" w:eastAsia="Arial" w:hAnsi="Arial"/>
          <w:sz w:val="22"/>
          <w:szCs w:val="22"/>
        </w:rPr>
        <w:t xml:space="preserve">The system of claim 1, wherein tenant isolation is enforced such that the adapter synthesis engine, the static analysis engine, an API microservice layer, and a web portal are each tenant-agnostic, receiving tenant context only through a runtime configuration mechanism, and no tenant-specific business logic is present in any engine or interface component.</w:t>
      </w:r>
    </w:p>
    <w:p>
      <w:pPr>
        <w:spacing w:after="100" w:before="100"/>
      </w:pPr>
    </w:p>
    <w:p>
      <w:pPr>
        <w:spacing w:after="80" w:before="120"/>
        <w:ind w:left="720" w:hanging="0"/>
        <w:jc w:val="both"/>
      </w:pPr>
      <w:r>
        <w:rPr>
          <w:rFonts w:ascii="Arial" w:cs="Arial" w:eastAsia="Arial" w:hAnsi="Arial"/>
          <w:b/>
          <w:bCs/>
          <w:sz w:val="22"/>
          <w:szCs w:val="22"/>
        </w:rPr>
        <w:t xml:space="preserve">6. </w:t>
      </w:r>
      <w:r>
        <w:rPr>
          <w:rFonts w:ascii="Arial" w:cs="Arial" w:eastAsia="Arial" w:hAnsi="Arial"/>
          <w:sz w:val="22"/>
          <w:szCs w:val="22"/>
        </w:rPr>
        <w:t xml:space="preserve">The system of claim 1, further comprising a web portal comprising: an Angular single-page application shell configured to manage application routing, dependency injection, and layout; and one or more React application components mounted as islands within the Angular shell, wherein the Angular shell and the React islands communicate through a typed bridge interface that passes structured properties from Angular to React and routes React-originated events back into Angular's change detection context.</w:t>
      </w:r>
    </w:p>
    <w:p>
      <w:pPr>
        <w:spacing w:after="100" w:before="100"/>
      </w:pPr>
    </w:p>
    <w:p>
      <w:pPr>
        <w:spacing w:after="80" w:before="120"/>
        <w:ind w:left="720" w:hanging="0"/>
        <w:jc w:val="both"/>
      </w:pPr>
      <w:r>
        <w:rPr>
          <w:rFonts w:ascii="Arial" w:cs="Arial" w:eastAsia="Arial" w:hAnsi="Arial"/>
          <w:b/>
          <w:bCs/>
          <w:sz w:val="22"/>
          <w:szCs w:val="22"/>
        </w:rPr>
        <w:t xml:space="preserve">7. </w:t>
      </w:r>
      <w:r>
        <w:rPr>
          <w:rFonts w:ascii="Arial" w:cs="Arial" w:eastAsia="Arial" w:hAnsi="Arial"/>
          <w:sz w:val="22"/>
          <w:szCs w:val="22"/>
        </w:rPr>
        <w:t xml:space="preserve">The system of claim 6, wherein the typed bridge interface comprises a props interface specifying at minimum a tenant slug, an API base URL, and an optional navigation callback, and the React islands are lazy-loaded using dynamic module import such that React and ReactDOM are not included in the application's initial bundle.</w:t>
      </w:r>
    </w:p>
    <w:p>
      <w:pPr>
        <w:spacing w:after="100" w:before="100"/>
      </w:pPr>
    </w:p>
    <w:p>
      <w:pPr>
        <w:spacing w:after="80" w:before="120"/>
        <w:ind w:left="720" w:hanging="0"/>
        <w:jc w:val="both"/>
      </w:pPr>
      <w:r>
        <w:rPr>
          <w:rFonts w:ascii="Arial" w:cs="Arial" w:eastAsia="Arial" w:hAnsi="Arial"/>
          <w:b/>
          <w:bCs/>
          <w:sz w:val="22"/>
          <w:szCs w:val="22"/>
        </w:rPr>
        <w:t xml:space="preserve">8. </w:t>
      </w:r>
      <w:r>
        <w:rPr>
          <w:rFonts w:ascii="Arial" w:cs="Arial" w:eastAsia="Arial" w:hAnsi="Arial"/>
          <w:sz w:val="22"/>
          <w:szCs w:val="22"/>
        </w:rPr>
        <w:t xml:space="preserve">A method for synthesizing executable platform adapters from a structured data source, comprising: receiving a tenant domain specification in a declarative JSON format; validating the tenant domain specification against a JSON Schema definition; for each compliance scan rule in the tenant domain specification, encoding the rule's regular expression pattern as a base64 string; generating a first adapter file in a Unix shell format, wherein each scan rule value comprises a pipe-delimited string with the base64-encoded pattern at a designated field position; generating a second adapter file in a PowerShell format, wherein each scan rule value comprises a pipe-delimited string with the base64-encoded pattern at the same designated field position as in the first adapter file; and generating a third adapter file as a statically typed TypeScript module, wherein each scan rule is represented as a typed object with the un-encoded regular expression pattern as a string property.</w:t>
      </w:r>
    </w:p>
    <w:p>
      <w:pPr>
        <w:spacing w:after="100" w:before="100"/>
      </w:pPr>
    </w:p>
    <w:p>
      <w:pPr>
        <w:spacing w:after="80" w:before="120"/>
        <w:ind w:left="720" w:hanging="0"/>
        <w:jc w:val="both"/>
      </w:pPr>
      <w:r>
        <w:rPr>
          <w:rFonts w:ascii="Arial" w:cs="Arial" w:eastAsia="Arial" w:hAnsi="Arial"/>
          <w:b/>
          <w:bCs/>
          <w:sz w:val="22"/>
          <w:szCs w:val="22"/>
        </w:rPr>
        <w:t xml:space="preserve">9. </w:t>
      </w:r>
      <w:r>
        <w:rPr>
          <w:rFonts w:ascii="Arial" w:cs="Arial" w:eastAsia="Arial" w:hAnsi="Arial"/>
          <w:sz w:val="22"/>
          <w:szCs w:val="22"/>
        </w:rPr>
        <w:t xml:space="preserve">The method of claim 8, further comprising: loading the third adapter file into a web application at build time by importing it as a static TypeScript module; and verifying, at compile time, that the types of all domain data entities in the third adapter file conform to a shared TypeScript interface definition.</w:t>
      </w:r>
    </w:p>
    <w:p>
      <w:pPr>
        <w:spacing w:after="100" w:before="100"/>
      </w:pPr>
    </w:p>
    <w:p>
      <w:pPr>
        <w:spacing w:after="80" w:before="120"/>
        <w:ind w:left="720" w:hanging="0"/>
        <w:jc w:val="both"/>
      </w:pPr>
      <w:r>
        <w:rPr>
          <w:rFonts w:ascii="Arial" w:cs="Arial" w:eastAsia="Arial" w:hAnsi="Arial"/>
          <w:b/>
          <w:bCs/>
          <w:sz w:val="22"/>
          <w:szCs w:val="22"/>
        </w:rPr>
        <w:t xml:space="preserve">10. </w:t>
      </w:r>
      <w:r>
        <w:rPr>
          <w:rFonts w:ascii="Arial" w:cs="Arial" w:eastAsia="Arial" w:hAnsi="Arial"/>
          <w:sz w:val="22"/>
          <w:szCs w:val="22"/>
        </w:rPr>
        <w:t xml:space="preserve">The method of claim 8, wherein validating the tenant domain specification comprises verifying: that all required top-level keys are present; that the version field conforms to semantic versioning format; that all scan rules include a label, a pattern, a severity value from a defined set, and at least one file scope parameter; and that the tenant metadata includes a slug, a brand name, and a CLI name.</w:t>
      </w:r>
    </w:p>
    <w:p>
      <w:pPr>
        <w:spacing w:after="100" w:before="100"/>
      </w:pPr>
    </w:p>
    <w:p>
      <w:pPr>
        <w:spacing w:after="80" w:before="120"/>
        <w:ind w:left="720" w:hanging="0"/>
        <w:jc w:val="both"/>
      </w:pPr>
      <w:r>
        <w:rPr>
          <w:rFonts w:ascii="Arial" w:cs="Arial" w:eastAsia="Arial" w:hAnsi="Arial"/>
          <w:b/>
          <w:bCs/>
          <w:sz w:val="22"/>
          <w:szCs w:val="22"/>
        </w:rPr>
        <w:t xml:space="preserve">11. </w:t>
      </w:r>
      <w:r>
        <w:rPr>
          <w:rFonts w:ascii="Arial" w:cs="Arial" w:eastAsia="Arial" w:hAnsi="Arial"/>
          <w:sz w:val="22"/>
          <w:szCs w:val="22"/>
        </w:rPr>
        <w:t xml:space="preserve">A system for delivering platform domain knowledge to a web application without a runtime data fetch, comprising: a domain specification data store containing a structured representation of platform knowledge; a code generation subsystem configured to read the domain specification and emit a statically typed programming language module containing a typed constant representing the domain data; a build system configured to include the emitted module in a web application bundle at compile time; and a web application configured to import the typed constant from the included module such that all platform domain data is available in the web application without an HTTP request on application initialization.</w:t>
      </w:r>
    </w:p>
    <w:p>
      <w:pPr>
        <w:spacing w:after="100" w:before="100"/>
      </w:pPr>
    </w:p>
    <w:p>
      <w:pPr>
        <w:spacing w:after="80" w:before="120"/>
        <w:ind w:left="720" w:hanging="0"/>
        <w:jc w:val="both"/>
      </w:pPr>
      <w:r>
        <w:rPr>
          <w:rFonts w:ascii="Arial" w:cs="Arial" w:eastAsia="Arial" w:hAnsi="Arial"/>
          <w:b/>
          <w:bCs/>
          <w:sz w:val="22"/>
          <w:szCs w:val="22"/>
        </w:rPr>
        <w:t xml:space="preserve">12. </w:t>
      </w:r>
      <w:r>
        <w:rPr>
          <w:rFonts w:ascii="Arial" w:cs="Arial" w:eastAsia="Arial" w:hAnsi="Arial"/>
          <w:sz w:val="22"/>
          <w:szCs w:val="22"/>
        </w:rPr>
        <w:t xml:space="preserve">The system of claim 11, wherein the typed constant is a TypeScript object conforming to an interface that is shared between the web application and an API microservice layer, such that changes to the domain specification that are incompatible with the shared interface cause compilation failures in both the web application and the API microservice.</w:t>
      </w:r>
    </w:p>
    <w:p>
      <w:pPr>
        <w:spacing w:after="100" w:before="100"/>
      </w:pPr>
    </w:p>
    <w:p>
      <w:pPr>
        <w:spacing w:after="80" w:before="120"/>
        <w:ind w:left="720" w:hanging="0"/>
        <w:jc w:val="both"/>
      </w:pPr>
      <w:r>
        <w:rPr>
          <w:rFonts w:ascii="Arial" w:cs="Arial" w:eastAsia="Arial" w:hAnsi="Arial"/>
          <w:b/>
          <w:bCs/>
          <w:sz w:val="22"/>
          <w:szCs w:val="22"/>
        </w:rPr>
        <w:t xml:space="preserve">13. </w:t>
      </w:r>
      <w:r>
        <w:rPr>
          <w:rFonts w:ascii="Arial" w:cs="Arial" w:eastAsia="Arial" w:hAnsi="Arial"/>
          <w:sz w:val="22"/>
          <w:szCs w:val="22"/>
        </w:rPr>
        <w:t xml:space="preserve">A computer-implemented system for enforcing coding compliance rules defined as data, comprising: a structured rule store configured to maintain one or more compliance rules, each rule comprising a label, a regular expression pattern encoded as a base64 string, a severity designation, a category designation, a set of file scope glob patterns, and an optional set of file path exclusion patterns; a scan execution engine configured to: retrieve a compliance rule from the rule store; decode the base64-encoded regular expression pattern; compile the decoded pattern as a regular expression; traverse a filesystem applying the compiled pattern to files matching the scope glob patterns and not matching the exclusion patterns; and for each match found, record a finding comprising at minimum the rule identifier, the matched file path, the matched line number, the matching text, and a remediation hint associated with the rule; and a result aggregation component configured to determine the highest-severity finding across all executed rules and report a pass or fail status.</w:t>
      </w:r>
    </w:p>
    <w:p>
      <w:pPr>
        <w:spacing w:after="100" w:before="100"/>
      </w:pPr>
    </w:p>
    <w:p>
      <w:pPr>
        <w:spacing w:after="80" w:before="120"/>
        <w:ind w:left="720" w:hanging="0"/>
        <w:jc w:val="both"/>
      </w:pPr>
      <w:r>
        <w:rPr>
          <w:rFonts w:ascii="Arial" w:cs="Arial" w:eastAsia="Arial" w:hAnsi="Arial"/>
          <w:b/>
          <w:bCs/>
          <w:sz w:val="22"/>
          <w:szCs w:val="22"/>
        </w:rPr>
        <w:t xml:space="preserve">14. </w:t>
      </w:r>
      <w:r>
        <w:rPr>
          <w:rFonts w:ascii="Arial" w:cs="Arial" w:eastAsia="Arial" w:hAnsi="Arial"/>
          <w:sz w:val="22"/>
          <w:szCs w:val="22"/>
        </w:rPr>
        <w:t xml:space="preserve">The system of claim 13, wherein the rule store is part of a tenant domain specification that also contains platform navigation knowledge, such that compliance rules and navigation knowledge share a common schema validation step and a common code generation step.</w:t>
      </w:r>
    </w:p>
    <w:p>
      <w:pPr>
        <w:spacing w:after="100" w:before="100"/>
      </w:pPr>
    </w:p>
    <w:p>
      <w:pPr>
        <w:spacing w:after="80" w:before="120"/>
        <w:ind w:left="720" w:hanging="0"/>
        <w:jc w:val="both"/>
      </w:pPr>
      <w:r>
        <w:rPr>
          <w:rFonts w:ascii="Arial" w:cs="Arial" w:eastAsia="Arial" w:hAnsi="Arial"/>
          <w:b/>
          <w:bCs/>
          <w:sz w:val="22"/>
          <w:szCs w:val="22"/>
        </w:rPr>
        <w:t xml:space="preserve">15. </w:t>
      </w:r>
      <w:r>
        <w:rPr>
          <w:rFonts w:ascii="Arial" w:cs="Arial" w:eastAsia="Arial" w:hAnsi="Arial"/>
          <w:sz w:val="22"/>
          <w:szCs w:val="22"/>
        </w:rPr>
        <w:t xml:space="preserve">The system of claim 13, wherein the scan execution engine is implemented in both a Unix shell programming language and a server-side programming language, and both implementations read from the same tenant domain specification such that the rules executed are identical regardless of which implementation is invoked.</w:t>
      </w:r>
    </w:p>
    <w:p>
      <w:pPr>
        <w:spacing w:after="100" w:before="100"/>
      </w:pPr>
    </w:p>
    <w:p>
      <w:pPr>
        <w:pStyle w:val="Heading1"/>
        <w:spacing w:after="200" w:before="480"/>
      </w:pPr>
      <w:r>
        <w:rPr>
          <w:rFonts w:ascii="Arial" w:cs="Arial" w:eastAsia="Arial" w:hAnsi="Arial"/>
          <w:b/>
          <w:bCs/>
          <w:sz w:val="32"/>
          <w:szCs w:val="32"/>
        </w:rPr>
        <w:t xml:space="preserve">ABSTRACT</w:t>
      </w:r>
    </w:p>
    <w:p>
      <w:pPr>
        <w:spacing w:after="80" w:before="80"/>
        <w:jc w:val="both"/>
      </w:pPr>
      <w:r>
        <w:rPr>
          <w:rFonts w:ascii="Arial" w:cs="Arial" w:eastAsia="Arial" w:hAnsi="Arial"/>
          <w:sz w:val="22"/>
          <w:szCs w:val="22"/>
        </w:rPr>
        <w:t xml:space="preserve">A multi-tenant platform intelligence system and method in which organizational platform knowledge—source file navigation data, status code definitions, compliance scan rules, and domain glossary terms—is encoded in a per-tenant schema-validated JSON specification that serves as the single authoritative data source. An adapter synthesis engine reads the specification and automatically generates executable adapter files for multiple runtime environments including Unix shell scripts, PowerShell modules, and TypeScript modules, using base64 encoding of regular expression patterns to prevent field-delimiter collisions in pipe-delimited shell adapter formats. A static analysis engine executes compliance rules defined as domain data, applying base64-decoded regular expressions to source files and aggregating findings by severity. A web portal receives domain data by importing a generated TypeScript snapshot at build time rather than through a runtime HTTP request, providing offline capability and compile-time type verification. An Angular-based portal shell integrates React application components as isolated islands through a typed bridge interface, with lazy loading of React and React DOM. A tenant-aware FastAPI microservice exposes all domain data and scan execution through RESTful endpoints, resolving tenant context from request headers. The system enforces that engines and interfaces are tenant-agnostic and that all tenant-specific knowledge resides in the domain specification data.</w:t>
      </w:r>
    </w:p>
    <w:p>
      <w:pPr>
        <w:spacing w:after="100" w:before="100"/>
      </w:pPr>
    </w:p>
    <w:p>
      <w:pPr>
        <w:pStyle w:val="Heading1"/>
        <w:spacing w:after="200" w:before="480"/>
      </w:pPr>
      <w:r>
        <w:rPr>
          <w:rFonts w:ascii="Arial" w:cs="Arial" w:eastAsia="Arial" w:hAnsi="Arial"/>
          <w:b/>
          <w:bCs/>
          <w:sz w:val="32"/>
          <w:szCs w:val="32"/>
        </w:rPr>
        <w:t xml:space="preserve">DRAWINGS — FIGURE DESCRIPTIONS</w:t>
      </w:r>
    </w:p>
    <w:p>
      <w:pPr>
        <w:spacing w:after="80" w:before="80"/>
        <w:jc w:val="both"/>
      </w:pPr>
      <w:r>
        <w:rPr>
          <w:rFonts w:ascii="Arial" w:cs="Arial" w:eastAsia="Arial" w:hAnsi="Arial"/>
          <w:sz w:val="22"/>
          <w:szCs w:val="22"/>
        </w:rPr>
        <w:t xml:space="preserve">[This section to be completed by patent counsel with formal drawing references]</w:t>
      </w:r>
    </w:p>
    <w:p>
      <w:pPr>
        <w:spacing w:after="100" w:before="100"/>
      </w:pPr>
    </w:p>
    <w:p>
      <w:pPr>
        <w:spacing w:after="80" w:before="80"/>
        <w:jc w:val="both"/>
      </w:pPr>
      <w:r>
        <w:rPr>
          <w:rFonts w:ascii="Arial" w:cs="Arial" w:eastAsia="Arial" w:hAnsi="Arial"/>
          <w:sz w:val="22"/>
          <w:szCs w:val="22"/>
        </w:rPr>
        <w:t xml:space="preserve">FIG. 1 — System Architecture: The tenant domain specification (domain.json) flows through the Adapter Synthesis Engine to produce four artifact types: Zsh adapter, PowerShell adapter, TypeScript snapshot, and (through the API) JSON API responses. The CLI, the Portal, and the API each consume one or more of these artifacts.</w:t>
      </w:r>
    </w:p>
    <w:p>
      <w:pPr>
        <w:spacing w:after="100" w:before="100"/>
      </w:pPr>
    </w:p>
    <w:p>
      <w:pPr>
        <w:spacing w:after="80" w:before="80"/>
        <w:jc w:val="both"/>
      </w:pPr>
      <w:r>
        <w:rPr>
          <w:rFonts w:ascii="Arial" w:cs="Arial" w:eastAsia="Arial" w:hAnsi="Arial"/>
          <w:sz w:val="22"/>
          <w:szCs w:val="22"/>
        </w:rPr>
        <w:t xml:space="preserve">FIG. 2 — Tenant Isolation Model: Multiple tenant domain specifications (MSI, Generic, Tenant-N) each independently validate against a shared JSON Schema. The Schema, the Synthesis Engine, the Analysis Engine, the API, and the Portal are all shared tenant-agnostic components. Tenant selection occurs only at the boundary of each component.</w:t>
      </w:r>
    </w:p>
    <w:p>
      <w:pPr>
        <w:spacing w:after="100" w:before="100"/>
      </w:pPr>
    </w:p>
    <w:p>
      <w:pPr>
        <w:spacing w:after="80" w:before="80"/>
        <w:jc w:val="both"/>
      </w:pPr>
      <w:r>
        <w:rPr>
          <w:rFonts w:ascii="Arial" w:cs="Arial" w:eastAsia="Arial" w:hAnsi="Arial"/>
          <w:sz w:val="22"/>
          <w:szCs w:val="22"/>
        </w:rPr>
        <w:t xml:space="preserve">FIG. 3 — Adapter Synthesis Flow: Input domain.json → Schema Validation → For each scan_rule: base64-encode pattern → Emit nav_maps.zsh, scan_rules.zsh, nav_maps.ps1, scan_rules.ps1, &lt;tenant&gt;.ts → Output directory.</w:t>
      </w:r>
    </w:p>
    <w:p>
      <w:pPr>
        <w:spacing w:after="100" w:before="100"/>
      </w:pPr>
    </w:p>
    <w:p>
      <w:pPr>
        <w:spacing w:after="80" w:before="80"/>
        <w:jc w:val="both"/>
      </w:pPr>
      <w:r>
        <w:rPr>
          <w:rFonts w:ascii="Arial" w:cs="Arial" w:eastAsia="Arial" w:hAnsi="Arial"/>
          <w:sz w:val="22"/>
          <w:szCs w:val="22"/>
        </w:rPr>
        <w:t xml:space="preserve">FIG. 4 — Web Portal Architecture: Angular App Shell (routing, DI) → lazy-loads Feature Routes → NavComponent, StatusComponent, GlossaryComponent (read from TENANT_DOMAIN build-time constant) and ScanComponent (mounts React island via ReactBridgeService → createRoot → ScanDashboardIsland, which calls POST /api/v1/scan/).</w:t>
      </w:r>
    </w:p>
    <w:p>
      <w:pPr>
        <w:spacing w:after="100" w:before="100"/>
      </w:pPr>
    </w:p>
    <w:p>
      <w:pPr>
        <w:spacing w:after="80" w:before="80"/>
        <w:jc w:val="both"/>
      </w:pPr>
      <w:r>
        <w:rPr>
          <w:rFonts w:ascii="Arial" w:cs="Arial" w:eastAsia="Arial" w:hAnsi="Arial"/>
          <w:sz w:val="22"/>
          <w:szCs w:val="22"/>
        </w:rPr>
        <w:t xml:space="preserve">FIG. 5 — Static Analysis Engine Flow: ScanRequest (rule_ids, severity, category, paths) → Filter rules from TenantDomain → For each rule: base64-decode pattern → compile regex → traverse filesystem → match lines → collect ScanFinding → aggregate → return ScanResult.</w:t>
      </w:r>
    </w:p>
    <w:p>
      <w:pPr>
        <w:spacing w:after="100" w:before="100"/>
      </w:pPr>
    </w:p>
    <w:p>
      <w:pPr>
        <w:spacing w:after="100" w:before="100"/>
      </w:pPr>
    </w:p>
    <w:p>
      <w:pPr>
        <w:jc w:val="center"/>
      </w:pPr>
      <w:r>
        <w:rPr>
          <w:rFonts w:ascii="Arial" w:cs="Arial" w:eastAsia="Arial" w:hAnsi="Arial"/>
          <w:b/>
          <w:bCs/>
          <w:color w:val="666666"/>
          <w:sz w:val="20"/>
          <w:szCs w:val="20"/>
        </w:rPr>
        <w:t xml:space="preserve">— END OF DRAFT PATENT APPLICATION —</w:t>
      </w:r>
    </w:p>
    <w:p>
      <w:pPr>
        <w:spacing w:after="100" w:before="100"/>
      </w:pPr>
    </w:p>
    <w:p>
      <w:pPr>
        <w:jc w:val="center"/>
      </w:pPr>
      <w:r>
        <w:rPr>
          <w:rFonts w:ascii="Arial" w:cs="Arial" w:eastAsia="Arial" w:hAnsi="Arial"/>
          <w:color w:val="AA0000"/>
          <w:sz w:val="18"/>
          <w:szCs w:val="18"/>
        </w:rPr>
        <w:t xml:space="preserve">This document is a pre-reviewed draft prepared for review by qualified patent counsel.</w:t>
      </w:r>
    </w:p>
    <w:p>
      <w:pPr>
        <w:jc w:val="center"/>
      </w:pPr>
      <w:r>
        <w:rPr>
          <w:rFonts w:ascii="Arial" w:cs="Arial" w:eastAsia="Arial" w:hAnsi="Arial"/>
          <w:color w:val="AA0000"/>
          <w:sz w:val="18"/>
          <w:szCs w:val="18"/>
        </w:rPr>
        <w:t xml:space="preserve">It does not constitute a filed patent application and confers no patent rights.</w:t>
      </w:r>
    </w:p>
    <w:p>
      <w:pPr>
        <w:jc w:val="center"/>
      </w:pPr>
      <w:r>
        <w:rPr>
          <w:rFonts w:ascii="Arial" w:cs="Arial" w:eastAsia="Arial" w:hAnsi="Arial"/>
          <w:color w:val="AA0000"/>
          <w:sz w:val="18"/>
          <w:szCs w:val="18"/>
        </w:rPr>
        <w:t xml:space="preserve">Applicant should retain patent counsel before making any public disclosure.</w:t>
      </w:r>
    </w:p>
    <w:sectPr>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1a7f64" w:sz="4" w:space="4"/>
      </w:pBdr>
      <w:spacing w:after="200" w:before="480"/>
      <w:outlineLvl w:val="0"/>
    </w:pPr>
    <w:rPr>
      <w:rFonts w:ascii="Arial" w:cs="Arial" w:eastAsia="Arial" w:hAnsi="Arial"/>
      <w:b/>
      <w:bCs/>
      <w:color w:val="000000"/>
      <w:sz w:val="32"/>
      <w:szCs w:val="32"/>
    </w:rPr>
  </w:style>
  <w:style w:type="paragraph" w:styleId="Heading2">
    <w:name w:val="Heading 2"/>
    <w:basedOn w:val="Normal"/>
    <w:next w:val="Normal"/>
    <w:pPr>
      <w:spacing w:after="120" w:before="32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2026-05-22T07:10:03.370Z</dcterms:created>
  <dcterms:modified xsi:type="dcterms:W3CDTF">2026-05-22T07:10:03.371Z</dcterms:modified>
</cp:coreProperties>
</file>

<file path=docProps/custom.xml><?xml version="1.0" encoding="utf-8"?>
<Properties xmlns="http://schemas.openxmlformats.org/officeDocument/2006/custom-properties" xmlns:vt="http://schemas.openxmlformats.org/officeDocument/2006/docPropsVTypes"/>
</file>