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120" w:before="120"/>
        <w:jc w:val="center"/>
      </w:pPr>
      <w:r>
        <w:rPr>
          <w:rFonts w:ascii="Arial" w:cs="Arial" w:eastAsia="Arial" w:hAnsi="Arial"/>
          <w:b/>
          <w:bCs/>
          <w:sz w:val="28"/>
          <w:szCs w:val="28"/>
        </w:rPr>
        <w:t xml:space="preserve">UNITED STATES PATENT APPLICATION</w:t>
      </w:r>
    </w:p>
    <w:p>
      <w:pPr>
        <w:spacing w:after="80" w:before="80"/>
      </w:pPr>
    </w:p>
    <w:p>
      <w:pPr>
        <w:spacing w:after="120" w:before="120"/>
        <w:jc w:val="center"/>
      </w:pPr>
      <w:r>
        <w:rPr>
          <w:rFonts w:ascii="Arial" w:cs="Arial" w:eastAsia="Arial" w:hAnsi="Arial"/>
          <w:b/>
          <w:bCs/>
          <w:sz w:val="24"/>
          <w:szCs w:val="24"/>
        </w:rPr>
        <w:t xml:space="preserve">PROVISIONAL PATENT APPLICATION</w:t>
      </w:r>
    </w:p>
    <w:p>
      <w:pPr>
        <w:spacing w:after="80" w:before="80"/>
      </w:pPr>
    </w:p>
    <w:p>
      <w:pPr>
        <w:spacing w:after="80" w:before="80"/>
      </w:pPr>
    </w:p>
    <w:p>
      <w:pPr>
        <w:spacing w:after="80"/>
        <w:jc w:val="center"/>
      </w:pPr>
      <w:r>
        <w:rPr>
          <w:rFonts w:ascii="Arial" w:cs="Arial" w:eastAsia="Arial" w:hAnsi="Arial"/>
          <w:b/>
          <w:bCs/>
          <w:sz w:val="24"/>
          <w:szCs w:val="24"/>
        </w:rPr>
        <w:t xml:space="preserve">TITLE OF INVENTION:</w:t>
      </w:r>
    </w:p>
    <w:p>
      <w:pPr>
        <w:spacing w:after="120" w:before="120"/>
        <w:jc w:val="center"/>
      </w:pPr>
      <w:r>
        <w:rPr>
          <w:rFonts w:ascii="Arial" w:cs="Arial" w:eastAsia="Arial" w:hAnsi="Arial"/>
          <w:b/>
          <w:bCs/>
          <w:sz w:val="28"/>
          <w:szCs w:val="28"/>
        </w:rPr>
        <w:t xml:space="preserve">ONBOARDED: A MULTI-TENANT PLATFORM INTELLIGENCE
SYSTEM WITH DATA-DRIVEN ADAPTER SYNTHESIS</w:t>
      </w:r>
    </w:p>
    <w:p>
      <w:pPr>
        <w:spacing w:after="80" w:before="80"/>
      </w:pPr>
    </w:p>
    <w:p>
      <w:pPr>
        <w:spacing w:after="80" w:before="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Application Type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Non-Provisional Utility Patent (Provisional Filed Herewith)</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Filing 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[DATE OF FILING]</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Applicant(s)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MICHAEL LOWENSTEIN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Inventors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MICHAEL LOWENSTEIN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Assignee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SOFTWARELABS.CA</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Attorney Docket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OB-2026-001</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0"/>
                <w:szCs w:val="20"/>
              </w:rPr>
              <w:t xml:space="preserve">Country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United States of America</w:t>
            </w:r>
          </w:p>
        </w:tc>
      </w:tr>
    </w:tbl>
    <w:p>
      <w:pPr>
        <w:spacing w:after="80" w:before="80"/>
      </w:pPr>
    </w:p>
    <w:p>
      <w:pPr>
        <w:spacing w:after="80" w:before="80"/>
      </w:pPr>
    </w:p>
    <w:p>
      <w:pPr>
        <w:jc w:val="center"/>
      </w:pPr>
      <w:r>
        <w:rPr>
          <w:rFonts w:ascii="Arial" w:cs="Arial" w:eastAsia="Arial" w:hAnsi="Arial"/>
          <w:b/>
          <w:bCs/>
          <w:color w:val="AA0000"/>
          <w:sz w:val="20"/>
          <w:szCs w:val="20"/>
        </w:rPr>
        <w:t xml:space="preserve">DRAFT — PRE-REVIEW — NOT FOR FILING</w:t>
      </w:r>
    </w:p>
    <w:p>
      <w:pPr>
        <w:spacing w:after="80"/>
        <w:jc w:val="center"/>
      </w:pPr>
      <w:r>
        <w:rPr>
          <w:rFonts w:ascii="Arial" w:cs="Arial" w:eastAsia="Arial" w:hAnsi="Arial"/>
          <w:color w:val="666666"/>
          <w:sz w:val="18"/>
          <w:szCs w:val="18"/>
        </w:rPr>
        <w:t xml:space="preserve">v1 Pre-reviewed Draft | Prepared for Patent Counsel Review</w:t>
      </w:r>
    </w:p>
    <w:p>
      <w:pPr>
        <w:pStyle w:val="Heading1"/>
        <w:spacing w:after="200" w:before="480"/>
      </w:pPr>
      <w:r>
        <w:rPr>
          <w:rFonts w:ascii="Arial" w:cs="Arial" w:eastAsia="Arial" w:hAnsi="Arial"/>
          <w:b/>
          <w:bCs/>
          <w:sz w:val="32"/>
          <w:szCs w:val="32"/>
        </w:rPr>
        <w:t xml:space="preserve">CROSS-REFERENCE TO RELATED APPLICATIONS</w:t>
      </w:r>
    </w:p>
    <w:p>
      <w:pPr>
        <w:spacing w:after="80" w:before="80"/>
        <w:jc w:val="both"/>
      </w:pPr>
      <w:r>
        <w:rPr>
          <w:rFonts w:ascii="Arial" w:cs="Arial" w:eastAsia="Arial" w:hAnsi="Arial"/>
          <w:sz w:val="22"/>
          <w:szCs w:val="22"/>
        </w:rPr>
        <w:t xml:space="preserve">This application claims the benefit of and priority to U.S. Provisional Patent Application No. [PROVISIONAL APPLICATION NUMBER], filed [PROVISIONAL FILING DATE], the entire contents of which are incorporated herein by reference.</w:t>
      </w:r>
    </w:p>
    <w:p>
      <w:pPr>
        <w:spacing w:after="80" w:before="80"/>
      </w:pPr>
    </w:p>
    <w:p>
      <w:pPr>
        <w:pStyle w:val="Heading1"/>
        <w:spacing w:after="200" w:before="480"/>
      </w:pPr>
      <w:r>
        <w:rPr>
          <w:rFonts w:ascii="Arial" w:cs="Arial" w:eastAsia="Arial" w:hAnsi="Arial"/>
          <w:b/>
          <w:bCs/>
          <w:sz w:val="32"/>
          <w:szCs w:val="32"/>
        </w:rPr>
        <w:t xml:space="preserve">FIELD OF THE INVENTION</w:t>
      </w:r>
    </w:p>
    <w:p>
      <w:pPr>
        <w:spacing w:after="80" w:before="80"/>
        <w:jc w:val="both"/>
      </w:pPr>
      <w:r>
        <w:rPr>
          <w:rFonts w:ascii="Arial" w:cs="Arial" w:eastAsia="Arial" w:hAnsi="Arial"/>
          <w:sz w:val="22"/>
          <w:szCs w:val="22"/>
        </w:rPr>
        <w:t xml:space="preserve">This invention covers software development tooling — specifically, a method and system for capturing institutional platform knowledge as structured per-tenant data and generating executable adapters from that data for multiple shell and programming language runtimes in a single automated pass.</w:t>
      </w:r>
    </w:p>
    <w:p>
      <w:pPr>
        <w:spacing w:after="80" w:before="80"/>
      </w:pPr>
    </w:p>
    <w:p>
      <w:pPr>
        <w:pStyle w:val="Heading1"/>
        <w:spacing w:after="200" w:before="480"/>
      </w:pPr>
      <w:r>
        <w:rPr>
          <w:rFonts w:ascii="Arial" w:cs="Arial" w:eastAsia="Arial" w:hAnsi="Arial"/>
          <w:b/>
          <w:bCs/>
          <w:sz w:val="32"/>
          <w:szCs w:val="32"/>
        </w:rPr>
        <w:t xml:space="preserve">BACKGROUND OF THE INVENTION</w:t>
      </w:r>
    </w:p>
    <w:p>
      <w:pPr>
        <w:spacing w:after="80" w:before="80"/>
        <w:jc w:val="both"/>
      </w:pPr>
      <w:r>
        <w:rPr>
          <w:rFonts w:ascii="Arial" w:cs="Arial" w:eastAsia="Arial" w:hAnsi="Arial"/>
          <w:sz w:val="22"/>
          <w:szCs w:val="22"/>
        </w:rPr>
        <w:t xml:space="preserve">Engineering teams maintaining large, multi-generational platforms accumulate institutional knowledge that never makes it into code or documentation in a usable form. Which source files implement a given business operation, what a given status code means, which compliance rules apply to which repositories — this information lives in tribal memory, in documentation that goes stale, and in proprietary tooling that can't be queried at the terminal. It's the knowledge that takes a new developer three months to accumulate and takes a senior developer five commands to forget when switching context.</w:t>
      </w:r>
    </w:p>
    <w:p>
      <w:pPr>
        <w:spacing w:after="80" w:before="80"/>
      </w:pPr>
    </w:p>
    <w:p>
      <w:pPr>
        <w:spacing w:after="80" w:before="80"/>
        <w:jc w:val="both"/>
      </w:pPr>
      <w:r>
        <w:rPr>
          <w:rFonts w:ascii="Arial" w:cs="Arial" w:eastAsia="Arial" w:hAnsi="Arial"/>
          <w:sz w:val="22"/>
          <w:szCs w:val="22"/>
        </w:rPr>
        <w:t xml:space="preserve">Existing tools address fragments of this problem and none of them are connected. IDE language servers and grep-based navigation tools require the developer to already know what to look for. Static analysis tools and SAST scanners are configured per-project and carry no organizational domain knowledge — they know about code quality patterns, not about which pattern is a violation of this team's specific architecture standards on this specific repository. Documentation wikis are not executable. None of them compose into a unified data representation that is simultaneously queryable at the terminal, renderable in a browser, executable as compliance rules, and synthesizable into adapter files for multiple runtimes — all from a single source of truth.</w:t>
      </w:r>
    </w:p>
    <w:p>
      <w:pPr>
        <w:spacing w:after="80" w:before="80"/>
      </w:pPr>
    </w:p>
    <w:p>
      <w:pPr>
        <w:spacing w:after="80" w:before="80"/>
        <w:jc w:val="both"/>
      </w:pPr>
      <w:r>
        <w:rPr>
          <w:rFonts w:ascii="Arial" w:cs="Arial" w:eastAsia="Arial" w:hAnsi="Arial"/>
          <w:sz w:val="22"/>
          <w:szCs w:val="22"/>
        </w:rPr>
        <w:t xml:space="preserve">The specific gaps this system addresses: (1) platform knowledge is captured as structured, schema-validated data rather than prose; (2) that data generates adapters for multiple runtime environments without any manual duplication; (3) the data remains the authoritative source — adapters are always derived, never the source; (4) multiple organizational tenants are supported with domain isolation; (5) a web portal renders domain knowledge from the same data at build time, with no runtime HTTP fetch required.</w:t>
      </w:r>
    </w:p>
    <w:p>
      <w:pPr>
        <w:spacing w:after="80" w:before="80"/>
      </w:pPr>
    </w:p>
    <w:p>
      <w:pPr>
        <w:pStyle w:val="Heading1"/>
        <w:spacing w:after="200" w:before="480"/>
      </w:pPr>
      <w:r>
        <w:rPr>
          <w:rFonts w:ascii="Arial" w:cs="Arial" w:eastAsia="Arial" w:hAnsi="Arial"/>
          <w:b/>
          <w:bCs/>
          <w:sz w:val="32"/>
          <w:szCs w:val="32"/>
        </w:rPr>
        <w:t xml:space="preserve">SUMMARY OF THE INVENTION</w:t>
      </w:r>
    </w:p>
    <w:p>
      <w:pPr>
        <w:spacing w:after="80" w:before="80"/>
        <w:jc w:val="both"/>
      </w:pPr>
      <w:r>
        <w:rPr>
          <w:rFonts w:ascii="Arial" w:cs="Arial" w:eastAsia="Arial" w:hAnsi="Arial"/>
          <w:sz w:val="22"/>
          <w:szCs w:val="22"/>
        </w:rPr>
        <w:t xml:space="preserve">Onboarded is a multi-tenant platform intelligence system. At its core is a per-tenant JSON domain specification validated against a shared JSON Schema. From that specification, an adapter synthesis engine generates: shell adapters for Zsh and PowerShell, a POSIX sh fallback, and a statically typed TypeScript module. A static analysis engine runs compliance rules defined in the same domain specification against source files on the filesystem. A FastAPI microservice exposes all domain data and scan execution via REST endpoints. An Angular 19+ web portal renders the full domain at build time by importing the generated TypeScript module — no runtime API call, no HTTP round-trip on first load. A pair of command-line interfaces — one Zsh/PowerShell, one TypeScript Node.js — give developers terminal access to every piece of domain knowledge.</w:t>
      </w:r>
    </w:p>
    <w:p>
      <w:pPr>
        <w:spacing w:after="80" w:before="80"/>
      </w:pPr>
    </w:p>
    <w:p>
      <w:pPr>
        <w:spacing w:after="80" w:before="80"/>
        <w:jc w:val="both"/>
      </w:pPr>
      <w:r>
        <w:rPr>
          <w:rFonts w:ascii="Arial" w:cs="Arial" w:eastAsia="Arial" w:hAnsi="Arial"/>
          <w:sz w:val="22"/>
          <w:szCs w:val="22"/>
        </w:rPr>
        <w:t xml:space="preserve">The central method claim covers adapter synthesis: receive a domain specification, validate it against a JSON Schema, base64-encode each compliance rule's regular expression pattern to prevent pipe-delimiter collisions in the generated shell adapter values, and emit adapter files in multiple target formats — all derived from the validated specification, all consistent with each other.</w:t>
      </w:r>
    </w:p>
    <w:p>
      <w:pPr>
        <w:spacing w:after="80" w:before="80"/>
      </w:pPr>
    </w:p>
    <w:p>
      <w:pPr>
        <w:spacing w:after="80" w:before="80"/>
        <w:jc w:val="both"/>
      </w:pPr>
      <w:r>
        <w:rPr>
          <w:rFonts w:ascii="Arial" w:cs="Arial" w:eastAsia="Arial" w:hAnsi="Arial"/>
          <w:sz w:val="22"/>
          <w:szCs w:val="22"/>
        </w:rPr>
        <w:t xml:space="preserve">The central system claim covers tenant isolation: each tenant's domain specification is independent; the synthesis engine, the analysis engine, the API, and the portal are all tenant-agnostic and receive tenant context only through runtime configuration. No tenant-specific logic appears in any engine or interface component.</w:t>
      </w:r>
    </w:p>
    <w:p>
      <w:pPr>
        <w:spacing w:after="80" w:before="80"/>
      </w:pPr>
    </w:p>
    <w:p>
      <w:pPr>
        <w:pStyle w:val="Heading1"/>
        <w:spacing w:after="200" w:before="480"/>
      </w:pPr>
      <w:r>
        <w:rPr>
          <w:rFonts w:ascii="Arial" w:cs="Arial" w:eastAsia="Arial" w:hAnsi="Arial"/>
          <w:b/>
          <w:bCs/>
          <w:sz w:val="32"/>
          <w:szCs w:val="32"/>
        </w:rPr>
        <w:t xml:space="preserve">BRIEF DESCRIPTION OF THE DRAWINGS</w:t>
      </w:r>
    </w:p>
    <w:p>
      <w:pPr>
        <w:spacing w:after="80" w:before="80"/>
        <w:jc w:val="both"/>
      </w:pPr>
      <w:r>
        <w:rPr>
          <w:rFonts w:ascii="Arial" w:cs="Arial" w:eastAsia="Arial" w:hAnsi="Arial"/>
          <w:sz w:val="22"/>
          <w:szCs w:val="22"/>
        </w:rPr>
        <w:t xml:space="preserve">[DRAWINGS TO BE PROVIDED BY PATENT COUNSEL]</w:t>
      </w:r>
    </w:p>
    <w:p>
      <w:pPr>
        <w:spacing w:after="80" w:before="80"/>
      </w:pPr>
    </w:p>
    <w:p>
      <w:pPr>
        <w:spacing w:after="80" w:before="80"/>
        <w:jc w:val="both"/>
      </w:pPr>
      <w:r>
        <w:rPr>
          <w:rFonts w:ascii="Arial" w:cs="Arial" w:eastAsia="Arial" w:hAnsi="Arial"/>
          <w:sz w:val="22"/>
          <w:szCs w:val="22"/>
        </w:rPr>
        <w:t xml:space="preserve">FIG. 1 — System architecture. Data flow from a tenant domain specification through the adapter synthesis engine to the four target runtimes: Zsh CLI, PowerShell module, TypeScript snapshot (portal), and JSON API responses.</w:t>
      </w:r>
    </w:p>
    <w:p>
      <w:pPr>
        <w:spacing w:after="80" w:before="80"/>
      </w:pPr>
    </w:p>
    <w:p>
      <w:pPr>
        <w:spacing w:after="80" w:before="80"/>
        <w:jc w:val="both"/>
      </w:pPr>
      <w:r>
        <w:rPr>
          <w:rFonts w:ascii="Arial" w:cs="Arial" w:eastAsia="Arial" w:hAnsi="Arial"/>
          <w:sz w:val="22"/>
          <w:szCs w:val="22"/>
        </w:rPr>
        <w:t xml:space="preserve">FIG. 2 — Tenant isolation model. Multiple independent tenant domain specifications each validate against a shared JSON Schema. The schema, synthesis engine, analysis engine, API, and portal are all shared tenant-agnostic components. Tenant selection occurs only at each component's configuration boundary.</w:t>
      </w:r>
    </w:p>
    <w:p>
      <w:pPr>
        <w:spacing w:after="80" w:before="80"/>
      </w:pPr>
    </w:p>
    <w:p>
      <w:pPr>
        <w:spacing w:after="80" w:before="80"/>
        <w:jc w:val="both"/>
      </w:pPr>
      <w:r>
        <w:rPr>
          <w:rFonts w:ascii="Arial" w:cs="Arial" w:eastAsia="Arial" w:hAnsi="Arial"/>
          <w:sz w:val="22"/>
          <w:szCs w:val="22"/>
        </w:rPr>
        <w:t xml:space="preserve">FIG. 3 — Adapter synthesis flow. Input domain.json → schema validation → for each scan_rule, base64-encode the pattern → emit nav_maps.zsh, scan_rules.zsh, nav_maps.ps1, scan_rules.ps1, and &lt;tenant&gt;.ts → output directory.</w:t>
      </w:r>
    </w:p>
    <w:p>
      <w:pPr>
        <w:spacing w:after="80" w:before="80"/>
      </w:pPr>
    </w:p>
    <w:p>
      <w:pPr>
        <w:spacing w:after="80" w:before="80"/>
        <w:jc w:val="both"/>
      </w:pPr>
      <w:r>
        <w:rPr>
          <w:rFonts w:ascii="Arial" w:cs="Arial" w:eastAsia="Arial" w:hAnsi="Arial"/>
          <w:sz w:val="22"/>
          <w:szCs w:val="22"/>
        </w:rPr>
        <w:t xml:space="preserve">FIG. 4 — Web portal architecture. Angular app shell with lazy-loaded feature routes. NavComponent, StatusComponent, GlossaryComponent read from the TENANT_DOMAIN build-time constant. ScanComponent mounts a React island via ReactBridgeService → createRoot() → ScanDashboardIsland, which calls POST /api/v1/scan/.</w:t>
      </w:r>
    </w:p>
    <w:p>
      <w:pPr>
        <w:spacing w:after="80" w:before="80"/>
      </w:pPr>
    </w:p>
    <w:p>
      <w:pPr>
        <w:spacing w:after="80" w:before="80"/>
        <w:jc w:val="both"/>
      </w:pPr>
      <w:r>
        <w:rPr>
          <w:rFonts w:ascii="Arial" w:cs="Arial" w:eastAsia="Arial" w:hAnsi="Arial"/>
          <w:sz w:val="22"/>
          <w:szCs w:val="22"/>
        </w:rPr>
        <w:t xml:space="preserve">FIG. 5 — Static analysis engine flow. ScanRequest (rule_ids, severity, category, paths) → filter rules from TenantDomain → for each rule: base64-decode pattern → compile regex → traverse filesystem → match lines → collect ScanFinding → aggregate → return ScanResult.</w:t>
      </w:r>
    </w:p>
    <w:p>
      <w:pPr>
        <w:spacing w:after="80" w:before="80"/>
      </w:pPr>
    </w:p>
    <w:p>
      <w:pPr>
        <w:pStyle w:val="Heading1"/>
        <w:spacing w:after="200" w:before="480"/>
      </w:pPr>
      <w:r>
        <w:rPr>
          <w:rFonts w:ascii="Arial" w:cs="Arial" w:eastAsia="Arial" w:hAnsi="Arial"/>
          <w:b/>
          <w:bCs/>
          <w:sz w:val="32"/>
          <w:szCs w:val="32"/>
        </w:rPr>
        <w:t xml:space="preserve">DETAILED DESCRIPTION OF THE PREFERRED EMBODIMENTS</w:t>
      </w:r>
    </w:p>
    <w:p>
      <w:pPr>
        <w:pStyle w:val="Heading2"/>
        <w:spacing w:after="120" w:before="320"/>
      </w:pPr>
      <w:r>
        <w:rPr>
          <w:rFonts w:ascii="Arial" w:cs="Arial" w:eastAsia="Arial" w:hAnsi="Arial"/>
          <w:b/>
          <w:bCs/>
          <w:sz w:val="26"/>
          <w:szCs w:val="26"/>
        </w:rPr>
        <w:t xml:space="preserve">I. System Overview</w:t>
      </w:r>
    </w:p>
    <w:p>
      <w:pPr>
        <w:spacing w:after="80" w:before="80"/>
        <w:jc w:val="both"/>
      </w:pPr>
      <w:r>
        <w:rPr>
          <w:rFonts w:ascii="Arial" w:cs="Arial" w:eastAsia="Arial" w:hAnsi="Arial"/>
          <w:sz w:val="22"/>
          <w:szCs w:val="22"/>
        </w:rPr>
        <w:t xml:space="preserve">The Onboarded system has seven components:</w:t>
      </w:r>
    </w:p>
    <w:p>
      <w:pPr>
        <w:spacing w:after="80" w:before="80"/>
      </w:pPr>
    </w:p>
    <w:p>
      <w:pPr>
        <w:pStyle w:val="ListParagraph"/>
        <w:numPr>
          <w:ilvl w:val="0"/>
          <w:numId w:val="2"/>
        </w:numPr>
        <w:spacing w:after="60" w:before="60"/>
      </w:pPr>
      <w:r>
        <w:rPr>
          <w:rFonts w:ascii="Arial" w:cs="Arial" w:eastAsia="Arial" w:hAnsi="Arial"/>
          <w:sz w:val="22"/>
          <w:szCs w:val="22"/>
        </w:rPr>
        <w:t xml:space="preserve">Tenant Domain Layer (§II) — the per-tenant schema-validated JSON specification that is the single source of truth for all platform knowledge</w:t>
      </w:r>
    </w:p>
    <w:p>
      <w:pPr>
        <w:pStyle w:val="ListParagraph"/>
        <w:numPr>
          <w:ilvl w:val="0"/>
          <w:numId w:val="2"/>
        </w:numPr>
        <w:spacing w:after="60" w:before="60"/>
      </w:pPr>
      <w:r>
        <w:rPr>
          <w:rFonts w:ascii="Arial" w:cs="Arial" w:eastAsia="Arial" w:hAnsi="Arial"/>
          <w:sz w:val="22"/>
          <w:szCs w:val="22"/>
        </w:rPr>
        <w:t xml:space="preserve">Adapter Synthesis Engine (§III) — reads the domain specification and emits executable adapters for multiple target environments without manual intervention</w:t>
      </w:r>
    </w:p>
    <w:p>
      <w:pPr>
        <w:pStyle w:val="ListParagraph"/>
        <w:numPr>
          <w:ilvl w:val="0"/>
          <w:numId w:val="2"/>
        </w:numPr>
        <w:spacing w:after="60" w:before="60"/>
      </w:pPr>
      <w:r>
        <w:rPr>
          <w:rFonts w:ascii="Arial" w:cs="Arial" w:eastAsia="Arial" w:hAnsi="Arial"/>
          <w:sz w:val="22"/>
          <w:szCs w:val="22"/>
        </w:rPr>
        <w:t xml:space="preserve">Static Analysis Engine (§IV) — executes compliance rules defined as domain data against source files on a filesystem</w:t>
      </w:r>
    </w:p>
    <w:p>
      <w:pPr>
        <w:pStyle w:val="ListParagraph"/>
        <w:numPr>
          <w:ilvl w:val="0"/>
          <w:numId w:val="2"/>
        </w:numPr>
        <w:spacing w:after="60" w:before="60"/>
      </w:pPr>
      <w:r>
        <w:rPr>
          <w:rFonts w:ascii="Arial" w:cs="Arial" w:eastAsia="Arial" w:hAnsi="Arial"/>
          <w:sz w:val="22"/>
          <w:szCs w:val="22"/>
        </w:rPr>
        <w:t xml:space="preserve">Tenant-Aware API Microservice (§V) — RESTful HTTP service exposing domain data and scan execution, with tenant resolved from request headers</w:t>
      </w:r>
    </w:p>
    <w:p>
      <w:pPr>
        <w:pStyle w:val="ListParagraph"/>
        <w:numPr>
          <w:ilvl w:val="0"/>
          <w:numId w:val="2"/>
        </w:numPr>
        <w:spacing w:after="60" w:before="60"/>
      </w:pPr>
      <w:r>
        <w:rPr>
          <w:rFonts w:ascii="Arial" w:cs="Arial" w:eastAsia="Arial" w:hAnsi="Arial"/>
          <w:sz w:val="22"/>
          <w:szCs w:val="22"/>
        </w:rPr>
        <w:t xml:space="preserve">Composite Web Portal (§VI) — Angular SPA with embedded React islands; receives all domain data from a build-time TypeScript snapshot, not a runtime API call</w:t>
      </w:r>
    </w:p>
    <w:p>
      <w:pPr>
        <w:pStyle w:val="ListParagraph"/>
        <w:numPr>
          <w:ilvl w:val="0"/>
          <w:numId w:val="2"/>
        </w:numPr>
        <w:spacing w:after="60" w:before="60"/>
      </w:pPr>
      <w:r>
        <w:rPr>
          <w:rFonts w:ascii="Arial" w:cs="Arial" w:eastAsia="Arial" w:hAnsi="Arial"/>
          <w:sz w:val="22"/>
          <w:szCs w:val="22"/>
        </w:rPr>
        <w:t xml:space="preserve">Shell CLI (§VII) — Zsh and PowerShell adapter providing terminal access to all domain knowledge</w:t>
      </w:r>
    </w:p>
    <w:p>
      <w:pPr>
        <w:pStyle w:val="ListParagraph"/>
        <w:numPr>
          <w:ilvl w:val="0"/>
          <w:numId w:val="2"/>
        </w:numPr>
        <w:spacing w:after="60" w:before="60"/>
      </w:pPr>
      <w:r>
        <w:rPr>
          <w:rFonts w:ascii="Arial" w:cs="Arial" w:eastAsia="Arial" w:hAnsi="Arial"/>
          <w:sz w:val="22"/>
          <w:szCs w:val="22"/>
        </w:rPr>
        <w:t xml:space="preserve">Administrative CLI (§VIII) — TypeScript Node.js tool providing typed terminal access to all API endpoints</w:t>
      </w:r>
    </w:p>
    <w:p>
      <w:pPr>
        <w:spacing w:after="80" w:before="80"/>
      </w:pPr>
    </w:p>
    <w:p>
      <w:pPr>
        <w:pStyle w:val="Heading2"/>
        <w:spacing w:after="120" w:before="320"/>
      </w:pPr>
      <w:r>
        <w:rPr>
          <w:rFonts w:ascii="Arial" w:cs="Arial" w:eastAsia="Arial" w:hAnsi="Arial"/>
          <w:b/>
          <w:bCs/>
          <w:sz w:val="26"/>
          <w:szCs w:val="26"/>
        </w:rPr>
        <w:t xml:space="preserve">II. Tenant Domain Layer</w:t>
      </w:r>
    </w:p>
    <w:p>
      <w:pPr>
        <w:spacing w:after="80" w:before="80"/>
        <w:jc w:val="both"/>
      </w:pPr>
      <w:r>
        <w:rPr>
          <w:rFonts w:ascii="Arial" w:cs="Arial" w:eastAsia="Arial" w:hAnsi="Arial"/>
          <w:sz w:val="22"/>
          <w:szCs w:val="22"/>
        </w:rPr>
        <w:t xml:space="preserve">The domain specification is a JSON document conforming to a JSON Schema Draft-7 definition. It encodes:</w:t>
      </w:r>
    </w:p>
    <w:p>
      <w:pPr>
        <w:spacing w:after="80" w:before="80"/>
      </w:pPr>
    </w:p>
    <w:p>
      <w:pPr>
        <w:pStyle w:val="ListParagraph"/>
        <w:numPr>
          <w:ilvl w:val="0"/>
          <w:numId w:val="2"/>
        </w:numPr>
        <w:spacing w:after="60" w:before="60"/>
      </w:pPr>
      <w:r>
        <w:rPr>
          <w:rFonts w:ascii="Arial" w:cs="Arial" w:eastAsia="Arial" w:hAnsi="Arial"/>
          <w:sz w:val="22"/>
          <w:szCs w:val="22"/>
        </w:rPr>
        <w:t xml:space="preserve">Tenant metadata: slug, brand name, CLI alias name, and terminology overrides</w:t>
      </w:r>
    </w:p>
    <w:p>
      <w:pPr>
        <w:pStyle w:val="ListParagraph"/>
        <w:numPr>
          <w:ilvl w:val="0"/>
          <w:numId w:val="2"/>
        </w:numPr>
        <w:spacing w:after="60" w:before="60"/>
      </w:pPr>
      <w:r>
        <w:rPr>
          <w:rFonts w:ascii="Arial" w:cs="Arial" w:eastAsia="Arial" w:hAnsi="Arial"/>
          <w:sz w:val="22"/>
          <w:szCs w:val="22"/>
        </w:rPr>
        <w:t xml:space="preserve">Repository configuration: per-repository identifiers, environment variable mappings, and default directory names</w:t>
      </w:r>
    </w:p>
    <w:p>
      <w:pPr>
        <w:pStyle w:val="ListParagraph"/>
        <w:numPr>
          <w:ilvl w:val="0"/>
          <w:numId w:val="2"/>
        </w:numPr>
        <w:spacing w:after="60" w:before="60"/>
      </w:pPr>
      <w:r>
        <w:rPr>
          <w:rFonts w:ascii="Arial" w:cs="Arial" w:eastAsia="Arial" w:hAnsi="Arial"/>
          <w:sz w:val="22"/>
          <w:szCs w:val="22"/>
        </w:rPr>
        <w:t xml:space="preserve">Operations: named business operations, each associated with zero or more source file paths categorized as controllers, services, message queues, or JavaScript entry points</w:t>
      </w:r>
    </w:p>
    <w:p>
      <w:pPr>
        <w:pStyle w:val="ListParagraph"/>
        <w:numPr>
          <w:ilvl w:val="0"/>
          <w:numId w:val="2"/>
        </w:numPr>
        <w:spacing w:after="60" w:before="60"/>
      </w:pPr>
      <w:r>
        <w:rPr>
          <w:rFonts w:ascii="Arial" w:cs="Arial" w:eastAsia="Arial" w:hAnsi="Arial"/>
          <w:sz w:val="22"/>
          <w:szCs w:val="22"/>
        </w:rPr>
        <w:t xml:space="preserve">Status codes: a mapping of numeric or alphanumeric codes to human-readable descriptions</w:t>
      </w:r>
    </w:p>
    <w:p>
      <w:pPr>
        <w:pStyle w:val="ListParagraph"/>
        <w:numPr>
          <w:ilvl w:val="0"/>
          <w:numId w:val="2"/>
        </w:numPr>
        <w:spacing w:after="60" w:before="60"/>
      </w:pPr>
      <w:r>
        <w:rPr>
          <w:rFonts w:ascii="Arial" w:cs="Arial" w:eastAsia="Arial" w:hAnsi="Arial"/>
          <w:sz w:val="22"/>
          <w:szCs w:val="22"/>
        </w:rPr>
        <w:t xml:space="preserve">Product lines: product identifiers with associated business lines, states, and surplus status</w:t>
      </w:r>
    </w:p>
    <w:p>
      <w:pPr>
        <w:pStyle w:val="ListParagraph"/>
        <w:numPr>
          <w:ilvl w:val="0"/>
          <w:numId w:val="2"/>
        </w:numPr>
        <w:spacing w:after="60" w:before="60"/>
      </w:pPr>
      <w:r>
        <w:rPr>
          <w:rFonts w:ascii="Arial" w:cs="Arial" w:eastAsia="Arial" w:hAnsi="Arial"/>
          <w:sz w:val="22"/>
          <w:szCs w:val="22"/>
        </w:rPr>
        <w:t xml:space="preserve">Portals: named web portal instances with URLs and types</w:t>
      </w:r>
    </w:p>
    <w:p>
      <w:pPr>
        <w:pStyle w:val="ListParagraph"/>
        <w:numPr>
          <w:ilvl w:val="0"/>
          <w:numId w:val="2"/>
        </w:numPr>
        <w:spacing w:after="60" w:before="60"/>
      </w:pPr>
      <w:r>
        <w:rPr>
          <w:rFonts w:ascii="Arial" w:cs="Arial" w:eastAsia="Arial" w:hAnsi="Arial"/>
          <w:sz w:val="22"/>
          <w:szCs w:val="22"/>
        </w:rPr>
        <w:t xml:space="preserve">Message queues: queue identifiers with consumer and dead-letter queue associations</w:t>
      </w:r>
    </w:p>
    <w:p>
      <w:pPr>
        <w:pStyle w:val="ListParagraph"/>
        <w:numPr>
          <w:ilvl w:val="0"/>
          <w:numId w:val="2"/>
        </w:numPr>
        <w:spacing w:after="60" w:before="60"/>
      </w:pPr>
      <w:r>
        <w:rPr>
          <w:rFonts w:ascii="Arial" w:cs="Arial" w:eastAsia="Arial" w:hAnsi="Arial"/>
          <w:sz w:val="22"/>
          <w:szCs w:val="22"/>
        </w:rPr>
        <w:t xml:space="preserve">Glossary: domain term definitions with cross-reference associations</w:t>
      </w:r>
    </w:p>
    <w:p>
      <w:pPr>
        <w:pStyle w:val="ListParagraph"/>
        <w:numPr>
          <w:ilvl w:val="0"/>
          <w:numId w:val="2"/>
        </w:numPr>
        <w:spacing w:after="60" w:before="60"/>
      </w:pPr>
      <w:r>
        <w:rPr>
          <w:rFonts w:ascii="Arial" w:cs="Arial" w:eastAsia="Arial" w:hAnsi="Arial"/>
          <w:sz w:val="22"/>
          <w:szCs w:val="22"/>
        </w:rPr>
        <w:t xml:space="preserve">Scan rules: each comprising a label, a regular expression pattern, a severity level, a category, file scope glob patterns, optional repository restrictions, exclusion patterns, a reference document, and a remediation hint</w:t>
      </w:r>
    </w:p>
    <w:p>
      <w:pPr>
        <w:spacing w:after="80" w:before="80"/>
      </w:pPr>
    </w:p>
    <w:p>
      <w:pPr>
        <w:spacing w:after="80" w:before="80"/>
        <w:jc w:val="both"/>
      </w:pPr>
      <w:r>
        <w:rPr>
          <w:rFonts w:ascii="Arial" w:cs="Arial" w:eastAsia="Arial" w:hAnsi="Arial"/>
          <w:sz w:val="22"/>
          <w:szCs w:val="22"/>
        </w:rPr>
        <w:t xml:space="preserve">No business logic, path knowledge, or compliance rule is hardcoded in any engine or interface component. This is the core architectural property: domain knowledge is data, and engines are data-consumers.</w:t>
      </w:r>
    </w:p>
    <w:p>
      <w:pPr>
        <w:spacing w:after="80" w:before="80"/>
      </w:pPr>
    </w:p>
    <w:p>
      <w:pPr>
        <w:spacing w:after="80" w:before="80"/>
        <w:jc w:val="both"/>
      </w:pPr>
      <w:r>
        <w:rPr>
          <w:rFonts w:ascii="Arial" w:cs="Arial" w:eastAsia="Arial" w:hAnsi="Arial"/>
          <w:sz w:val="22"/>
          <w:szCs w:val="22"/>
        </w:rPr>
        <w:t xml:space="preserve">The JSON Schema validation step rejects any domain specification that omits required top-level keys, provides an invalid semantic version string, omits required fields from any scan rule, or specifies an invalid severity or category value. Validation runs before adapter synthesis — no malformed specification produces adapter output.</w:t>
      </w:r>
    </w:p>
    <w:p>
      <w:pPr>
        <w:spacing w:after="80" w:before="80"/>
      </w:pPr>
    </w:p>
    <w:p>
      <w:pPr>
        <w:pStyle w:val="Heading2"/>
        <w:spacing w:after="120" w:before="320"/>
      </w:pPr>
      <w:r>
        <w:rPr>
          <w:rFonts w:ascii="Arial" w:cs="Arial" w:eastAsia="Arial" w:hAnsi="Arial"/>
          <w:b/>
          <w:bCs/>
          <w:sz w:val="26"/>
          <w:szCs w:val="26"/>
        </w:rPr>
        <w:t xml:space="preserve">III. Adapter Synthesis Engine</w:t>
      </w:r>
    </w:p>
    <w:p>
      <w:pPr>
        <w:spacing w:after="80" w:before="80"/>
        <w:jc w:val="both"/>
      </w:pPr>
      <w:r>
        <w:rPr>
          <w:rFonts w:ascii="Arial" w:cs="Arial" w:eastAsia="Arial" w:hAnsi="Arial"/>
          <w:sz w:val="22"/>
          <w:szCs w:val="22"/>
        </w:rPr>
        <w:t xml:space="preserve">The synthesis engine is a Python code generation subsystem. For each tenant, it reads the domain specification and emits five files:</w:t>
      </w:r>
    </w:p>
    <w:p>
      <w:pPr>
        <w:spacing w:after="80" w:before="80"/>
      </w:pPr>
    </w:p>
    <w:p>
      <w:pPr>
        <w:pStyle w:val="ListParagraph"/>
        <w:numPr>
          <w:ilvl w:val="0"/>
          <w:numId w:val="2"/>
        </w:numPr>
        <w:spacing w:after="60" w:before="60"/>
      </w:pPr>
      <w:r>
        <w:rPr>
          <w:rFonts w:ascii="Arial" w:cs="Arial" w:eastAsia="Arial" w:hAnsi="Arial"/>
          <w:sz w:val="22"/>
          <w:szCs w:val="22"/>
        </w:rPr>
        <w:t xml:space="preserve">nav_maps.zsh — Zsh associative arrays declared with typeset -gA and global: scope for post-dot-source persistence. Arrays cover OPS, STATUS, PRODUCTS, PORTALS, QUEUES, GLOSSARY, and REPOS.</w:t>
      </w:r>
    </w:p>
    <w:p>
      <w:pPr>
        <w:pStyle w:val="ListParagraph"/>
        <w:numPr>
          <w:ilvl w:val="0"/>
          <w:numId w:val="2"/>
        </w:numPr>
        <w:spacing w:after="60" w:before="60"/>
      </w:pPr>
      <w:r>
        <w:rPr>
          <w:rFonts w:ascii="Arial" w:cs="Arial" w:eastAsia="Arial" w:hAnsi="Arial"/>
          <w:sz w:val="22"/>
          <w:szCs w:val="22"/>
        </w:rPr>
        <w:t xml:space="preserve">scan_rules.zsh — Zsh associative arrays covering SCAN_RULES, SCAN_BY_SEVERITY, and SCAN_BY_CATEGORY, with values in a pipe-delimited field format.</w:t>
      </w:r>
    </w:p>
    <w:p>
      <w:pPr>
        <w:pStyle w:val="ListParagraph"/>
        <w:numPr>
          <w:ilvl w:val="0"/>
          <w:numId w:val="2"/>
        </w:numPr>
        <w:spacing w:after="60" w:before="60"/>
      </w:pPr>
      <w:r>
        <w:rPr>
          <w:rFonts w:ascii="Arial" w:cs="Arial" w:eastAsia="Arial" w:hAnsi="Arial"/>
          <w:sz w:val="22"/>
          <w:szCs w:val="22"/>
        </w:rPr>
        <w:t xml:space="preserve">nav_maps.ps1 — PowerShell global hashtable equivalents.</w:t>
      </w:r>
    </w:p>
    <w:p>
      <w:pPr>
        <w:pStyle w:val="ListParagraph"/>
        <w:numPr>
          <w:ilvl w:val="0"/>
          <w:numId w:val="2"/>
        </w:numPr>
        <w:spacing w:after="60" w:before="60"/>
      </w:pPr>
      <w:r>
        <w:rPr>
          <w:rFonts w:ascii="Arial" w:cs="Arial" w:eastAsia="Arial" w:hAnsi="Arial"/>
          <w:sz w:val="22"/>
          <w:szCs w:val="22"/>
        </w:rPr>
        <w:t xml:space="preserve">scan_rules.ps1 — PowerShell scan rule hashtables in the same field format.</w:t>
      </w:r>
    </w:p>
    <w:p>
      <w:pPr>
        <w:pStyle w:val="ListParagraph"/>
        <w:numPr>
          <w:ilvl w:val="0"/>
          <w:numId w:val="2"/>
        </w:numPr>
        <w:spacing w:after="60" w:before="60"/>
      </w:pPr>
      <w:r>
        <w:rPr>
          <w:rFonts w:ascii="Arial" w:cs="Arial" w:eastAsia="Arial" w:hAnsi="Arial"/>
          <w:sz w:val="22"/>
          <w:szCs w:val="22"/>
        </w:rPr>
        <w:t xml:space="preserve">packages/shared/src/lib/tenants/&lt;slug&gt;.ts — a statically typed TypeScript module exporting a TENANT_DOMAIN constant conforming to the TenantDomain interface.</w:t>
      </w:r>
    </w:p>
    <w:p>
      <w:pPr>
        <w:spacing w:after="80" w:before="80"/>
      </w:pPr>
    </w:p>
    <w:p>
      <w:pPr>
        <w:spacing w:after="80" w:before="80"/>
        <w:jc w:val="both"/>
      </w:pPr>
      <w:r>
        <w:rPr>
          <w:rFonts w:ascii="Arial" w:cs="Arial" w:eastAsia="Arial" w:hAnsi="Arial"/>
          <w:sz w:val="22"/>
          <w:szCs w:val="22"/>
        </w:rPr>
        <w:t xml:space="preserve">The key technical feature of the synthesis engine is base64 encoding of scan rule pattern fields. Compliance rules include regular expression patterns that may contain the pipe character (|), which is also the field delimiter in the pipe-delimited shell adapter values. The engine encodes each pattern as a base64 string before embedding it. Consuming engines decode the base64 string before compiling the regular expression. This prevents field-delimiter collisions regardless of regex complexity, and remains deterministic, reversible, and ASCII-safe.</w:t>
      </w:r>
    </w:p>
    <w:p>
      <w:pPr>
        <w:spacing w:after="80" w:before="80"/>
      </w:pPr>
    </w:p>
    <w:p>
      <w:pPr>
        <w:spacing w:after="80" w:before="80"/>
        <w:jc w:val="both"/>
      </w:pPr>
      <w:r>
        <w:rPr>
          <w:rFonts w:ascii="Arial" w:cs="Arial" w:eastAsia="Arial" w:hAnsi="Arial"/>
          <w:sz w:val="22"/>
          <w:szCs w:val="22"/>
        </w:rPr>
        <w:t xml:space="preserve">The TypeScript snapshot is the mechanism by which the web portal receives domain data without a runtime HTTP request. Rather than calling an API on application initialization, the Angular build system imports the generated TypeScript module as a static dependency. This bakes domain data into the application bundle at compile time, makes the portal functional without network access, and causes TypeScript compilation to fail if the domain specification changes in a way that is incompatible with the shared type definitions. That last property is the compile-time contract: a domain change that breaks the portal type interface is a build error, not a runtime surprise.</w:t>
      </w:r>
    </w:p>
    <w:p>
      <w:pPr>
        <w:spacing w:after="80" w:before="80"/>
      </w:pPr>
    </w:p>
    <w:p>
      <w:pPr>
        <w:spacing w:after="80" w:before="80"/>
        <w:jc w:val="both"/>
      </w:pPr>
      <w:r>
        <w:rPr>
          <w:rFonts w:ascii="Arial" w:cs="Arial" w:eastAsia="Arial" w:hAnsi="Arial"/>
          <w:sz w:val="22"/>
          <w:szCs w:val="22"/>
        </w:rPr>
        <w:t xml:space="preserve">All generated adapter files include a comment header identifying them as auto-generated and directing editors to the domain specification. The CI/CD pipeline regenerates all adapters from the domain specification on every merge. No adapter is ever the source of truth for any piece of platform knowledge.</w:t>
      </w:r>
    </w:p>
    <w:p>
      <w:pPr>
        <w:spacing w:after="80" w:before="80"/>
      </w:pPr>
    </w:p>
    <w:p>
      <w:pPr>
        <w:pStyle w:val="Heading2"/>
        <w:spacing w:after="120" w:before="320"/>
      </w:pPr>
      <w:r>
        <w:rPr>
          <w:rFonts w:ascii="Arial" w:cs="Arial" w:eastAsia="Arial" w:hAnsi="Arial"/>
          <w:b/>
          <w:bCs/>
          <w:sz w:val="26"/>
          <w:szCs w:val="26"/>
        </w:rPr>
        <w:t xml:space="preserve">IV. Static Analysis Engine</w:t>
      </w:r>
    </w:p>
    <w:p>
      <w:pPr>
        <w:spacing w:after="80" w:before="80"/>
        <w:jc w:val="both"/>
      </w:pPr>
      <w:r>
        <w:rPr>
          <w:rFonts w:ascii="Arial" w:cs="Arial" w:eastAsia="Arial" w:hAnsi="Arial"/>
          <w:sz w:val="22"/>
          <w:szCs w:val="22"/>
        </w:rPr>
        <w:t xml:space="preserve">The static analysis engine runs in two contexts: as a set of Zsh and PowerShell functions in the shell adapter, and as a Python service in the API microservice. Both implementations read scan rules from the tenant domain specification and execute them against source files on the filesystem.</w:t>
      </w:r>
    </w:p>
    <w:p>
      <w:pPr>
        <w:spacing w:after="80" w:before="80"/>
      </w:pPr>
    </w:p>
    <w:p>
      <w:pPr>
        <w:spacing w:after="80" w:before="80"/>
        <w:jc w:val="both"/>
      </w:pPr>
      <w:r>
        <w:rPr>
          <w:rFonts w:ascii="Arial" w:cs="Arial" w:eastAsia="Arial" w:hAnsi="Arial"/>
          <w:sz w:val="22"/>
          <w:szCs w:val="22"/>
        </w:rPr>
        <w:t xml:space="preserve">In the shell implementation, ob_scan_engine.zsh reads scan rules from the generated scan_rules.zsh adapter. For each rule: retrieve the base64-encoded pattern from field index 5 of the rule value; decode it using base64 -d; compile it as an extended regular expression; apply it to files matching the scope glob patterns, excluding files matching the exclusion patterns. Findings report severity, category, file path, line number, and the remediation hint from the domain specification.</w:t>
      </w:r>
    </w:p>
    <w:p>
      <w:pPr>
        <w:spacing w:after="80" w:before="80"/>
      </w:pPr>
    </w:p>
    <w:p>
      <w:pPr>
        <w:spacing w:after="80" w:before="80"/>
        <w:jc w:val="both"/>
      </w:pPr>
      <w:r>
        <w:rPr>
          <w:rFonts w:ascii="Arial" w:cs="Arial" w:eastAsia="Arial" w:hAnsi="Arial"/>
          <w:sz w:val="22"/>
          <w:szCs w:val="22"/>
        </w:rPr>
        <w:t xml:space="preserve">The API-layer scanner (app/services/scanner.py) does the same scan using Python's re module. It accepts a ScanRequest with optional rule_ids, severity, category, and path restrictions. It returns a ScanResult containing all findings, the maximum severity encountered, the number of rules run, and the elapsed time in milliseconds.</w:t>
      </w:r>
    </w:p>
    <w:p>
      <w:pPr>
        <w:spacing w:after="80" w:before="80"/>
      </w:pPr>
    </w:p>
    <w:p>
      <w:pPr>
        <w:spacing w:after="80" w:before="80"/>
        <w:jc w:val="both"/>
      </w:pPr>
      <w:r>
        <w:rPr>
          <w:rFonts w:ascii="Arial" w:cs="Arial" w:eastAsia="Arial" w:hAnsi="Arial"/>
          <w:sz w:val="22"/>
          <w:szCs w:val="22"/>
        </w:rPr>
        <w:t xml:space="preserve">Both implementations are tenant-agnostic. The shell engine reads from ${OB_NAV_SLUG}_SCAN_RULES, where OB_NAV_SLUG is the uppercase tenant slug (MSI, GENERIC, etc.). The API scanner reads from the TenantDomain object in request state. No engine code contains tenant-specific logic.</w:t>
      </w:r>
    </w:p>
    <w:p>
      <w:pPr>
        <w:spacing w:after="80" w:before="80"/>
      </w:pPr>
    </w:p>
    <w:p>
      <w:pPr>
        <w:pStyle w:val="Heading2"/>
        <w:spacing w:after="120" w:before="320"/>
      </w:pPr>
      <w:r>
        <w:rPr>
          <w:rFonts w:ascii="Arial" w:cs="Arial" w:eastAsia="Arial" w:hAnsi="Arial"/>
          <w:b/>
          <w:bCs/>
          <w:sz w:val="26"/>
          <w:szCs w:val="26"/>
        </w:rPr>
        <w:t xml:space="preserve">V. Tenant-Aware API Microservice</w:t>
      </w:r>
    </w:p>
    <w:p>
      <w:pPr>
        <w:spacing w:after="80" w:before="80"/>
        <w:jc w:val="both"/>
      </w:pPr>
      <w:r>
        <w:rPr>
          <w:rFonts w:ascii="Arial" w:cs="Arial" w:eastAsia="Arial" w:hAnsi="Arial"/>
          <w:sz w:val="22"/>
          <w:szCs w:val="22"/>
        </w:rPr>
        <w:t xml:space="preserve">The API microservice is a Python FastAPI application. It exposes four endpoint groups:</w:t>
      </w:r>
    </w:p>
    <w:p>
      <w:pPr>
        <w:spacing w:after="80" w:before="80"/>
      </w:pPr>
    </w:p>
    <w:p>
      <w:pPr>
        <w:pStyle w:val="ListParagraph"/>
        <w:numPr>
          <w:ilvl w:val="0"/>
          <w:numId w:val="2"/>
        </w:numPr>
        <w:spacing w:after="60" w:before="60"/>
      </w:pPr>
      <w:r>
        <w:rPr>
          <w:rFonts w:ascii="Arial" w:cs="Arial" w:eastAsia="Arial" w:hAnsi="Arial"/>
          <w:sz w:val="22"/>
          <w:szCs w:val="22"/>
        </w:rPr>
        <w:t xml:space="preserve">Domain endpoints (/api/v1/domain/*): read-only access to operations, statuses, products, portals, queues, glossary, and scan rules, with filtering support</w:t>
      </w:r>
    </w:p>
    <w:p>
      <w:pPr>
        <w:pStyle w:val="ListParagraph"/>
        <w:numPr>
          <w:ilvl w:val="0"/>
          <w:numId w:val="2"/>
        </w:numPr>
        <w:spacing w:after="60" w:before="60"/>
      </w:pPr>
      <w:r>
        <w:rPr>
          <w:rFonts w:ascii="Arial" w:cs="Arial" w:eastAsia="Arial" w:hAnsi="Arial"/>
          <w:sz w:val="22"/>
          <w:szCs w:val="22"/>
        </w:rPr>
        <w:t xml:space="preserve">Scan endpoints (/api/v1/scan/*): POST endpoints for executing scan rules — a general audit endpoint, a secrets-only endpoint for critical security rules, and a single-rule execution endpoint</w:t>
      </w:r>
    </w:p>
    <w:p>
      <w:pPr>
        <w:pStyle w:val="ListParagraph"/>
        <w:numPr>
          <w:ilvl w:val="0"/>
          <w:numId w:val="2"/>
        </w:numPr>
        <w:spacing w:after="60" w:before="60"/>
      </w:pPr>
      <w:r>
        <w:rPr>
          <w:rFonts w:ascii="Arial" w:cs="Arial" w:eastAsia="Arial" w:hAnsi="Arial"/>
          <w:sz w:val="22"/>
          <w:szCs w:val="22"/>
        </w:rPr>
        <w:t xml:space="preserve">Admin endpoints (/api/v1/admin/*): adapter regeneration, domain hot-reload without server restart, and tenant listing</w:t>
      </w:r>
    </w:p>
    <w:p>
      <w:pPr>
        <w:pStyle w:val="ListParagraph"/>
        <w:numPr>
          <w:ilvl w:val="0"/>
          <w:numId w:val="2"/>
        </w:numPr>
        <w:spacing w:after="60" w:before="60"/>
      </w:pPr>
      <w:r>
        <w:rPr>
          <w:rFonts w:ascii="Arial" w:cs="Arial" w:eastAsia="Arial" w:hAnsi="Arial"/>
          <w:sz w:val="22"/>
          <w:szCs w:val="22"/>
        </w:rPr>
        <w:t xml:space="preserve">Health endpoint (/health): service status and loaded tenant list</w:t>
      </w:r>
    </w:p>
    <w:p>
      <w:pPr>
        <w:spacing w:after="80" w:before="80"/>
      </w:pPr>
    </w:p>
    <w:p>
      <w:pPr>
        <w:spacing w:after="80" w:before="80"/>
        <w:jc w:val="both"/>
      </w:pPr>
      <w:r>
        <w:rPr>
          <w:rFonts w:ascii="Arial" w:cs="Arial" w:eastAsia="Arial" w:hAnsi="Arial"/>
          <w:sz w:val="22"/>
          <w:szCs w:val="22"/>
        </w:rPr>
        <w:t xml:space="preserve">Tenant resolution is handled by TenantMiddleware, which checks the X-Onboarded-Tenant request header, then the tenant query parameter, then a configurable default. All domain data is loaded into application state at startup via DomainLoader, which reads all domain.json files from the tenants directory. No per-request disk I/O occurs after startup.</w:t>
      </w:r>
    </w:p>
    <w:p>
      <w:pPr>
        <w:spacing w:after="80" w:before="80"/>
      </w:pPr>
    </w:p>
    <w:p>
      <w:pPr>
        <w:spacing w:after="80" w:before="80"/>
        <w:jc w:val="both"/>
      </w:pPr>
      <w:r>
        <w:rPr>
          <w:rFonts w:ascii="Arial" w:cs="Arial" w:eastAsia="Arial" w:hAnsi="Arial"/>
          <w:sz w:val="22"/>
          <w:szCs w:val="22"/>
        </w:rPr>
        <w:t xml:space="preserve">The API is stateless with respect to scan results. Domain data is loaded at startup and refreshed on demand via /admin/reload without restarting the server. This lets domain specifications be updated and reloaded independently of the API process lifecycle.</w:t>
      </w:r>
    </w:p>
    <w:p>
      <w:pPr>
        <w:spacing w:after="80" w:before="80"/>
      </w:pPr>
    </w:p>
    <w:p>
      <w:pPr>
        <w:pStyle w:val="Heading2"/>
        <w:spacing w:after="120" w:before="320"/>
      </w:pPr>
      <w:r>
        <w:rPr>
          <w:rFonts w:ascii="Arial" w:cs="Arial" w:eastAsia="Arial" w:hAnsi="Arial"/>
          <w:b/>
          <w:bCs/>
          <w:sz w:val="26"/>
          <w:szCs w:val="26"/>
        </w:rPr>
        <w:t xml:space="preserve">VI. Composite Web Portal</w:t>
      </w:r>
    </w:p>
    <w:p>
      <w:pPr>
        <w:spacing w:after="80" w:before="80"/>
        <w:jc w:val="both"/>
      </w:pPr>
      <w:r>
        <w:rPr>
          <w:rFonts w:ascii="Arial" w:cs="Arial" w:eastAsia="Arial" w:hAnsi="Arial"/>
          <w:sz w:val="22"/>
          <w:szCs w:val="22"/>
        </w:rPr>
        <w:t xml:space="preserve">The web portal is an Angular 19+ single-page application using the standalone component API and Angular Router with lazy-loaded feature routes. It receives domain data exclusively from the build-time generated TypeScript snapshot — not from a runtime API call. This is the primary distinction from conventional web applications.</w:t>
      </w:r>
    </w:p>
    <w:p>
      <w:pPr>
        <w:spacing w:after="80" w:before="80"/>
      </w:pPr>
    </w:p>
    <w:p>
      <w:pPr>
        <w:spacing w:after="80" w:before="80"/>
        <w:jc w:val="both"/>
      </w:pPr>
      <w:r>
        <w:rPr>
          <w:rFonts w:ascii="Arial" w:cs="Arial" w:eastAsia="Arial" w:hAnsi="Arial"/>
          <w:sz w:val="22"/>
          <w:szCs w:val="22"/>
        </w:rPr>
        <w:t xml:space="preserve">DomainService is the Angular DI token wrapping the imported domain snapshot. All portal components receive domain data through this service. No component imports a tenant-specific module directly. Switching between tenant builds requires only changing the environment file import and rebuilding — the components don't change.</w:t>
      </w:r>
    </w:p>
    <w:p>
      <w:pPr>
        <w:spacing w:after="80" w:before="80"/>
      </w:pPr>
    </w:p>
    <w:p>
      <w:pPr>
        <w:spacing w:after="80" w:before="80"/>
        <w:jc w:val="both"/>
      </w:pPr>
      <w:r>
        <w:rPr>
          <w:rFonts w:ascii="Arial" w:cs="Arial" w:eastAsia="Arial" w:hAnsi="Arial"/>
          <w:sz w:val="22"/>
          <w:szCs w:val="22"/>
        </w:rPr>
        <w:t xml:space="preserve">The portal embeds React components — referred to here as React islands — within the Angular shell. ReactBridgeService manages the integration boundary: it lazy-loads React and ReactDOM using dynamic import() only when an island is first mounted; creates a React root via createRoot() outside Angular's NgZone; passes a typed IslandProps object from Angular to React as the root component's props; and forwards React-originated navigation events back into Angular's zone for router processing. Angular manages routing, dependency injection, and layout. React manages the island's internal state and rendering. Neither framework's reconciler touches the other's DOM subtree.</w:t>
      </w:r>
    </w:p>
    <w:p>
      <w:pPr>
        <w:spacing w:after="80" w:before="80"/>
      </w:pPr>
    </w:p>
    <w:p>
      <w:pPr>
        <w:spacing w:after="80" w:before="80"/>
        <w:jc w:val="both"/>
      </w:pPr>
      <w:r>
        <w:rPr>
          <w:rFonts w:ascii="Arial" w:cs="Arial" w:eastAsia="Arial" w:hAnsi="Arial"/>
          <w:sz w:val="22"/>
          <w:szCs w:val="22"/>
        </w:rPr>
        <w:t xml:space="preserve">The scan dashboard island and the glossary search island are both React implementations. Their local state complexity — multi-dimensional filter chips, live polling, keyboard traps — is simpler to express in React's fine-grained re-render model than in Angular's zone-based change detection. The island pattern lets each framework handle what it handles better, without a full framework migration.</w:t>
      </w:r>
    </w:p>
    <w:p>
      <w:pPr>
        <w:spacing w:after="80" w:before="80"/>
      </w:pPr>
    </w:p>
    <w:p>
      <w:pPr>
        <w:pStyle w:val="Heading2"/>
        <w:spacing w:after="120" w:before="320"/>
      </w:pPr>
      <w:r>
        <w:rPr>
          <w:rFonts w:ascii="Arial" w:cs="Arial" w:eastAsia="Arial" w:hAnsi="Arial"/>
          <w:b/>
          <w:bCs/>
          <w:sz w:val="26"/>
          <w:szCs w:val="26"/>
        </w:rPr>
        <w:t xml:space="preserve">VII. Shell CLI</w:t>
      </w:r>
    </w:p>
    <w:p>
      <w:pPr>
        <w:spacing w:after="80" w:before="80"/>
        <w:jc w:val="both"/>
      </w:pPr>
      <w:r>
        <w:rPr>
          <w:rFonts w:ascii="Arial" w:cs="Arial" w:eastAsia="Arial" w:hAnsi="Arial"/>
          <w:sz w:val="22"/>
          <w:szCs w:val="22"/>
        </w:rPr>
        <w:t xml:space="preserve">The shell CLI is the primary interface for developers working in Zsh or PowerShell. Commands are organized into two engines: the nav engine (ob_nav_engine.zsh) handles where, status, product, portal, queue, explain, grep, list, and cd commands. The scan engine (ob_scan_engine.zsh) handles secrets, audit, scan, and scan list commands.</w:t>
      </w:r>
    </w:p>
    <w:p>
      <w:pPr>
        <w:spacing w:after="80" w:before="80"/>
      </w:pPr>
    </w:p>
    <w:p>
      <w:pPr>
        <w:spacing w:after="80" w:before="80"/>
        <w:jc w:val="both"/>
      </w:pPr>
      <w:r>
        <w:rPr>
          <w:rFonts w:ascii="Arial" w:cs="Arial" w:eastAsia="Arial" w:hAnsi="Arial"/>
          <w:sz w:val="22"/>
          <w:szCs w:val="22"/>
        </w:rPr>
        <w:t xml:space="preserve">The dispatcher (ob_dispatcher.zsh) routes all commands and registers a tenant-specific alias. When OB_CLI_NAME is set to a value other than "onboarded" — as in the MSI tenant, which sets it to "msi" — the dispatcher registers a global function for that alias name so the tenant's preferred command name works in the shell without any further configuration.</w:t>
      </w:r>
    </w:p>
    <w:p>
      <w:pPr>
        <w:spacing w:after="80" w:before="80"/>
      </w:pPr>
    </w:p>
    <w:p>
      <w:pPr>
        <w:pStyle w:val="Heading2"/>
        <w:spacing w:after="120" w:before="320"/>
      </w:pPr>
      <w:r>
        <w:rPr>
          <w:rFonts w:ascii="Arial" w:cs="Arial" w:eastAsia="Arial" w:hAnsi="Arial"/>
          <w:b/>
          <w:bCs/>
          <w:sz w:val="26"/>
          <w:szCs w:val="26"/>
        </w:rPr>
        <w:t xml:space="preserve">VIII. Administrative CLI</w:t>
      </w:r>
    </w:p>
    <w:p>
      <w:pPr>
        <w:spacing w:after="80" w:before="80"/>
        <w:jc w:val="both"/>
      </w:pPr>
      <w:r>
        <w:rPr>
          <w:rFonts w:ascii="Arial" w:cs="Arial" w:eastAsia="Arial" w:hAnsi="Arial"/>
          <w:sz w:val="22"/>
          <w:szCs w:val="22"/>
        </w:rPr>
        <w:t xml:space="preserve">The administrative CLI (ob-admin) is a TypeScript Node.js application using Commander.js. It wraps all API microservice endpoints through a typed OnboardedApiClient class that handles HTTP requests and typed request/response models. Commands are organized into three groups: domain (inspect all domain data), scan (audit, secrets scan, single-rule execution, and rule listing), and admin (health check, tenant listing, adapter regeneration, and domain hot-reload).</w:t>
      </w:r>
    </w:p>
    <w:p>
      <w:pPr>
        <w:spacing w:after="80" w:before="80"/>
      </w:pPr>
    </w:p>
    <w:p>
      <w:pPr>
        <w:spacing w:after="80" w:before="80"/>
        <w:jc w:val="both"/>
      </w:pPr>
      <w:r>
        <w:rPr>
          <w:rFonts w:ascii="Arial" w:cs="Arial" w:eastAsia="Arial" w:hAnsi="Arial"/>
          <w:sz w:val="22"/>
          <w:szCs w:val="22"/>
        </w:rPr>
        <w:t xml:space="preserve">API base URL and active tenant are configured from command-line flags, environment variables (OB_API_BASE, OB_TENANT), or defaults. All output is formatted with chalk, with severity-specific colour coding for scan findings.</w:t>
      </w:r>
    </w:p>
    <w:p>
      <w:pPr>
        <w:spacing w:after="80" w:before="80"/>
      </w:pPr>
    </w:p>
    <w:p>
      <w:pPr>
        <w:pStyle w:val="Heading1"/>
        <w:spacing w:after="200" w:before="480"/>
      </w:pPr>
      <w:r>
        <w:rPr>
          <w:rFonts w:ascii="Arial" w:cs="Arial" w:eastAsia="Arial" w:hAnsi="Arial"/>
          <w:b/>
          <w:bCs/>
          <w:sz w:val="32"/>
          <w:szCs w:val="32"/>
        </w:rPr>
        <w:t xml:space="preserve">CLAIMS</w:t>
      </w:r>
    </w:p>
    <w:p>
      <w:pPr>
        <w:spacing w:after="80" w:before="80"/>
        <w:jc w:val="both"/>
      </w:pPr>
      <w:r>
        <w:rPr>
          <w:rFonts w:ascii="Arial" w:cs="Arial" w:eastAsia="Arial" w:hAnsi="Arial"/>
          <w:sz w:val="22"/>
          <w:szCs w:val="22"/>
        </w:rPr>
        <w:t xml:space="preserve">What is claimed is:</w:t>
      </w:r>
    </w:p>
    <w:p>
      <w:pPr>
        <w:spacing w:after="80" w:before="80"/>
      </w:pPr>
    </w:p>
    <w:p>
      <w:pPr>
        <w:spacing w:after="80" w:before="120"/>
        <w:ind/>
        <w:jc w:val="both"/>
      </w:pPr>
      <w:r>
        <w:rPr>
          <w:rFonts w:ascii="Arial" w:cs="Arial" w:eastAsia="Arial" w:hAnsi="Arial"/>
          <w:b/>
          <w:bCs/>
          <w:sz w:val="22"/>
          <w:szCs w:val="22"/>
        </w:rPr>
        <w:t xml:space="preserve">1. </w:t>
      </w:r>
      <w:r>
        <w:rPr>
          <w:rFonts w:ascii="Arial" w:cs="Arial" w:eastAsia="Arial" w:hAnsi="Arial"/>
          <w:sz w:val="22"/>
          <w:szCs w:val="22"/>
        </w:rPr>
        <w:t xml:space="preserve">A system for multi-tenant platform knowledge management, comprising: a data store configured to maintain, for each of a plurality of organizational tenants, a tenant domain specification comprising a structured representation of platform knowledge including one or more of: named platform operations associated with source file paths categorized by role; numeric or alphanumeric status codes associated with descriptions; and compliance scan rules each comprising a regular expression pattern, a severity level, a category designation, and file scope parameters; a validation engine configured to validate each tenant domain specification against a schema definition before processing; an adapter synthesis engine configured to receive a validated tenant domain specification and emit, without human intervention, a plurality of adapter files in different programming language or shell runtime formats, each adapter file derived from and consistent with the tenant domain specification; and a static analysis engine configured to read one or more compliance scan rules from a tenant domain specification and execute the rules against source files on a filesystem, reporting findings with associated severity, category, and remediation information.</w:t>
      </w:r>
    </w:p>
    <w:p>
      <w:pPr>
        <w:spacing w:after="80" w:before="80"/>
      </w:pPr>
    </w:p>
    <w:p>
      <w:pPr>
        <w:spacing w:after="80" w:before="120"/>
        <w:ind w:left="720"/>
        <w:jc w:val="both"/>
      </w:pPr>
      <w:r>
        <w:rPr>
          <w:rFonts w:ascii="Arial" w:cs="Arial" w:eastAsia="Arial" w:hAnsi="Arial"/>
          <w:b/>
          <w:bCs/>
          <w:sz w:val="22"/>
          <w:szCs w:val="22"/>
        </w:rPr>
        <w:t xml:space="preserve">2. </w:t>
      </w:r>
      <w:r>
        <w:rPr>
          <w:rFonts w:ascii="Arial" w:cs="Arial" w:eastAsia="Arial" w:hAnsi="Arial"/>
          <w:sz w:val="22"/>
          <w:szCs w:val="22"/>
        </w:rPr>
        <w:t xml:space="preserve">The system of claim 1, wherein the adapter synthesis engine is configured to encode regular expression patterns as base64 strings within adapter files that use a pipe-delimited field format, and the static analysis engine is configured to decode the base64 strings before compiling and executing the regular expressions.</w:t>
      </w:r>
    </w:p>
    <w:p>
      <w:pPr>
        <w:spacing w:after="80" w:before="80"/>
      </w:pPr>
    </w:p>
    <w:p>
      <w:pPr>
        <w:spacing w:after="80" w:before="120"/>
        <w:ind w:left="720"/>
        <w:jc w:val="both"/>
      </w:pPr>
      <w:r>
        <w:rPr>
          <w:rFonts w:ascii="Arial" w:cs="Arial" w:eastAsia="Arial" w:hAnsi="Arial"/>
          <w:b/>
          <w:bCs/>
          <w:sz w:val="22"/>
          <w:szCs w:val="22"/>
        </w:rPr>
        <w:t xml:space="preserve">3. </w:t>
      </w:r>
      <w:r>
        <w:rPr>
          <w:rFonts w:ascii="Arial" w:cs="Arial" w:eastAsia="Arial" w:hAnsi="Arial"/>
          <w:sz w:val="22"/>
          <w:szCs w:val="22"/>
        </w:rPr>
        <w:t xml:space="preserve">The system of claim 1, wherein the adapter files emitted by the adapter synthesis engine comprise at least one shell adapter in a Unix shell format and at least one typed language snapshot in a statically typed programming language, such that a change to the tenant domain specification causes both the shell adapter and the typed language snapshot to be regenerated from the updated specification.</w:t>
      </w:r>
    </w:p>
    <w:p>
      <w:pPr>
        <w:spacing w:after="80" w:before="80"/>
      </w:pPr>
    </w:p>
    <w:p>
      <w:pPr>
        <w:spacing w:after="80" w:before="120"/>
        <w:ind w:left="720"/>
        <w:jc w:val="both"/>
      </w:pPr>
      <w:r>
        <w:rPr>
          <w:rFonts w:ascii="Arial" w:cs="Arial" w:eastAsia="Arial" w:hAnsi="Arial"/>
          <w:b/>
          <w:bCs/>
          <w:sz w:val="22"/>
          <w:szCs w:val="22"/>
        </w:rPr>
        <w:t xml:space="preserve">4. </w:t>
      </w:r>
      <w:r>
        <w:rPr>
          <w:rFonts w:ascii="Arial" w:cs="Arial" w:eastAsia="Arial" w:hAnsi="Arial"/>
          <w:sz w:val="22"/>
          <w:szCs w:val="22"/>
        </w:rPr>
        <w:t xml:space="preserve">The system of claim 3, wherein the typed language snapshot is a TypeScript module that is imported by a web application at build time such that the web application receives domain data without a runtime HTTP request, and such that type errors in the typed language snapshot cause compilation of the web application to fail.</w:t>
      </w:r>
    </w:p>
    <w:p>
      <w:pPr>
        <w:spacing w:after="80" w:before="80"/>
      </w:pPr>
    </w:p>
    <w:p>
      <w:pPr>
        <w:spacing w:after="80" w:before="120"/>
        <w:ind w:left="720"/>
        <w:jc w:val="both"/>
      </w:pPr>
      <w:r>
        <w:rPr>
          <w:rFonts w:ascii="Arial" w:cs="Arial" w:eastAsia="Arial" w:hAnsi="Arial"/>
          <w:b/>
          <w:bCs/>
          <w:sz w:val="22"/>
          <w:szCs w:val="22"/>
        </w:rPr>
        <w:t xml:space="preserve">5. </w:t>
      </w:r>
      <w:r>
        <w:rPr>
          <w:rFonts w:ascii="Arial" w:cs="Arial" w:eastAsia="Arial" w:hAnsi="Arial"/>
          <w:sz w:val="22"/>
          <w:szCs w:val="22"/>
        </w:rPr>
        <w:t xml:space="preserve">The system of claim 1, wherein tenant isolation is enforced such that the adapter synthesis engine, the static analysis engine, an API microservice layer, and a web portal are each tenant-agnostic, receiving tenant context only through a runtime configuration mechanism, and no tenant-specific business logic is present in any engine or interface component.</w:t>
      </w:r>
    </w:p>
    <w:p>
      <w:pPr>
        <w:spacing w:after="80" w:before="80"/>
      </w:pPr>
    </w:p>
    <w:p>
      <w:pPr>
        <w:spacing w:after="80" w:before="120"/>
        <w:ind w:left="720"/>
        <w:jc w:val="both"/>
      </w:pPr>
      <w:r>
        <w:rPr>
          <w:rFonts w:ascii="Arial" w:cs="Arial" w:eastAsia="Arial" w:hAnsi="Arial"/>
          <w:b/>
          <w:bCs/>
          <w:sz w:val="22"/>
          <w:szCs w:val="22"/>
        </w:rPr>
        <w:t xml:space="preserve">6. </w:t>
      </w:r>
      <w:r>
        <w:rPr>
          <w:rFonts w:ascii="Arial" w:cs="Arial" w:eastAsia="Arial" w:hAnsi="Arial"/>
          <w:sz w:val="22"/>
          <w:szCs w:val="22"/>
        </w:rPr>
        <w:t xml:space="preserve">The system of claim 1, further comprising a web portal comprising: an Angular single-page application shell configured to manage application routing, dependency injection, and layout; and one or more React application components mounted as islands within the Angular shell, wherein the Angular shell and the React islands communicate through a typed bridge interface that passes structured properties from Angular to React and routes React-originated events back into Angular's change detection context.</w:t>
      </w:r>
    </w:p>
    <w:p>
      <w:pPr>
        <w:spacing w:after="80" w:before="80"/>
      </w:pPr>
    </w:p>
    <w:p>
      <w:pPr>
        <w:spacing w:after="80" w:before="120"/>
        <w:ind w:left="720"/>
        <w:jc w:val="both"/>
      </w:pPr>
      <w:r>
        <w:rPr>
          <w:rFonts w:ascii="Arial" w:cs="Arial" w:eastAsia="Arial" w:hAnsi="Arial"/>
          <w:b/>
          <w:bCs/>
          <w:sz w:val="22"/>
          <w:szCs w:val="22"/>
        </w:rPr>
        <w:t xml:space="preserve">7. </w:t>
      </w:r>
      <w:r>
        <w:rPr>
          <w:rFonts w:ascii="Arial" w:cs="Arial" w:eastAsia="Arial" w:hAnsi="Arial"/>
          <w:sz w:val="22"/>
          <w:szCs w:val="22"/>
        </w:rPr>
        <w:t xml:space="preserve">The system of claim 6, wherein the typed bridge interface comprises a props interface specifying at minimum a tenant slug, an API base URL, and an optional navigation callback, and the React islands are lazy-loaded using dynamic module import such that React and ReactDOM are not included in the application's initial bundle.</w:t>
      </w:r>
    </w:p>
    <w:p>
      <w:pPr>
        <w:spacing w:after="80" w:before="80"/>
      </w:pPr>
    </w:p>
    <w:p>
      <w:pPr>
        <w:spacing w:after="80" w:before="120"/>
        <w:ind/>
        <w:jc w:val="both"/>
      </w:pPr>
      <w:r>
        <w:rPr>
          <w:rFonts w:ascii="Arial" w:cs="Arial" w:eastAsia="Arial" w:hAnsi="Arial"/>
          <w:b/>
          <w:bCs/>
          <w:sz w:val="22"/>
          <w:szCs w:val="22"/>
        </w:rPr>
        <w:t xml:space="preserve">8. </w:t>
      </w:r>
      <w:r>
        <w:rPr>
          <w:rFonts w:ascii="Arial" w:cs="Arial" w:eastAsia="Arial" w:hAnsi="Arial"/>
          <w:sz w:val="22"/>
          <w:szCs w:val="22"/>
        </w:rPr>
        <w:t xml:space="preserve">A method for synthesizing executable platform adapters from a structured data source, comprising: receiving a tenant domain specification in a declarative JSON format; validating the tenant domain specification against a JSON Schema definition; for each compliance scan rule in the tenant domain specification, encoding the rule's regular expression pattern as a base64 string; generating a first adapter file in a Unix shell format, wherein each scan rule value comprises a pipe-delimited string with the base64-encoded pattern at a designated field position; generating a second adapter file in a PowerShell format, wherein each scan rule value comprises a pipe-delimited string with the base64-encoded pattern at the same designated field position as in the first adapter file; and generating a third adapter file as a statically typed TypeScript module, wherein each scan rule is represented as a typed object with the un-encoded regular expression pattern as a string property.</w:t>
      </w:r>
    </w:p>
    <w:p>
      <w:pPr>
        <w:spacing w:after="80" w:before="80"/>
      </w:pPr>
    </w:p>
    <w:p>
      <w:pPr>
        <w:spacing w:after="80" w:before="120"/>
        <w:ind w:left="720"/>
        <w:jc w:val="both"/>
      </w:pPr>
      <w:r>
        <w:rPr>
          <w:rFonts w:ascii="Arial" w:cs="Arial" w:eastAsia="Arial" w:hAnsi="Arial"/>
          <w:b/>
          <w:bCs/>
          <w:sz w:val="22"/>
          <w:szCs w:val="22"/>
        </w:rPr>
        <w:t xml:space="preserve">9. </w:t>
      </w:r>
      <w:r>
        <w:rPr>
          <w:rFonts w:ascii="Arial" w:cs="Arial" w:eastAsia="Arial" w:hAnsi="Arial"/>
          <w:sz w:val="22"/>
          <w:szCs w:val="22"/>
        </w:rPr>
        <w:t xml:space="preserve">The method of claim 8, further comprising: loading the third adapter file into a web application at build time by importing it as a static TypeScript module; and verifying, at compile time, that the types of all domain data entities in the third adapter file conform to a shared TypeScript interface definition.</w:t>
      </w:r>
    </w:p>
    <w:p>
      <w:pPr>
        <w:spacing w:after="80" w:before="80"/>
      </w:pPr>
    </w:p>
    <w:p>
      <w:pPr>
        <w:spacing w:after="80" w:before="120"/>
        <w:ind w:left="720"/>
        <w:jc w:val="both"/>
      </w:pPr>
      <w:r>
        <w:rPr>
          <w:rFonts w:ascii="Arial" w:cs="Arial" w:eastAsia="Arial" w:hAnsi="Arial"/>
          <w:b/>
          <w:bCs/>
          <w:sz w:val="22"/>
          <w:szCs w:val="22"/>
        </w:rPr>
        <w:t xml:space="preserve">10. </w:t>
      </w:r>
      <w:r>
        <w:rPr>
          <w:rFonts w:ascii="Arial" w:cs="Arial" w:eastAsia="Arial" w:hAnsi="Arial"/>
          <w:sz w:val="22"/>
          <w:szCs w:val="22"/>
        </w:rPr>
        <w:t xml:space="preserve">The method of claim 8, wherein validating the tenant domain specification comprises verifying: that all required top-level keys are present; that the version field conforms to semantic versioning format; that all scan rules include a label, a pattern, a severity value from a defined set, and at least one file scope parameter; and that the tenant metadata includes a slug, a brand name, and a CLI name.</w:t>
      </w:r>
    </w:p>
    <w:p>
      <w:pPr>
        <w:spacing w:after="80" w:before="80"/>
      </w:pPr>
    </w:p>
    <w:p>
      <w:pPr>
        <w:spacing w:after="80" w:before="120"/>
        <w:ind/>
        <w:jc w:val="both"/>
      </w:pPr>
      <w:r>
        <w:rPr>
          <w:rFonts w:ascii="Arial" w:cs="Arial" w:eastAsia="Arial" w:hAnsi="Arial"/>
          <w:b/>
          <w:bCs/>
          <w:sz w:val="22"/>
          <w:szCs w:val="22"/>
        </w:rPr>
        <w:t xml:space="preserve">11. </w:t>
      </w:r>
      <w:r>
        <w:rPr>
          <w:rFonts w:ascii="Arial" w:cs="Arial" w:eastAsia="Arial" w:hAnsi="Arial"/>
          <w:sz w:val="22"/>
          <w:szCs w:val="22"/>
        </w:rPr>
        <w:t xml:space="preserve">A system for delivering platform domain knowledge to a web application without a runtime data fetch, comprising: a domain specification data store containing a structured representation of platform knowledge; a code generation subsystem configured to read the domain specification and emit a statically typed programming language module containing a typed constant representing the domain data; a build system configured to include the emitted module in a web application bundle at compile time; and a web application configured to import the typed constant from the included module such that all platform domain data is available in the web application without an HTTP request on application initialization.</w:t>
      </w:r>
    </w:p>
    <w:p>
      <w:pPr>
        <w:spacing w:after="80" w:before="80"/>
      </w:pPr>
    </w:p>
    <w:p>
      <w:pPr>
        <w:spacing w:after="80" w:before="120"/>
        <w:ind w:left="720"/>
        <w:jc w:val="both"/>
      </w:pPr>
      <w:r>
        <w:rPr>
          <w:rFonts w:ascii="Arial" w:cs="Arial" w:eastAsia="Arial" w:hAnsi="Arial"/>
          <w:b/>
          <w:bCs/>
          <w:sz w:val="22"/>
          <w:szCs w:val="22"/>
        </w:rPr>
        <w:t xml:space="preserve">12. </w:t>
      </w:r>
      <w:r>
        <w:rPr>
          <w:rFonts w:ascii="Arial" w:cs="Arial" w:eastAsia="Arial" w:hAnsi="Arial"/>
          <w:sz w:val="22"/>
          <w:szCs w:val="22"/>
        </w:rPr>
        <w:t xml:space="preserve">The system of claim 11, wherein the typed constant is a TypeScript object conforming to an interface that is shared between the web application and an API microservice layer, such that changes to the domain specification that are incompatible with the shared interface cause compilation failures in both the web application and the API microservice.</w:t>
      </w:r>
    </w:p>
    <w:p>
      <w:pPr>
        <w:spacing w:after="80" w:before="80"/>
      </w:pPr>
    </w:p>
    <w:p>
      <w:pPr>
        <w:spacing w:after="80" w:before="120"/>
        <w:ind/>
        <w:jc w:val="both"/>
      </w:pPr>
      <w:r>
        <w:rPr>
          <w:rFonts w:ascii="Arial" w:cs="Arial" w:eastAsia="Arial" w:hAnsi="Arial"/>
          <w:b/>
          <w:bCs/>
          <w:sz w:val="22"/>
          <w:szCs w:val="22"/>
        </w:rPr>
        <w:t xml:space="preserve">13. </w:t>
      </w:r>
      <w:r>
        <w:rPr>
          <w:rFonts w:ascii="Arial" w:cs="Arial" w:eastAsia="Arial" w:hAnsi="Arial"/>
          <w:sz w:val="22"/>
          <w:szCs w:val="22"/>
        </w:rPr>
        <w:t xml:space="preserve">A computer-implemented system for enforcing coding compliance rules defined as data, comprising: a structured rule store configured to maintain one or more compliance rules, each rule comprising a label, a regular expression pattern encoded as a base64 string, a severity designation, a category designation, a set of file scope glob patterns, and an optional set of file path exclusion patterns; a scan execution engine configured to: retrieve a compliance rule from the rule store; decode the base64-encoded regular expression pattern; compile the decoded pattern as a regular expression; traverse a filesystem applying the compiled pattern to files matching the scope glob patterns and not matching the exclusion patterns; and for each match found, record a finding comprising at minimum the rule identifier, the matched file path, the matched line number, the matching text, and a remediation hint associated with the rule; and a result aggregation component configured to determine the highest-severity finding across all executed rules and report a pass or fail status.</w:t>
      </w:r>
    </w:p>
    <w:p>
      <w:pPr>
        <w:spacing w:after="80" w:before="80"/>
      </w:pPr>
    </w:p>
    <w:p>
      <w:pPr>
        <w:spacing w:after="80" w:before="120"/>
        <w:ind w:left="720"/>
        <w:jc w:val="both"/>
      </w:pPr>
      <w:r>
        <w:rPr>
          <w:rFonts w:ascii="Arial" w:cs="Arial" w:eastAsia="Arial" w:hAnsi="Arial"/>
          <w:b/>
          <w:bCs/>
          <w:sz w:val="22"/>
          <w:szCs w:val="22"/>
        </w:rPr>
        <w:t xml:space="preserve">14. </w:t>
      </w:r>
      <w:r>
        <w:rPr>
          <w:rFonts w:ascii="Arial" w:cs="Arial" w:eastAsia="Arial" w:hAnsi="Arial"/>
          <w:sz w:val="22"/>
          <w:szCs w:val="22"/>
        </w:rPr>
        <w:t xml:space="preserve">The system of claim 13, wherein the rule store is part of a tenant domain specification that also contains platform navigation knowledge, such that compliance rules and navigation knowledge share a common schema validation step and a common code generation step.</w:t>
      </w:r>
    </w:p>
    <w:p>
      <w:pPr>
        <w:spacing w:after="80" w:before="80"/>
      </w:pPr>
    </w:p>
    <w:p>
      <w:pPr>
        <w:spacing w:after="80" w:before="120"/>
        <w:ind w:left="720"/>
        <w:jc w:val="both"/>
      </w:pPr>
      <w:r>
        <w:rPr>
          <w:rFonts w:ascii="Arial" w:cs="Arial" w:eastAsia="Arial" w:hAnsi="Arial"/>
          <w:b/>
          <w:bCs/>
          <w:sz w:val="22"/>
          <w:szCs w:val="22"/>
        </w:rPr>
        <w:t xml:space="preserve">15. </w:t>
      </w:r>
      <w:r>
        <w:rPr>
          <w:rFonts w:ascii="Arial" w:cs="Arial" w:eastAsia="Arial" w:hAnsi="Arial"/>
          <w:sz w:val="22"/>
          <w:szCs w:val="22"/>
        </w:rPr>
        <w:t xml:space="preserve">The system of claim 13, wherein the scan execution engine is implemented in both a Unix shell programming language and a server-side programming language, and both implementations read from the same tenant domain specification such that the rules executed are identical regardless of which implementation is invoked.</w:t>
      </w:r>
    </w:p>
    <w:p>
      <w:pPr>
        <w:spacing w:after="80" w:before="80"/>
      </w:pPr>
    </w:p>
    <w:p>
      <w:pPr>
        <w:pStyle w:val="Heading1"/>
        <w:spacing w:after="200" w:before="480"/>
      </w:pPr>
      <w:r>
        <w:rPr>
          <w:rFonts w:ascii="Arial" w:cs="Arial" w:eastAsia="Arial" w:hAnsi="Arial"/>
          <w:b/>
          <w:bCs/>
          <w:sz w:val="32"/>
          <w:szCs w:val="32"/>
        </w:rPr>
        <w:t xml:space="preserve">ABSTRACT</w:t>
      </w:r>
    </w:p>
    <w:p>
      <w:pPr>
        <w:spacing w:after="80" w:before="80"/>
        <w:jc w:val="both"/>
      </w:pPr>
      <w:r>
        <w:rPr>
          <w:rFonts w:ascii="Arial" w:cs="Arial" w:eastAsia="Arial" w:hAnsi="Arial"/>
          <w:sz w:val="22"/>
          <w:szCs w:val="22"/>
        </w:rPr>
        <w:t xml:space="preserve">Onboarded is a multi-tenant platform intelligence system. Organizational platform knowledge — source file navigation data, status code definitions, compliance scan rules, and domain glossary terms — is captured in a per-tenant schema-validated JSON specification. That specification is the single authoritative source of truth for the entire system.</w:t>
      </w:r>
    </w:p>
    <w:p>
      <w:pPr>
        <w:spacing w:after="80" w:before="80"/>
      </w:pPr>
    </w:p>
    <w:p>
      <w:pPr>
        <w:spacing w:after="80" w:before="80"/>
        <w:jc w:val="both"/>
      </w:pPr>
      <w:r>
        <w:rPr>
          <w:rFonts w:ascii="Arial" w:cs="Arial" w:eastAsia="Arial" w:hAnsi="Arial"/>
          <w:sz w:val="22"/>
          <w:szCs w:val="22"/>
        </w:rPr>
        <w:t xml:space="preserve">An adapter synthesis engine reads the specification and generates executable adapters for multiple runtime environments: Zsh shell scripts, PowerShell modules, and a TypeScript module. Regular expression patterns in compliance scan rules are base64-encoded before embedding in shell adapter values, preventing pipe-delimiter collisions without any loss of pattern expressiveness.</w:t>
      </w:r>
    </w:p>
    <w:p>
      <w:pPr>
        <w:spacing w:after="80" w:before="80"/>
      </w:pPr>
    </w:p>
    <w:p>
      <w:pPr>
        <w:spacing w:after="80" w:before="80"/>
        <w:jc w:val="both"/>
      </w:pPr>
      <w:r>
        <w:rPr>
          <w:rFonts w:ascii="Arial" w:cs="Arial" w:eastAsia="Arial" w:hAnsi="Arial"/>
          <w:sz w:val="22"/>
          <w:szCs w:val="22"/>
        </w:rPr>
        <w:t xml:space="preserve">A static analysis engine executes compliance rules defined as domain data, decoding base64 patterns at scan time and aggregating findings by severity. A web portal receives domain data by importing the generated TypeScript module at build time, not through a runtime HTTP request — the domain is baked into the bundle, the portal works offline, and a domain change that breaks the type interface is a compile error. An Angular portal shell integrates React components as isolated islands through a typed bridge interface, with React and ReactDOM lazy-loaded only when an island is first mounted. A tenant-aware FastAPI microservice exposes domain data and scan execution through RESTful endpoints. Tenant context is resolved from request headers. Every engine and interface is tenant-agnostic — all tenant-specific knowledge lives in the domain specification.</w:t>
      </w:r>
    </w:p>
    <w:p>
      <w:pPr>
        <w:spacing w:after="80" w:before="80"/>
      </w:pPr>
    </w:p>
    <w:p>
      <w:pPr>
        <w:pStyle w:val="Heading1"/>
        <w:spacing w:after="200" w:before="480"/>
      </w:pPr>
      <w:r>
        <w:rPr>
          <w:rFonts w:ascii="Arial" w:cs="Arial" w:eastAsia="Arial" w:hAnsi="Arial"/>
          <w:b/>
          <w:bCs/>
          <w:sz w:val="32"/>
          <w:szCs w:val="32"/>
        </w:rPr>
        <w:t xml:space="preserve">DRAWINGS — FIGURE DESCRIPTIONS</w:t>
      </w:r>
    </w:p>
    <w:p>
      <w:pPr>
        <w:spacing w:after="80" w:before="80"/>
        <w:jc w:val="both"/>
      </w:pPr>
      <w:r>
        <w:rPr>
          <w:rFonts w:ascii="Arial" w:cs="Arial" w:eastAsia="Arial" w:hAnsi="Arial"/>
          <w:sz w:val="22"/>
          <w:szCs w:val="22"/>
        </w:rPr>
        <w:t xml:space="preserve">[This section to be completed by patent counsel with formal drawing references]</w:t>
      </w:r>
    </w:p>
    <w:p>
      <w:pPr>
        <w:spacing w:after="80" w:before="80"/>
      </w:pPr>
    </w:p>
    <w:p>
      <w:pPr>
        <w:spacing w:after="80" w:before="80"/>
        <w:jc w:val="both"/>
      </w:pPr>
      <w:r>
        <w:rPr>
          <w:rFonts w:ascii="Arial" w:cs="Arial" w:eastAsia="Arial" w:hAnsi="Arial"/>
          <w:sz w:val="22"/>
          <w:szCs w:val="22"/>
        </w:rPr>
        <w:t xml:space="preserve">FIG. 1 — System Architecture: The tenant domain specification (domain.json) flows through the Adapter Synthesis Engine to produce four artifact types: Zsh adapter, PowerShell adapter, TypeScript snapshot, and (through the API) JSON API responses. The CLI, the Portal, and the API each consume one or more of these artifacts.</w:t>
      </w:r>
    </w:p>
    <w:p>
      <w:pPr>
        <w:spacing w:after="80" w:before="80"/>
      </w:pPr>
    </w:p>
    <w:p>
      <w:pPr>
        <w:spacing w:after="80" w:before="80"/>
        <w:jc w:val="both"/>
      </w:pPr>
      <w:r>
        <w:rPr>
          <w:rFonts w:ascii="Arial" w:cs="Arial" w:eastAsia="Arial" w:hAnsi="Arial"/>
          <w:sz w:val="22"/>
          <w:szCs w:val="22"/>
        </w:rPr>
        <w:t xml:space="preserve">FIG. 2 — Tenant Isolation Model: Multiple tenant domain specifications (MSI, Generic, Tenant-N) each independently validate against a shared JSON Schema. The Schema, the Synthesis Engine, the Analysis Engine, the API, and the Portal are all shared tenant-agnostic components. Tenant selection occurs only at the boundary of each component.</w:t>
      </w:r>
    </w:p>
    <w:p>
      <w:pPr>
        <w:spacing w:after="80" w:before="80"/>
      </w:pPr>
    </w:p>
    <w:p>
      <w:pPr>
        <w:spacing w:after="80" w:before="80"/>
        <w:jc w:val="both"/>
      </w:pPr>
      <w:r>
        <w:rPr>
          <w:rFonts w:ascii="Arial" w:cs="Arial" w:eastAsia="Arial" w:hAnsi="Arial"/>
          <w:sz w:val="22"/>
          <w:szCs w:val="22"/>
        </w:rPr>
        <w:t xml:space="preserve">FIG. 3 — Adapter Synthesis Flow: Input domain.json → Schema Validation → For each scan_rule: base64-encode pattern → Emit nav_maps.zsh, scan_rules.zsh, nav_maps.ps1, scan_rules.ps1, &lt;tenant&gt;.ts → Output directory.</w:t>
      </w:r>
    </w:p>
    <w:p>
      <w:pPr>
        <w:spacing w:after="80" w:before="80"/>
      </w:pPr>
    </w:p>
    <w:p>
      <w:pPr>
        <w:spacing w:after="80" w:before="80"/>
        <w:jc w:val="both"/>
      </w:pPr>
      <w:r>
        <w:rPr>
          <w:rFonts w:ascii="Arial" w:cs="Arial" w:eastAsia="Arial" w:hAnsi="Arial"/>
          <w:sz w:val="22"/>
          <w:szCs w:val="22"/>
        </w:rPr>
        <w:t xml:space="preserve">FIG. 4 — Web Portal Architecture: Angular App Shell (routing, DI) → lazy-loads Feature Routes → NavComponent, StatusComponent, GlossaryComponent (read from TENANT_DOMAIN build-time constant) and ScanComponent (mounts React island via ReactBridgeService → createRoot → ScanDashboardIsland, which calls POST /api/v1/scan/).</w:t>
      </w:r>
    </w:p>
    <w:p>
      <w:pPr>
        <w:spacing w:after="80" w:before="80"/>
      </w:pPr>
    </w:p>
    <w:p>
      <w:pPr>
        <w:spacing w:after="80" w:before="80"/>
        <w:jc w:val="both"/>
      </w:pPr>
      <w:r>
        <w:rPr>
          <w:rFonts w:ascii="Arial" w:cs="Arial" w:eastAsia="Arial" w:hAnsi="Arial"/>
          <w:sz w:val="22"/>
          <w:szCs w:val="22"/>
        </w:rPr>
        <w:t xml:space="preserve">FIG. 5 — Static Analysis Engine Flow: ScanRequest (rule_ids, severity, category, paths) → Filter rules from TenantDomain → For each rule: base64-decode pattern → compile regex → traverse filesystem → match lines → collect ScanFinding → aggregate → return ScanResult.</w:t>
      </w:r>
    </w:p>
    <w:p>
      <w:pPr>
        <w:spacing w:after="80" w:before="80"/>
      </w:pPr>
    </w:p>
    <w:p>
      <w:pPr>
        <w:spacing w:after="80" w:before="80"/>
      </w:pPr>
    </w:p>
    <w:p>
      <w:pPr>
        <w:jc w:val="center"/>
      </w:pPr>
      <w:r>
        <w:rPr>
          <w:rFonts w:ascii="Arial" w:cs="Arial" w:eastAsia="Arial" w:hAnsi="Arial"/>
          <w:b/>
          <w:bCs/>
          <w:color w:val="666666"/>
          <w:sz w:val="20"/>
          <w:szCs w:val="20"/>
        </w:rPr>
        <w:t xml:space="preserve">— END OF DRAFT PATENT APPLICATION —</w:t>
      </w:r>
    </w:p>
    <w:p>
      <w:pPr>
        <w:spacing w:after="80" w:before="80"/>
      </w:pPr>
    </w:p>
    <w:p>
      <w:pPr>
        <w:jc w:val="center"/>
      </w:pPr>
      <w:r>
        <w:rPr>
          <w:rFonts w:ascii="Arial" w:cs="Arial" w:eastAsia="Arial" w:hAnsi="Arial"/>
          <w:color w:val="AA0000"/>
          <w:sz w:val="18"/>
          <w:szCs w:val="18"/>
        </w:rPr>
        <w:t xml:space="preserve">This document is a pre-reviewed draft prepared for review by qualified patent counsel.</w:t>
      </w:r>
    </w:p>
    <w:p>
      <w:pPr>
        <w:jc w:val="center"/>
      </w:pPr>
      <w:r>
        <w:rPr>
          <w:rFonts w:ascii="Arial" w:cs="Arial" w:eastAsia="Arial" w:hAnsi="Arial"/>
          <w:color w:val="AA0000"/>
          <w:sz w:val="18"/>
          <w:szCs w:val="18"/>
        </w:rPr>
        <w:t xml:space="preserve">It does not constitute a filed patent application and confers no patent rights.</w:t>
      </w:r>
    </w:p>
    <w:p>
      <w:pPr>
        <w:jc w:val="center"/>
      </w:pPr>
      <w:r>
        <w:rPr>
          <w:rFonts w:ascii="Arial" w:cs="Arial" w:eastAsia="Arial" w:hAnsi="Arial"/>
          <w:color w:val="AA0000"/>
          <w:sz w:val="18"/>
          <w:szCs w:val="18"/>
        </w:rPr>
        <w:t xml:space="preserve">Applicant should retain patent counsel before making any public disclosure.</w:t>
      </w:r>
    </w:p>
    <w:sectPr>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a3a5c" w:sz="4" w:space="4"/>
      </w:pBdr>
      <w:spacing w:after="200" w:before="480"/>
      <w:outlineLvl w:val="0"/>
    </w:pPr>
    <w:rPr>
      <w:rFonts w:ascii="Arial" w:cs="Arial" w:eastAsia="Arial" w:hAnsi="Arial"/>
      <w:b/>
      <w:bCs/>
      <w:color w:val="000000"/>
      <w:sz w:val="32"/>
      <w:szCs w:val="32"/>
    </w:rPr>
  </w:style>
  <w:style w:type="paragraph" w:styleId="Heading2">
    <w:name w:val="Heading 2"/>
    <w:basedOn w:val="Normal"/>
    <w:next w:val="Normal"/>
    <w:pPr>
      <w:spacing w:after="120" w:before="3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2026-05-23T01:44:33.597Z</dcterms:created>
  <dcterms:modified xsi:type="dcterms:W3CDTF">2026-05-23T01:44:33.613Z</dcterms:modified>
</cp:coreProperties>
</file>

<file path=docProps/custom.xml><?xml version="1.0" encoding="utf-8"?>
<Properties xmlns="http://schemas.openxmlformats.org/officeDocument/2006/custom-properties" xmlns:vt="http://schemas.openxmlformats.org/officeDocument/2006/docPropsVTypes"/>
</file>