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2"/>
          <w:szCs w:val="32"/>
        </w:rPr>
        <w:t xml:space="preserve">UNITED STATES PATENT APPLICATION</w:t>
      </w:r>
    </w:p>
    <w:p>
      <w:pPr>
        <w:spacing w:after="960" w:before="0"/>
        <w:jc w:val="center"/>
      </w:pPr>
      <w:r>
        <w:rPr>
          <w:rFonts w:ascii="Arial" w:cs="Arial" w:eastAsia="Arial" w:hAnsi="Arial"/>
          <w:i/>
          <w:iCs/>
          <w:sz w:val="24"/>
          <w:szCs w:val="24"/>
        </w:rPr>
        <w:t xml:space="preserve">DRAFT — PRE-FILING REVIEW COPY — NOT FOR PUBLIC DISCLOSURE</w:t>
      </w:r>
    </w:p>
    <w:p>
      <w:pPr>
        <w:spacing w:after="240" w:before="240"/>
      </w:pPr>
      <w:r>
        <w:rPr>
          <w:rFonts w:ascii="Arial" w:cs="Arial" w:eastAsia="Arial" w:hAnsi="Arial"/>
          <w:b/>
          <w:bCs/>
          <w:sz w:val="24"/>
          <w:szCs w:val="24"/>
        </w:rPr>
        <w:t xml:space="preserve">TITLE: </w:t>
      </w:r>
      <w:r>
        <w:rPr>
          <w:rFonts w:ascii="Arial" w:cs="Arial" w:eastAsia="Arial" w:hAnsi="Arial"/>
          <w:sz w:val="24"/>
          <w:szCs w:val="24"/>
        </w:rPr>
        <w:t xml:space="preserve">SYSTEM AND METHOD FOR MULTI-TENANT PLATFORM INTELLIGENCE THROUGH DECLARATIVE DOMAIN ENCODING AND AUTOMATED CROSS-PLATFORM ADAPTER GENERATION</w:t>
      </w:r>
    </w:p>
    <w:p>
      <w:pPr>
        <w:spacing w:after="120" w:before="120"/>
      </w:pPr>
      <w:r>
        <w:rPr>
          <w:rFonts w:ascii="Arial" w:cs="Arial" w:eastAsia="Arial" w:hAnsi="Arial"/>
          <w:b/>
          <w:bCs/>
          <w:sz w:val="24"/>
          <w:szCs w:val="24"/>
        </w:rPr>
        <w:t xml:space="preserve">Applicant: </w:t>
      </w:r>
      <w:r>
        <w:rPr>
          <w:rFonts w:ascii="Arial" w:cs="Arial" w:eastAsia="Arial" w:hAnsi="Arial"/>
          <w:sz w:val="24"/>
          <w:szCs w:val="24"/>
        </w:rPr>
        <w:t xml:space="preserve">[APPLICANT LEGAL NAME]</w:t>
      </w:r>
    </w:p>
    <w:p>
      <w:pPr>
        <w:spacing w:after="120" w:before="120"/>
      </w:pPr>
      <w:r>
        <w:rPr>
          <w:rFonts w:ascii="Arial" w:cs="Arial" w:eastAsia="Arial" w:hAnsi="Arial"/>
          <w:b/>
          <w:bCs/>
          <w:sz w:val="24"/>
          <w:szCs w:val="24"/>
        </w:rPr>
        <w:t xml:space="preserve">Inventors: </w:t>
      </w:r>
      <w:r>
        <w:rPr>
          <w:rFonts w:ascii="Arial" w:cs="Arial" w:eastAsia="Arial" w:hAnsi="Arial"/>
          <w:sz w:val="24"/>
          <w:szCs w:val="24"/>
        </w:rPr>
        <w:t xml:space="preserve">[INVENTOR NAMES AND ADDRESSES]</w:t>
      </w:r>
    </w:p>
    <w:p>
      <w:pPr>
        <w:spacing w:after="120" w:before="120"/>
      </w:pPr>
      <w:r>
        <w:rPr>
          <w:rFonts w:ascii="Arial" w:cs="Arial" w:eastAsia="Arial" w:hAnsi="Arial"/>
          <w:b/>
          <w:bCs/>
          <w:sz w:val="24"/>
          <w:szCs w:val="24"/>
        </w:rPr>
        <w:t xml:space="preserve">Filing Date: </w:t>
      </w:r>
      <w:r>
        <w:rPr>
          <w:rFonts w:ascii="Arial" w:cs="Arial" w:eastAsia="Arial" w:hAnsi="Arial"/>
          <w:sz w:val="24"/>
          <w:szCs w:val="24"/>
        </w:rPr>
        <w:t xml:space="preserve">[DATE]</w:t>
      </w:r>
    </w:p>
    <w:p>
      <w:pPr>
        <w:spacing w:after="120" w:before="120"/>
      </w:pPr>
      <w:r>
        <w:rPr>
          <w:rFonts w:ascii="Arial" w:cs="Arial" w:eastAsia="Arial" w:hAnsi="Arial"/>
          <w:b/>
          <w:bCs/>
          <w:sz w:val="24"/>
          <w:szCs w:val="24"/>
        </w:rPr>
        <w:t xml:space="preserve">Application No.: </w:t>
      </w:r>
      <w:r>
        <w:rPr>
          <w:rFonts w:ascii="Arial" w:cs="Arial" w:eastAsia="Arial" w:hAnsi="Arial"/>
          <w:sz w:val="24"/>
          <w:szCs w:val="24"/>
        </w:rPr>
        <w:t xml:space="preserve">[TO BE ASSIGNED]</w:t>
      </w:r>
    </w:p>
    <w:p>
      <w:pPr>
        <w:spacing w:after="120" w:before="120"/>
      </w:pPr>
      <w:r>
        <w:rPr>
          <w:rFonts w:ascii="Arial" w:cs="Arial" w:eastAsia="Arial" w:hAnsi="Arial"/>
          <w:b/>
          <w:bCs/>
          <w:sz w:val="24"/>
          <w:szCs w:val="24"/>
        </w:rPr>
        <w:t xml:space="preserve">Attorney Docket: </w:t>
      </w:r>
      <w:r>
        <w:rPr>
          <w:rFonts w:ascii="Arial" w:cs="Arial" w:eastAsia="Arial" w:hAnsi="Arial"/>
          <w:sz w:val="24"/>
          <w:szCs w:val="24"/>
        </w:rPr>
        <w:t xml:space="preserve">ONBOARDED-001</w:t>
      </w:r>
    </w:p>
    <w:p>
      <w:pPr>
        <w:spacing w:after="1440" w:before="120"/>
      </w:pPr>
      <w:r>
        <w:rPr>
          <w:rFonts w:ascii="Arial" w:cs="Arial" w:eastAsia="Arial" w:hAnsi="Arial"/>
          <w:b/>
          <w:bCs/>
          <w:sz w:val="24"/>
          <w:szCs w:val="24"/>
        </w:rPr>
        <w:t xml:space="preserve">Entity Status: </w:t>
      </w:r>
      <w:r>
        <w:rPr>
          <w:rFonts w:ascii="Arial" w:cs="Arial" w:eastAsia="Arial" w:hAnsi="Arial"/>
          <w:sz w:val="24"/>
          <w:szCs w:val="24"/>
        </w:rPr>
        <w:t xml:space="preserve">[Small Entity / Large Entity]</w:t>
      </w:r>
    </w:p>
    <w:p>
      <w:r>
        <w:br w:type="page"/>
      </w:r>
    </w:p>
    <w:p>
      <w:pPr>
        <w:pStyle w:val="Heading1"/>
        <w:spacing w:after="240" w:before="480"/>
      </w:pPr>
      <w:r>
        <w:rPr>
          <w:rFonts w:ascii="Arial" w:cs="Arial" w:eastAsia="Arial" w:hAnsi="Arial"/>
          <w:b/>
          <w:bCs/>
          <w:sz w:val="28"/>
          <w:szCs w:val="28"/>
        </w:rPr>
        <w:t xml:space="preserve">CROSS-REFERENCE TO RELATED APPLICATIONS</w:t>
      </w:r>
    </w:p>
    <w:p>
      <w:pPr>
        <w:spacing w:after="160" w:before="160" w:line="360" w:lineRule="auto"/>
      </w:pPr>
      <w:r>
        <w:rPr>
          <w:rFonts w:ascii="Arial" w:cs="Arial" w:eastAsia="Arial" w:hAnsi="Arial"/>
          <w:sz w:val="24"/>
          <w:szCs w:val="24"/>
        </w:rPr>
        <w:t xml:space="preserve">Not applicable.</w:t>
      </w:r>
    </w:p>
    <w:p>
      <w:pPr>
        <w:pStyle w:val="Heading1"/>
        <w:spacing w:after="240" w:before="480"/>
      </w:pPr>
      <w:r>
        <w:rPr>
          <w:rFonts w:ascii="Arial" w:cs="Arial" w:eastAsia="Arial" w:hAnsi="Arial"/>
          <w:b/>
          <w:bCs/>
          <w:sz w:val="28"/>
          <w:szCs w:val="28"/>
        </w:rPr>
        <w:t xml:space="preserve">FIELD OF THE INVENTION</w:t>
      </w:r>
    </w:p>
    <w:p>
      <w:pPr>
        <w:spacing w:after="160" w:before="160" w:line="360" w:lineRule="auto"/>
      </w:pPr>
      <w:r>
        <w:rPr>
          <w:rFonts w:ascii="Arial" w:cs="Arial" w:eastAsia="Arial" w:hAnsi="Arial"/>
          <w:sz w:val="24"/>
          <w:szCs w:val="24"/>
        </w:rPr>
        <w:t xml:space="preserve">The present invention relates to software development tooling and enterprise platform management, and more particularly to systems and methods for encoding organizational platform knowledge as structured declarative data and generating multi-platform runtime artifacts therefrom, enabling codebase navigation, static compliance analysis, and web-based platform intelligence for multi-tenant software deployments.</w:t>
      </w:r>
    </w:p>
    <w:p>
      <w:pPr>
        <w:pStyle w:val="Heading1"/>
        <w:spacing w:after="240" w:before="480"/>
      </w:pPr>
      <w:r>
        <w:rPr>
          <w:rFonts w:ascii="Arial" w:cs="Arial" w:eastAsia="Arial" w:hAnsi="Arial"/>
          <w:b/>
          <w:bCs/>
          <w:sz w:val="28"/>
          <w:szCs w:val="28"/>
        </w:rPr>
        <w:t xml:space="preserve">BACKGROUND OF THE INVENTION</w:t>
      </w:r>
    </w:p>
    <w:p>
      <w:pPr>
        <w:spacing w:after="160" w:before="160" w:line="360" w:lineRule="auto"/>
      </w:pPr>
      <w:r>
        <w:rPr>
          <w:rFonts w:ascii="Arial" w:cs="Arial" w:eastAsia="Arial" w:hAnsi="Arial"/>
          <w:sz w:val="24"/>
          <w:szCs w:val="24"/>
        </w:rPr>
        <w:t xml:space="preserve">Large enterprise software platforms, particularly those in regulated industries such as insurance, healthcare, and financial services, accumulate institutional knowledge across multiple repositories, generations of architecture, domain-specific terminology, and compliance requirements. This institutional knowledge is typically stored in human-readable documentation, tribal knowledge among senior engineers, and distributed configuration files, with no single machine-readable source of truth.</w:t>
      </w:r>
    </w:p>
    <w:p>
      <w:pPr>
        <w:spacing w:after="160" w:before="160" w:line="360" w:lineRule="auto"/>
      </w:pPr>
      <w:r>
        <w:rPr>
          <w:rFonts w:ascii="Arial" w:cs="Arial" w:eastAsia="Arial" w:hAnsi="Arial"/>
          <w:sz w:val="24"/>
          <w:szCs w:val="24"/>
        </w:rPr>
        <w:t xml:space="preserve">Existing solutions suffer from several limitations. Documentation systems store knowledge as prose text, making it unavailable to automated tooling, shell scripts, or CI/CD pipelines. Static analysis tools encode compliance rules within the tool's own source code, requiring software engineers to modify tool source when rules change. Navigation tools lack domain semantics — a developer cannot query 'show me everything participating in the bind operation' without manually constructing the query from institutional knowledge. Multi-tenant platforms require per-tenant customization that existing tools handle poorly. Cross-platform organizations operating on both Unix-like shells and Windows PowerShell require separate tool implementations that inevitably diverge.</w:t>
      </w:r>
    </w:p>
    <w:p>
      <w:pPr>
        <w:spacing w:after="160" w:before="160" w:line="360" w:lineRule="auto"/>
      </w:pPr>
      <w:r>
        <w:rPr>
          <w:rFonts w:ascii="Arial" w:cs="Arial" w:eastAsia="Arial" w:hAnsi="Arial"/>
          <w:sz w:val="24"/>
          <w:szCs w:val="24"/>
        </w:rPr>
        <w:t xml:space="preserve">There is a need in the art for a system that encodes platform knowledge as machine-readable declarative data, automatically generates runtime tooling for multiple target platforms from that data, enforces co-evolution of compliance rules and navigation knowledge with the domain, and presents a unified interface across shell environments, web portals, and programmatic APIs.</w:t>
      </w:r>
    </w:p>
    <w:p>
      <w:pPr>
        <w:pStyle w:val="Heading1"/>
        <w:spacing w:after="240" w:before="480"/>
      </w:pPr>
      <w:r>
        <w:rPr>
          <w:rFonts w:ascii="Arial" w:cs="Arial" w:eastAsia="Arial" w:hAnsi="Arial"/>
          <w:b/>
          <w:bCs/>
          <w:sz w:val="28"/>
          <w:szCs w:val="28"/>
        </w:rPr>
        <w:t xml:space="preserve">SUMMARY OF THE INVENTION</w:t>
      </w:r>
    </w:p>
    <w:p>
      <w:pPr>
        <w:spacing w:after="160" w:before="160" w:line="360" w:lineRule="auto"/>
      </w:pPr>
      <w:r>
        <w:rPr>
          <w:rFonts w:ascii="Arial" w:cs="Arial" w:eastAsia="Arial" w:hAnsi="Arial"/>
          <w:sz w:val="24"/>
          <w:szCs w:val="24"/>
        </w:rPr>
        <w:t xml:space="preserve">The present invention provides a system and method, denominated 'Onboarded,' for multi-tenant platform intelligence through structured declarative data and automated adapter generation.</w:t>
      </w:r>
    </w:p>
    <w:p>
      <w:pPr>
        <w:spacing w:after="160" w:before="160" w:line="360" w:lineRule="auto"/>
      </w:pPr>
      <w:r>
        <w:rPr>
          <w:rFonts w:ascii="Arial" w:cs="Arial" w:eastAsia="Arial" w:hAnsi="Arial"/>
          <w:sz w:val="24"/>
          <w:szCs w:val="24"/>
        </w:rPr>
        <w:t xml:space="preserve">In a first aspect, a computer-implemented method comprises: encoding platform knowledge for one or more tenants in a structured JSON schema defining operations, domain status codes, message queues, product lines, portals, glossary terms, and compliance scan rules; validating said schema; and generating, from said data, platform-specific runtime adapters including shell associative arrays for POSIX-compatible environments, PowerShell hash tables for Windows environments, TypeScript module constants for Angular web applications, and Python data models for microservice APIs, wherein all generated artifacts share a single source of truth.</w:t>
      </w:r>
    </w:p>
    <w:p>
      <w:pPr>
        <w:spacing w:after="160" w:before="160" w:line="360" w:lineRule="auto"/>
      </w:pPr>
      <w:r>
        <w:rPr>
          <w:rFonts w:ascii="Arial" w:cs="Arial" w:eastAsia="Arial" w:hAnsi="Arial"/>
          <w:sz w:val="24"/>
          <w:szCs w:val="24"/>
        </w:rPr>
        <w:t xml:space="preserve">In a second aspect, a multi-tenant CLI system reads an active tenant identifier from an environment variable, sources corresponding pre-generated shell arrays, and exposes unified commands for codebase navigation, status code decoding, glossary lookup, and static compliance analysis, registering tenant-specific command aliases as configured.</w:t>
      </w:r>
    </w:p>
    <w:p>
      <w:pPr>
        <w:spacing w:after="160" w:before="160" w:line="360" w:lineRule="auto"/>
      </w:pPr>
      <w:r>
        <w:rPr>
          <w:rFonts w:ascii="Arial" w:cs="Arial" w:eastAsia="Arial" w:hAnsi="Arial"/>
          <w:sz w:val="24"/>
          <w:szCs w:val="24"/>
        </w:rPr>
        <w:t xml:space="preserve">In a third aspect, a compliance scan engine executes base64-encoded regular expression patterns stored within the tenant's JSON domain definition against source file trees, the base64 encoding preventing regex pattern corruption in pipe-delimited array values, grouping results by severity, and returning machine-readable exit codes for CI/CD pipeline integration.</w:t>
      </w:r>
    </w:p>
    <w:p>
      <w:pPr>
        <w:spacing w:after="160" w:before="160" w:line="360" w:lineRule="auto"/>
      </w:pPr>
      <w:r>
        <w:rPr>
          <w:rFonts w:ascii="Arial" w:cs="Arial" w:eastAsia="Arial" w:hAnsi="Arial"/>
          <w:sz w:val="24"/>
          <w:szCs w:val="24"/>
        </w:rPr>
        <w:t xml:space="preserve">In a fourth aspect, a web portal implemented as an Angular standalone application imports pre-generated TypeScript domain snapshots at build time, eliminating runtime HTTP requests for domain data, supporting per-tenant builds through environment file substitution, and integrating React island components as Web Components for fine-grained reactive rendering of high-mutation subtrees.</w:t>
      </w:r>
    </w:p>
    <w:p>
      <w:pPr>
        <w:spacing w:after="160" w:before="160" w:line="360" w:lineRule="auto"/>
      </w:pPr>
      <w:r>
        <w:rPr>
          <w:rFonts w:ascii="Arial" w:cs="Arial" w:eastAsia="Arial" w:hAnsi="Arial"/>
          <w:sz w:val="24"/>
          <w:szCs w:val="24"/>
        </w:rPr>
        <w:t xml:space="preserve">In a fifth aspect, a FastAPI microservice loads tenant domain definitions at startup, resolves the active tenant per-request from HTTP headers, and exposes REST endpoints for domain data queries, scan execution, and adapter regeneration without service restart.</w:t>
      </w:r>
    </w:p>
    <w:p>
      <w:r>
        <w:br w:type="page"/>
      </w:r>
    </w:p>
    <w:p>
      <w:pPr>
        <w:pStyle w:val="Heading1"/>
        <w:spacing w:after="240" w:before="480"/>
      </w:pPr>
      <w:r>
        <w:rPr>
          <w:rFonts w:ascii="Arial" w:cs="Arial" w:eastAsia="Arial" w:hAnsi="Arial"/>
          <w:b/>
          <w:bCs/>
          <w:sz w:val="28"/>
          <w:szCs w:val="28"/>
        </w:rPr>
        <w:t xml:space="preserve">BRIEF DESCRIPTION OF THE DRAWINGS</w:t>
      </w:r>
    </w:p>
    <w:p>
      <w:pPr>
        <w:spacing w:after="160" w:before="160" w:line="360" w:lineRule="auto"/>
      </w:pPr>
      <w:r>
        <w:rPr>
          <w:rFonts w:ascii="Arial" w:cs="Arial" w:eastAsia="Arial" w:hAnsi="Arial"/>
          <w:sz w:val="24"/>
          <w:szCs w:val="24"/>
        </w:rPr>
        <w:t xml:space="preserve">FIG. 1 is a system architecture diagram illustrating the monorepo package structure and data flow from tenant domain JSON through the adapter generator to shell, PowerShell, TypeScript, and Python consumers.</w:t>
      </w:r>
    </w:p>
    <w:p>
      <w:pPr>
        <w:spacing w:after="160" w:before="160" w:line="360" w:lineRule="auto"/>
      </w:pPr>
      <w:r>
        <w:rPr>
          <w:rFonts w:ascii="Arial" w:cs="Arial" w:eastAsia="Arial" w:hAnsi="Arial"/>
          <w:sz w:val="24"/>
          <w:szCs w:val="24"/>
        </w:rPr>
        <w:t xml:space="preserve">FIG. 2 is a flow diagram of the adapter generation process, showing validation, base64 pattern encoding, and multi-format artifact emission.</w:t>
      </w:r>
    </w:p>
    <w:p>
      <w:pPr>
        <w:spacing w:after="160" w:before="160" w:line="360" w:lineRule="auto"/>
      </w:pPr>
      <w:r>
        <w:rPr>
          <w:rFonts w:ascii="Arial" w:cs="Arial" w:eastAsia="Arial" w:hAnsi="Arial"/>
          <w:sz w:val="24"/>
          <w:szCs w:val="24"/>
        </w:rPr>
        <w:t xml:space="preserve">FIG. 3 is a block diagram of the CLI dispatcher, illustrating tenant resolution, array sourcing, engine registration, and tenant-specific alias registration.</w:t>
      </w:r>
    </w:p>
    <w:p>
      <w:pPr>
        <w:spacing w:after="160" w:before="160" w:line="360" w:lineRule="auto"/>
      </w:pPr>
      <w:r>
        <w:rPr>
          <w:rFonts w:ascii="Arial" w:cs="Arial" w:eastAsia="Arial" w:hAnsi="Arial"/>
          <w:sz w:val="24"/>
          <w:szCs w:val="24"/>
        </w:rPr>
        <w:t xml:space="preserve">FIG. 4 is a diagram of the scan engine pipeline, showing rule selection, base64 decoding, glob traversal, exclusion filtering, and severity-ranked finding collection.</w:t>
      </w:r>
    </w:p>
    <w:p>
      <w:pPr>
        <w:spacing w:after="160" w:before="160" w:line="360" w:lineRule="auto"/>
      </w:pPr>
      <w:r>
        <w:rPr>
          <w:rFonts w:ascii="Arial" w:cs="Arial" w:eastAsia="Arial" w:hAnsi="Arial"/>
          <w:sz w:val="24"/>
          <w:szCs w:val="24"/>
        </w:rPr>
        <w:t xml:space="preserve">FIG. 5 is an architecture diagram of the web portal, showing Angular shell, lazy-loaded feature routes, React island Web Component integration, and build-time TypeScript snapshot injection.</w:t>
      </w:r>
    </w:p>
    <w:p>
      <w:pPr>
        <w:spacing w:after="160" w:before="160" w:line="360" w:lineRule="auto"/>
      </w:pPr>
      <w:r>
        <w:rPr>
          <w:rFonts w:ascii="Arial" w:cs="Arial" w:eastAsia="Arial" w:hAnsi="Arial"/>
          <w:sz w:val="24"/>
          <w:szCs w:val="24"/>
        </w:rPr>
        <w:t xml:space="preserve">FIG. 6 is a sequence diagram of a scan request handled by the FastAPI microservice, from tenant resolution through rule execution to HTTP response.</w:t>
      </w:r>
    </w:p>
    <w:p>
      <w:pPr>
        <w:spacing w:after="160" w:before="160" w:line="360" w:lineRule="auto"/>
      </w:pPr>
      <w:r>
        <w:rPr>
          <w:rFonts w:ascii="Arial" w:cs="Arial" w:eastAsia="Arial" w:hAnsi="Arial"/>
          <w:sz w:val="24"/>
          <w:szCs w:val="24"/>
        </w:rPr>
        <w:t xml:space="preserve">FIG. 7 is a schematic of the multi-tenant data model, showing the hierarchical relationship between tenant metadata, operations, scan rules, products, portals, queues, and glossary within a single tenant JSON document.</w:t>
      </w:r>
    </w:p>
    <w:p>
      <w:pPr>
        <w:pStyle w:val="Heading1"/>
        <w:spacing w:after="240" w:before="480"/>
      </w:pPr>
      <w:r>
        <w:rPr>
          <w:rFonts w:ascii="Arial" w:cs="Arial" w:eastAsia="Arial" w:hAnsi="Arial"/>
          <w:b/>
          <w:bCs/>
          <w:sz w:val="28"/>
          <w:szCs w:val="28"/>
        </w:rPr>
        <w:t xml:space="preserve">DETAILED DESCRIPTION OF THE PREFERRED EMBODIMENTS</w:t>
      </w:r>
    </w:p>
    <w:p>
      <w:pPr>
        <w:pStyle w:val="Heading2"/>
        <w:spacing w:after="160" w:before="320"/>
      </w:pPr>
      <w:r>
        <w:rPr>
          <w:rFonts w:ascii="Arial" w:cs="Arial" w:eastAsia="Arial" w:hAnsi="Arial"/>
          <w:b/>
          <w:bCs/>
          <w:sz w:val="24"/>
          <w:szCs w:val="24"/>
        </w:rPr>
        <w:t xml:space="preserve">1. System Overview and Architecture</w:t>
      </w:r>
    </w:p>
    <w:p>
      <w:pPr>
        <w:spacing w:after="160" w:before="160" w:line="360" w:lineRule="auto"/>
      </w:pPr>
      <w:r>
        <w:rPr>
          <w:rFonts w:ascii="Arial" w:cs="Arial" w:eastAsia="Arial" w:hAnsi="Arial"/>
          <w:sz w:val="24"/>
          <w:szCs w:val="24"/>
        </w:rPr>
        <w:t xml:space="preserve">The Onboarded system is implemented as a monorepo comprising four primary packages: a Core package containing tenant domain data and generation tooling; a Shared package containing TypeScript type definitions and generated snapshots; a CLI package containing shell and PowerShell runtime engines; and a Portal package containing an Angular web application with React island integration. Additional packages provide a FastAPI microservice and a Python administrative CLI.</w:t>
      </w:r>
    </w:p>
    <w:p>
      <w:pPr>
        <w:spacing w:after="160" w:before="160" w:line="360" w:lineRule="auto"/>
      </w:pPr>
      <w:r>
        <w:rPr>
          <w:rFonts w:ascii="Arial" w:cs="Arial" w:eastAsia="Arial" w:hAnsi="Arial"/>
          <w:sz w:val="24"/>
          <w:szCs w:val="24"/>
        </w:rPr>
        <w:t xml:space="preserve">The fundamental architectural principle is that institutional platform knowledge is encoded in a single human-readable and machine-readable JSON file per tenant. All runtime tooling is generated from this file rather than encoded in tool-specific configuration languages or programmed directly into tool source code. Adding a new tenant requires only authoring a domain.json file and executing the adapter generator; no engine, portal, or API code requires modification.</w:t>
      </w:r>
    </w:p>
    <w:p>
      <w:pPr>
        <w:pStyle w:val="Heading2"/>
        <w:spacing w:after="160" w:before="320"/>
      </w:pPr>
      <w:r>
        <w:rPr>
          <w:rFonts w:ascii="Arial" w:cs="Arial" w:eastAsia="Arial" w:hAnsi="Arial"/>
          <w:b/>
          <w:bCs/>
          <w:sz w:val="24"/>
          <w:szCs w:val="24"/>
        </w:rPr>
        <w:t xml:space="preserve">2. Tenant Domain JSON Schema</w:t>
      </w:r>
    </w:p>
    <w:p>
      <w:pPr>
        <w:spacing w:after="160" w:before="160" w:line="360" w:lineRule="auto"/>
      </w:pPr>
      <w:r>
        <w:rPr>
          <w:rFonts w:ascii="Arial" w:cs="Arial" w:eastAsia="Arial" w:hAnsi="Arial"/>
          <w:sz w:val="24"/>
          <w:szCs w:val="24"/>
        </w:rPr>
        <w:t xml:space="preserve">Each tenant's domain is defined in a JSON document conforming to a JSON Schema Draft-7 definition. The document contains: tenant metadata; a repository configuration mapping repository identifiers to environment variable names and default filesystem paths; operations mapping business capability names to arrays of implementing file paths grouped by type (controllers, services, message queues, JavaScript components); status codes; products; portals; queues; glossary terms; and compliance scan rules.</w:t>
      </w:r>
    </w:p>
    <w:p>
      <w:pPr>
        <w:spacing w:after="160" w:before="160" w:line="360" w:lineRule="auto"/>
      </w:pPr>
      <w:r>
        <w:rPr>
          <w:rFonts w:ascii="Arial" w:cs="Arial" w:eastAsia="Arial" w:hAnsi="Arial"/>
          <w:sz w:val="24"/>
          <w:szCs w:val="24"/>
        </w:rPr>
        <w:t xml:space="preserve">Scan rules include: a human-readable label; a regular expression pattern; a severity classification (critical, error, warning, info); a category (security, convention, architecture, dependency, observability); a list of file glob patterns defining applicable file types; an optional list of repository identifiers restricting the rule to specific repositories; a list of exclusion glob patterns; a governing document reference; and a remediation hint.</w:t>
      </w:r>
    </w:p>
    <w:p>
      <w:pPr>
        <w:pStyle w:val="Heading2"/>
        <w:spacing w:after="160" w:before="320"/>
      </w:pPr>
      <w:r>
        <w:rPr>
          <w:rFonts w:ascii="Arial" w:cs="Arial" w:eastAsia="Arial" w:hAnsi="Arial"/>
          <w:b/>
          <w:bCs/>
          <w:sz w:val="24"/>
          <w:szCs w:val="24"/>
        </w:rPr>
        <w:t xml:space="preserve">3. Adapter Generation and Base64 Pattern Encoding</w:t>
      </w:r>
    </w:p>
    <w:p>
      <w:pPr>
        <w:spacing w:after="160" w:before="160" w:line="360" w:lineRule="auto"/>
      </w:pPr>
      <w:r>
        <w:rPr>
          <w:rFonts w:ascii="Arial" w:cs="Arial" w:eastAsia="Arial" w:hAnsi="Arial"/>
          <w:sz w:val="24"/>
          <w:szCs w:val="24"/>
        </w:rPr>
        <w:t xml:space="preserve">The adapter generator reads the tenant's domain.json and emits runtime adapters for all target platforms in a single invocation. For POSIX shell adapters, operation values are formatted as pipe-delimited strings using double-pipe as a section separator between component types and single-pipe as an item separator within sections.</w:t>
      </w:r>
    </w:p>
    <w:p>
      <w:pPr>
        <w:spacing w:after="160" w:before="160" w:line="360" w:lineRule="auto"/>
      </w:pPr>
      <w:r>
        <w:rPr>
          <w:rFonts w:ascii="Arial" w:cs="Arial" w:eastAsia="Arial" w:hAnsi="Arial"/>
          <w:sz w:val="24"/>
          <w:szCs w:val="24"/>
        </w:rPr>
        <w:t xml:space="preserve">For scan rule adapters, the pattern field is encoded to base64 before storage in the generated array value. This encoding is a distinguishing feature: regular expression patterns frequently contain the pipe character as an alternation operator, which would corrupt pipe-delimited array value parsing. Base64 encoding guarantees that the stored pattern value contains no pipe characters. The scan engine decodes the pattern field at scan time using standard base64 decoding before compiling it as a regular expression.</w:t>
      </w:r>
    </w:p>
    <w:p>
      <w:pPr>
        <w:spacing w:after="160" w:before="160" w:line="360" w:lineRule="auto"/>
      </w:pPr>
      <w:r>
        <w:rPr>
          <w:rFonts w:ascii="Arial" w:cs="Arial" w:eastAsia="Arial" w:hAnsi="Arial"/>
          <w:sz w:val="24"/>
          <w:szCs w:val="24"/>
        </w:rPr>
        <w:t xml:space="preserve">The TypeScript snapshot adapter exports a typed constant object importing from the shared types package, enabling the Angular portal to import domain data at build time with full type safety.</w:t>
      </w:r>
    </w:p>
    <w:p>
      <w:pPr>
        <w:pStyle w:val="Heading2"/>
        <w:spacing w:after="160" w:before="320"/>
      </w:pPr>
      <w:r>
        <w:rPr>
          <w:rFonts w:ascii="Arial" w:cs="Arial" w:eastAsia="Arial" w:hAnsi="Arial"/>
          <w:b/>
          <w:bCs/>
          <w:sz w:val="24"/>
          <w:szCs w:val="24"/>
        </w:rPr>
        <w:t xml:space="preserve">4. CLI Architecture — Dispatcher, Engines, and Tenant Isolation</w:t>
      </w:r>
    </w:p>
    <w:p>
      <w:pPr>
        <w:spacing w:after="160" w:before="160" w:line="360" w:lineRule="auto"/>
      </w:pPr>
      <w:r>
        <w:rPr>
          <w:rFonts w:ascii="Arial" w:cs="Arial" w:eastAsia="Arial" w:hAnsi="Arial"/>
          <w:sz w:val="24"/>
          <w:szCs w:val="24"/>
        </w:rPr>
        <w:t xml:space="preserve">The CLI dispatcher resolves the monorepo root by walking up from its own filesystem path at source time, sources the tenant-specific generated adapter, and registers navigation and scan engines. Engine code references tenant data through dynamic variable names incorporating the uppercased tenant slug, such that the same engine code operates correctly for any tenant without conditional logic.</w:t>
      </w:r>
    </w:p>
    <w:p>
      <w:pPr>
        <w:spacing w:after="160" w:before="160" w:line="360" w:lineRule="auto"/>
      </w:pPr>
      <w:r>
        <w:rPr>
          <w:rFonts w:ascii="Arial" w:cs="Arial" w:eastAsia="Arial" w:hAnsi="Arial"/>
          <w:sz w:val="24"/>
          <w:szCs w:val="24"/>
        </w:rPr>
        <w:t xml:space="preserve">The navigation engine locates source files by combining repository root paths (resolved from environment variables with configured defaults) with file path suffixes stored in the operation's controller, service, or JavaScript arrays. The scan engine reads patterns from scan rule array entries, decodes base64-encoded patterns, traverses source file trees matching configured glob patterns while respecting exclusion lists, and collects findings with file path, line number, and matched text.</w:t>
      </w:r>
    </w:p>
    <w:p>
      <w:pPr>
        <w:pStyle w:val="Heading2"/>
        <w:spacing w:after="160" w:before="320"/>
      </w:pPr>
      <w:r>
        <w:rPr>
          <w:rFonts w:ascii="Arial" w:cs="Arial" w:eastAsia="Arial" w:hAnsi="Arial"/>
          <w:b/>
          <w:bCs/>
          <w:sz w:val="24"/>
          <w:szCs w:val="24"/>
        </w:rPr>
        <w:t xml:space="preserve">5. Angular Portal with React Island Integration</w:t>
      </w:r>
    </w:p>
    <w:p>
      <w:pPr>
        <w:spacing w:after="160" w:before="160" w:line="360" w:lineRule="auto"/>
      </w:pPr>
      <w:r>
        <w:rPr>
          <w:rFonts w:ascii="Arial" w:cs="Arial" w:eastAsia="Arial" w:hAnsi="Arial"/>
          <w:sz w:val="24"/>
          <w:szCs w:val="24"/>
        </w:rPr>
        <w:t xml:space="preserve">The web portal uses Angular standalone components, lazy-loaded routes, and Angular signals for state management. Per-tenant builds substitute environment files at compilation time, selecting the corresponding TypeScript domain snapshot and API URL configuration.</w:t>
      </w:r>
    </w:p>
    <w:p>
      <w:pPr>
        <w:spacing w:after="160" w:before="160" w:line="360" w:lineRule="auto"/>
      </w:pPr>
      <w:r>
        <w:rPr>
          <w:rFonts w:ascii="Arial" w:cs="Arial" w:eastAsia="Arial" w:hAnsi="Arial"/>
          <w:sz w:val="24"/>
          <w:szCs w:val="24"/>
        </w:rPr>
        <w:t xml:space="preserve">The React scan dashboard is registered as a Web Component through the browser Custom Elements API. The custom element's connectedCallback creates a React root within the element and renders the React component tree. The disconnectedCallback unmounts the React root. An Angular wrapper component dynamically imports the island bundle only when the scan route activates, preventing React and ReactDOM from loading on routes that do not require the scan dashboard. Results flow from React to Angular through CustomEvent dispatch on the custom element, decoupling the two frameworks.</w:t>
      </w:r>
    </w:p>
    <w:p>
      <w:pPr>
        <w:pStyle w:val="Heading2"/>
        <w:spacing w:after="160" w:before="320"/>
      </w:pPr>
      <w:r>
        <w:rPr>
          <w:rFonts w:ascii="Arial" w:cs="Arial" w:eastAsia="Arial" w:hAnsi="Arial"/>
          <w:b/>
          <w:bCs/>
          <w:sz w:val="24"/>
          <w:szCs w:val="24"/>
        </w:rPr>
        <w:t xml:space="preserve">6. FastAPI Microservice and Per-Request Tenant Resolution</w:t>
      </w:r>
    </w:p>
    <w:p>
      <w:pPr>
        <w:spacing w:after="160" w:before="160" w:line="360" w:lineRule="auto"/>
      </w:pPr>
      <w:r>
        <w:rPr>
          <w:rFonts w:ascii="Arial" w:cs="Arial" w:eastAsia="Arial" w:hAnsi="Arial"/>
          <w:sz w:val="24"/>
          <w:szCs w:val="24"/>
        </w:rPr>
        <w:t xml:space="preserve">The microservice loads all tenant domain definitions into process memory at startup using an asynccontextmanager lifespan function, eliminating per-request disk I/O for domain data. A Starlette middleware component inspects the X-Onboarded-Tenant header and the tenant query parameter on each request, storing the resolved tenant slug on the request state object. Router implementations access the domain through a helper that retrieves the appropriate TenantDomain Pydantic model from the application state by the resolved slug.</w:t>
      </w:r>
    </w:p>
    <w:p>
      <w:pPr>
        <w:spacing w:after="160" w:before="160" w:line="360" w:lineRule="auto"/>
      </w:pPr>
      <w:r>
        <w:rPr>
          <w:rFonts w:ascii="Arial" w:cs="Arial" w:eastAsia="Arial" w:hAnsi="Arial"/>
          <w:sz w:val="24"/>
          <w:szCs w:val="24"/>
        </w:rPr>
        <w:t xml:space="preserve">The scan execution service accepts a ScanRequest model specifying optional rule ID filters, severity filters, category filters, and filesystem paths. The service compiles patterns from the in-memory domain at scan time, traverses the specified paths or the monorepo root, and returns a ScanResult model including findings, maximum severity, rule count, and duration.</w:t>
      </w:r>
    </w:p>
    <w:p>
      <w:r>
        <w:br w:type="page"/>
      </w:r>
    </w:p>
    <w:p>
      <w:pPr>
        <w:pStyle w:val="Heading1"/>
        <w:spacing w:after="240" w:before="480"/>
      </w:pPr>
      <w:r>
        <w:rPr>
          <w:rFonts w:ascii="Arial" w:cs="Arial" w:eastAsia="Arial" w:hAnsi="Arial"/>
          <w:b/>
          <w:bCs/>
          <w:sz w:val="28"/>
          <w:szCs w:val="28"/>
        </w:rPr>
        <w:t xml:space="preserve">CLAIMS</w:t>
      </w:r>
    </w:p>
    <w:p>
      <w:pPr>
        <w:spacing w:after="160" w:before="160" w:line="360" w:lineRule="auto"/>
      </w:pPr>
      <w:r>
        <w:rPr>
          <w:rFonts w:ascii="Arial" w:cs="Arial" w:eastAsia="Arial" w:hAnsi="Arial"/>
          <w:sz w:val="24"/>
          <w:szCs w:val="24"/>
        </w:rPr>
        <w:t xml:space="preserve">What is claimed is:</w:t>
      </w:r>
    </w:p>
    <w:p>
      <w:pPr>
        <w:spacing w:after="120" w:before="200" w:line="360" w:lineRule="auto"/>
      </w:pPr>
      <w:r>
        <w:rPr>
          <w:rFonts w:ascii="Arial" w:cs="Arial" w:eastAsia="Arial" w:hAnsi="Arial"/>
          <w:sz w:val="24"/>
          <w:szCs w:val="24"/>
        </w:rPr>
        <w:t xml:space="preserve">1. A computer-implemented system for multi-tenant platform intelligence, the system comprising: a non-transitory computer-readable storage medium storing, for each of one or more tenants, a domain definition comprising a structured mapping of named platform operations to source code artifact references within one or more named repositories, a set of compliance scan rules wherein each rule comprises a base64-encoded regular expression pattern field, a severity classification, and one or more file type glob patterns, and a terminology glossary; an adapter generator configured to read the domain definition, validate it against a machine-readable schema, and emit, from the single domain definition, runtime adapters for a plurality of target execution environments without requiring modification of environment-specific source code; and at least one runtime consumer configured to load the adapter appropriate to its execution environment and respond to user queries about platform operations and compliance requirements using data from said adapter.</w:t>
      </w:r>
    </w:p>
    <w:p>
      <w:pPr>
        <w:spacing w:after="120" w:before="200" w:line="360" w:lineRule="auto"/>
      </w:pPr>
      <w:r>
        <w:rPr>
          <w:rFonts w:ascii="Arial" w:cs="Arial" w:eastAsia="Arial" w:hAnsi="Arial"/>
          <w:sz w:val="24"/>
          <w:szCs w:val="24"/>
        </w:rPr>
        <w:t xml:space="preserve">2. The system of claim 1, wherein the runtime adapters comprise at least a POSIX shell adapter comprising typed associative array declarations for a first shell environment, and a PowerShell adapter comprising hash table assignments for a second shell environment, wherein both adapters are generated from and remain synchronized with the single domain definition.</w:t>
      </w:r>
    </w:p>
    <w:p>
      <w:pPr>
        <w:spacing w:after="120" w:before="200" w:line="360" w:lineRule="auto"/>
      </w:pPr>
      <w:r>
        <w:rPr>
          <w:rFonts w:ascii="Arial" w:cs="Arial" w:eastAsia="Arial" w:hAnsi="Arial"/>
          <w:sz w:val="24"/>
          <w:szCs w:val="24"/>
        </w:rPr>
        <w:t xml:space="preserve">3. The system of claim 1, wherein compliance scan rule patterns are stored as base64-encoded strings in the generated shell adapters, the base64 encoding preventing ambiguity between the pipe character used as an alternation operator in regular expression syntax and the pipe character used as a field delimiter in the adapter value format.</w:t>
      </w:r>
    </w:p>
    <w:p>
      <w:pPr>
        <w:spacing w:after="120" w:before="200" w:line="360" w:lineRule="auto"/>
      </w:pPr>
      <w:r>
        <w:rPr>
          <w:rFonts w:ascii="Arial" w:cs="Arial" w:eastAsia="Arial" w:hAnsi="Arial"/>
          <w:sz w:val="24"/>
          <w:szCs w:val="24"/>
        </w:rPr>
        <w:t xml:space="preserve">4. The system of claim 1, wherein a TypeScript module adapter is generated comprising a typed constant object importable at build time by a web application compiler, such that tenant domain data is incorporated into a compiled JavaScript bundle without requiring runtime network requests to retrieve said data.</w:t>
      </w:r>
    </w:p>
    <w:p>
      <w:pPr>
        <w:spacing w:after="120" w:before="200" w:line="360" w:lineRule="auto"/>
      </w:pPr>
      <w:r>
        <w:rPr>
          <w:rFonts w:ascii="Arial" w:cs="Arial" w:eastAsia="Arial" w:hAnsi="Arial"/>
          <w:sz w:val="24"/>
          <w:szCs w:val="24"/>
        </w:rPr>
        <w:t xml:space="preserve">5. A computer-implemented method comprising: storing, for each of a plurality of tenants, a domain definition encoding platform operation metadata, compliance scan rules with base64-encoded pattern fields, and domain terminology in a single structured document; executing an adapter generator to produce runtime adapters for at least a POSIX shell environment and a Microsoft PowerShell environment from said domain definition in a single execution; reading a tenant identifier from an environment variable; sourcing, based on said tenant identifier, the corresponding pre-generated shell adapter into a shell process; and responding to codebase navigation queries by resolving source file paths from operation metadata in said adapter and returning grouped results by artifact type.</w:t>
      </w:r>
    </w:p>
    <w:p>
      <w:pPr>
        <w:spacing w:after="120" w:before="200" w:line="360" w:lineRule="auto"/>
      </w:pPr>
      <w:r>
        <w:rPr>
          <w:rFonts w:ascii="Arial" w:cs="Arial" w:eastAsia="Arial" w:hAnsi="Arial"/>
          <w:sz w:val="24"/>
          <w:szCs w:val="24"/>
        </w:rPr>
        <w:t xml:space="preserve">6. The method of claim 5, further comprising: executing a compliance scan by decoding the base64-encoded pattern field of each applicable scan rule, compiling the decoded string as a regular expression, traversing source file trees matching configured glob patterns, and collecting file path, line number, and matched text for each matching line.</w:t>
      </w:r>
    </w:p>
    <w:p>
      <w:pPr>
        <w:spacing w:after="120" w:before="200" w:line="360" w:lineRule="auto"/>
      </w:pPr>
      <w:r>
        <w:rPr>
          <w:rFonts w:ascii="Arial" w:cs="Arial" w:eastAsia="Arial" w:hAnsi="Arial"/>
          <w:sz w:val="24"/>
          <w:szCs w:val="24"/>
        </w:rPr>
        <w:t xml:space="preserve">7. The method of claim 6, further comprising: returning a machine-readable exit code from the compliance scan, wherein the exit code is selected based on the highest severity level among findings, such that CI/CD pipeline steps can gate execution based on minimum severity thresholds by comparing the exit code.</w:t>
      </w:r>
    </w:p>
    <w:p>
      <w:pPr>
        <w:spacing w:after="120" w:before="200" w:line="360" w:lineRule="auto"/>
      </w:pPr>
      <w:r>
        <w:rPr>
          <w:rFonts w:ascii="Arial" w:cs="Arial" w:eastAsia="Arial" w:hAnsi="Arial"/>
          <w:sz w:val="24"/>
          <w:szCs w:val="24"/>
        </w:rPr>
        <w:t xml:space="preserve">8. The method of claim 5, further comprising: registering a shell function with a tenant-configured command name that delegates to a default command name, such that shell workflows referencing the tenant-specific name continue to function without modification when the tenant-specific name differs from the default.</w:t>
      </w:r>
    </w:p>
    <w:p>
      <w:pPr>
        <w:spacing w:after="120" w:before="200" w:line="360" w:lineRule="auto"/>
      </w:pPr>
      <w:r>
        <w:rPr>
          <w:rFonts w:ascii="Arial" w:cs="Arial" w:eastAsia="Arial" w:hAnsi="Arial"/>
          <w:sz w:val="24"/>
          <w:szCs w:val="24"/>
        </w:rPr>
        <w:t xml:space="preserve">9. A system for cross-framework web application component integration comprising: a host web application implemented in a first JavaScript framework providing application routing and dependency injection; one or more island components implemented in a second JavaScript framework, each registered as a web platform Custom Element; and a host wrapper component that dynamically imports the island bundle on route activation, communicates configuration to the island through HTML element attribute setting, and receives island output through standard web platform event dispatch; wherein the island component manages the lifecycle of the second framework's component tree within the custom element boundaries, enabling independent rendering by the second framework within the host application.</w:t>
      </w:r>
    </w:p>
    <w:p>
      <w:pPr>
        <w:spacing w:after="120" w:before="200" w:line="360" w:lineRule="auto"/>
      </w:pPr>
      <w:r>
        <w:rPr>
          <w:rFonts w:ascii="Arial" w:cs="Arial" w:eastAsia="Arial" w:hAnsi="Arial"/>
          <w:sz w:val="24"/>
          <w:szCs w:val="24"/>
        </w:rPr>
        <w:t xml:space="preserve">10. The system of claim 9, wherein the host wrapper component uses a schema configuration permitting the host framework's template compiler to process custom element tags without emitting validation errors for unrecognized element names.</w:t>
      </w:r>
    </w:p>
    <w:p>
      <w:pPr>
        <w:spacing w:after="120" w:before="200" w:line="360" w:lineRule="auto"/>
      </w:pPr>
      <w:r>
        <w:rPr>
          <w:rFonts w:ascii="Arial" w:cs="Arial" w:eastAsia="Arial" w:hAnsi="Arial"/>
          <w:sz w:val="24"/>
          <w:szCs w:val="24"/>
        </w:rPr>
        <w:t xml:space="preserve">11. A method for structured compliance rule management in multi-repository software platforms comprising: co-locating compliance scan rules within a platform domain definition alongside and versioned with the platform operation metadata the rules govern; generating execution-ready scan artifacts from said rules comprising base64-encoded pattern fields suitable for storage in pipe-delimited array values; and presenting said rules and their findings through a unified interface comprising at minimum a shell command, a web application view, and a REST API endpoint, each reading from the same domain definition.</w:t>
      </w:r>
    </w:p>
    <w:p>
      <w:pPr>
        <w:spacing w:after="120" w:before="200" w:line="360" w:lineRule="auto"/>
      </w:pPr>
      <w:r>
        <w:rPr>
          <w:rFonts w:ascii="Arial" w:cs="Arial" w:eastAsia="Arial" w:hAnsi="Arial"/>
          <w:sz w:val="24"/>
          <w:szCs w:val="24"/>
        </w:rPr>
        <w:t xml:space="preserve">12. The method of claim 11, wherein compliance scan rules include a repository filter field restricting rule execution to specified repositories, such that rules applicable only to specific repositories in a multi-repository platform are not executed against repositories to which they do not apply.</w:t>
      </w:r>
    </w:p>
    <w:p>
      <w:pPr>
        <w:spacing w:after="120" w:before="200" w:line="360" w:lineRule="auto"/>
      </w:pPr>
      <w:r>
        <w:rPr>
          <w:rFonts w:ascii="Arial" w:cs="Arial" w:eastAsia="Arial" w:hAnsi="Arial"/>
          <w:sz w:val="24"/>
          <w:szCs w:val="24"/>
        </w:rPr>
        <w:t xml:space="preserve">13. The method of claim 11, wherein adding a new compliance rule to the platform requires only editing the domain definition document and executing the adapter generator, without modifying shell engine source code, web application component source code, or API router source code.</w:t>
      </w:r>
    </w:p>
    <w:p>
      <w:pPr>
        <w:spacing w:after="120" w:before="200" w:line="360" w:lineRule="auto"/>
      </w:pPr>
      <w:r>
        <w:rPr>
          <w:rFonts w:ascii="Arial" w:cs="Arial" w:eastAsia="Arial" w:hAnsi="Arial"/>
          <w:sz w:val="24"/>
          <w:szCs w:val="24"/>
        </w:rPr>
        <w:t xml:space="preserve">14. A computer-implemented system comprising: a per-tenant structured document constituting a single source of truth for platform operational knowledge, compliance requirements, and domain terminology; a generator producing derived artifacts for multiple runtime environments deterministically from said document; and a plurality of runtime consumers each reading from the derived artifact appropriate to its environment, wherein no runtime consumer reads the source document directly at runtime, and wherein all runtime consumers are reproducible by executing the generator against an unchanged source document.</w:t>
      </w:r>
    </w:p>
    <w:p>
      <w:pPr>
        <w:spacing w:after="120" w:before="200" w:line="360" w:lineRule="auto"/>
      </w:pPr>
      <w:r>
        <w:rPr>
          <w:rFonts w:ascii="Arial" w:cs="Arial" w:eastAsia="Arial" w:hAnsi="Arial"/>
          <w:sz w:val="24"/>
          <w:szCs w:val="24"/>
        </w:rPr>
        <w:t xml:space="preserve">15. The system of claim 14, wherein the derived artifacts include at least one artifact that is imported at compile time by a web application compiler and incorporated into a compiled binary, and at least one artifact that is loaded at shell process initialization time into process memory as typed associative data structures.</w:t>
      </w:r>
    </w:p>
    <w:p>
      <w:r>
        <w:br w:type="page"/>
      </w:r>
    </w:p>
    <w:p>
      <w:pPr>
        <w:pStyle w:val="Heading1"/>
        <w:spacing w:after="240" w:before="480"/>
      </w:pPr>
      <w:r>
        <w:rPr>
          <w:rFonts w:ascii="Arial" w:cs="Arial" w:eastAsia="Arial" w:hAnsi="Arial"/>
          <w:b/>
          <w:bCs/>
          <w:sz w:val="28"/>
          <w:szCs w:val="28"/>
        </w:rPr>
        <w:t xml:space="preserve">ABSTRACT</w:t>
      </w:r>
    </w:p>
    <w:p>
      <w:pPr>
        <w:spacing w:after="160" w:before="160" w:line="360" w:lineRule="auto"/>
      </w:pPr>
      <w:r>
        <w:rPr>
          <w:rFonts w:ascii="Arial" w:cs="Arial" w:eastAsia="Arial" w:hAnsi="Arial"/>
          <w:sz w:val="24"/>
          <w:szCs w:val="24"/>
        </w:rPr>
        <w:t xml:space="preserve">A system and method for multi-tenant platform intelligence encodes institutional software platform knowledge in a per-tenant JSON document constituting a single source of truth. The document specifies named platform operations with source code artifact references, compliance scan rules with base64-encoded regular expression patterns, domain status codes, message queue definitions, product lines, portals, and a terminology glossary. An adapter generator validates the document and emits runtime adapters for multiple target platforms including POSIX shell associative arrays, PowerShell hash tables, TypeScript module constants, and Python data models. Compliance scan rule patterns are base64-encoded at generation time to prevent pipe character ambiguity in pipe-delimited adapter values and decoded at scan time. A shell dispatcher resolves the active tenant from an environment variable, sources the corresponding adapter, and registers navigation and scan engines, registering tenant-specific command aliases as configured. An Angular web portal imports the TypeScript snapshot at build time for offline-capable domain access and integrates a React scan dashboard as a Custom Elements Web Component island. A FastAPI microservice provides REST access with per-request tenant resolution. A Python administrative CLI provides power-user terminal access to all system capabilities.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ONBOARDED — PATENT APPLICATION DRAFT v1.0   CONFIDENTIAL — PRE-FILING</w:t>
    </w:r>
    <w:r>
      <w:rPr>
        <w:rFonts w:ascii="Arial" w:cs="Arial" w:eastAsia="Arial" w:hAnsi="Arial"/>
        <w:sz w:val="16"/>
        <w:szCs w:val="16"/>
      </w:rPr>
      <w:tab/>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28"/>
      <w:szCs w:val="28"/>
    </w:rPr>
  </w:style>
  <w:style w:type="paragraph" w:styleId="Heading2">
    <w:name w:val="Heading 2"/>
    <w:basedOn w:val="Normal"/>
    <w:next w:val="Normal"/>
    <w:qFormat/>
    <w:pPr>
      <w:spacing w:after="160" w:before="3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2026-05-22T07:07:49.470Z</dcterms:created>
  <dcterms:modified xsi:type="dcterms:W3CDTF">2026-05-22T07:07:49.470Z</dcterms:modified>
</cp:coreProperties>
</file>

<file path=docProps/custom.xml><?xml version="1.0" encoding="utf-8"?>
<Properties xmlns="http://schemas.openxmlformats.org/officeDocument/2006/custom-properties" xmlns:vt="http://schemas.openxmlformats.org/officeDocument/2006/docPropsVTypes"/>
</file>