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PROJECT TITAN</w:t>
      </w:r>
    </w:p>
    <w:p>
      <w:pPr>
        <w:jc w:val="center"/>
      </w:pPr>
      <w:r>
        <w:rPr>
          <w:b/>
          <w:color w:val="2F75B5"/>
          <w:sz w:val="44"/>
        </w:rPr>
        <w:t>Design Decision Log</w:t>
      </w:r>
    </w:p>
    <w:p>
      <w:pPr>
        <w:jc w:val="center"/>
      </w:pPr>
      <w:r>
        <w:rPr>
          <w:i/>
          <w:sz w:val="22"/>
        </w:rPr>
        <w:t>Educational Engineering Project</w:t>
      </w:r>
    </w:p>
    <w:p>
      <w:r>
        <w:br/>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80" w:type="dxa"/>
              <w:start w:w="80" w:type="dxa"/>
              <w:bottom w:w="80" w:type="dxa"/>
              <w:end w:w="80" w:type="dxa"/>
            </w:tcMar>
          </w:tcPr>
          <w:p>
            <w:r>
              <w:rPr>
                <w:b/>
              </w:rPr>
              <w:t>Document Number</w:t>
            </w:r>
          </w:p>
        </w:tc>
        <w:tc>
          <w:tcPr>
            <w:tcW w:type="dxa" w:w="5083"/>
            <w:tcMar>
              <w:top w:w="80" w:type="dxa"/>
              <w:start w:w="80" w:type="dxa"/>
              <w:bottom w:w="80" w:type="dxa"/>
              <w:end w:w="80" w:type="dxa"/>
            </w:tcMar>
          </w:tcPr>
          <w:p>
            <w:r>
              <w:t>TITAN-DDL-001</w:t>
            </w:r>
          </w:p>
        </w:tc>
      </w:tr>
      <w:tr>
        <w:tc>
          <w:tcPr>
            <w:tcW w:type="dxa" w:w="5083"/>
            <w:shd w:fill="D9EAF7"/>
            <w:tcMar>
              <w:top w:w="80" w:type="dxa"/>
              <w:start w:w="80" w:type="dxa"/>
              <w:bottom w:w="80" w:type="dxa"/>
              <w:end w:w="80" w:type="dxa"/>
            </w:tcMar>
          </w:tcPr>
          <w:p>
            <w:r>
              <w:rPr>
                <w:b/>
              </w:rPr>
              <w:t>Revision</w:t>
            </w:r>
          </w:p>
        </w:tc>
        <w:tc>
          <w:tcPr>
            <w:tcW w:type="dxa" w:w="5083"/>
            <w:tcMar>
              <w:top w:w="80" w:type="dxa"/>
              <w:start w:w="80" w:type="dxa"/>
              <w:bottom w:w="80" w:type="dxa"/>
              <w:end w:w="80" w:type="dxa"/>
            </w:tcMar>
          </w:tcPr>
          <w:p>
            <w:r>
              <w:t>A</w:t>
            </w:r>
          </w:p>
        </w:tc>
      </w:tr>
      <w:tr>
        <w:tc>
          <w:tcPr>
            <w:tcW w:type="dxa" w:w="5083"/>
            <w:shd w:fill="D9EAF7"/>
            <w:tcMar>
              <w:top w:w="80" w:type="dxa"/>
              <w:start w:w="80" w:type="dxa"/>
              <w:bottom w:w="80" w:type="dxa"/>
              <w:end w:w="80" w:type="dxa"/>
            </w:tcMar>
          </w:tcPr>
          <w:p>
            <w:r>
              <w:rPr>
                <w:b/>
              </w:rPr>
              <w:t>Status</w:t>
            </w:r>
          </w:p>
        </w:tc>
        <w:tc>
          <w:tcPr>
            <w:tcW w:type="dxa" w:w="5083"/>
            <w:tcMar>
              <w:top w:w="80" w:type="dxa"/>
              <w:start w:w="80" w:type="dxa"/>
              <w:bottom w:w="80" w:type="dxa"/>
              <w:end w:w="80" w:type="dxa"/>
            </w:tcMar>
          </w:tcPr>
          <w:p>
            <w:r>
              <w:t>Released - Educational Baseline</w:t>
            </w:r>
          </w:p>
        </w:tc>
      </w:tr>
      <w:tr>
        <w:tc>
          <w:tcPr>
            <w:tcW w:type="dxa" w:w="5083"/>
            <w:shd w:fill="D9EAF7"/>
            <w:tcMar>
              <w:top w:w="80" w:type="dxa"/>
              <w:start w:w="80" w:type="dxa"/>
              <w:bottom w:w="80" w:type="dxa"/>
              <w:end w:w="80" w:type="dxa"/>
            </w:tcMar>
          </w:tcPr>
          <w:p>
            <w:r>
              <w:rPr>
                <w:b/>
              </w:rPr>
              <w:t>Author</w:t>
            </w:r>
          </w:p>
        </w:tc>
        <w:tc>
          <w:tcPr>
            <w:tcW w:type="dxa" w:w="5083"/>
            <w:tcMar>
              <w:top w:w="80" w:type="dxa"/>
              <w:start w:w="80" w:type="dxa"/>
              <w:bottom w:w="80" w:type="dxa"/>
              <w:end w:w="80" w:type="dxa"/>
            </w:tcMar>
          </w:tcPr>
          <w:p>
            <w:r>
              <w:t>Michael Lozada-Longog</w:t>
            </w:r>
          </w:p>
        </w:tc>
      </w:tr>
      <w:tr>
        <w:tc>
          <w:tcPr>
            <w:tcW w:type="dxa" w:w="5083"/>
            <w:shd w:fill="D9EAF7"/>
            <w:tcMar>
              <w:top w:w="80" w:type="dxa"/>
              <w:start w:w="80" w:type="dxa"/>
              <w:bottom w:w="80" w:type="dxa"/>
              <w:end w:w="80" w:type="dxa"/>
            </w:tcMar>
          </w:tcPr>
          <w:p>
            <w:r>
              <w:rPr>
                <w:b/>
              </w:rPr>
              <w:t>Affiliation</w:t>
            </w:r>
          </w:p>
        </w:tc>
        <w:tc>
          <w:tcPr>
            <w:tcW w:type="dxa" w:w="5083"/>
            <w:tcMar>
              <w:top w:w="80" w:type="dxa"/>
              <w:start w:w="80" w:type="dxa"/>
              <w:bottom w:w="80" w:type="dxa"/>
              <w:end w:w="80" w:type="dxa"/>
            </w:tcMar>
          </w:tcPr>
          <w:p>
            <w:r>
              <w:t>Biomedical Engineering, Hawaii Pacific University</w:t>
            </w:r>
          </w:p>
        </w:tc>
      </w:tr>
      <w:tr>
        <w:tc>
          <w:tcPr>
            <w:tcW w:type="dxa" w:w="5083"/>
            <w:shd w:fill="D9EAF7"/>
            <w:tcMar>
              <w:top w:w="80" w:type="dxa"/>
              <w:start w:w="80" w:type="dxa"/>
              <w:bottom w:w="80" w:type="dxa"/>
              <w:end w:w="80" w:type="dxa"/>
            </w:tcMar>
          </w:tcPr>
          <w:p>
            <w:r>
              <w:rPr>
                <w:b/>
              </w:rPr>
              <w:t>Date</w:t>
            </w:r>
          </w:p>
        </w:tc>
        <w:tc>
          <w:tcPr>
            <w:tcW w:type="dxa" w:w="5083"/>
            <w:tcMar>
              <w:top w:w="80" w:type="dxa"/>
              <w:start w:w="80" w:type="dxa"/>
              <w:bottom w:w="80" w:type="dxa"/>
              <w:end w:w="80" w:type="dxa"/>
            </w:tcMar>
          </w:tcPr>
          <w:p>
            <w:r>
              <w:t>July 2026</w:t>
            </w:r>
          </w:p>
        </w:tc>
      </w:tr>
      <w:tr>
        <w:tc>
          <w:tcPr>
            <w:tcW w:type="dxa" w:w="5083"/>
            <w:shd w:fill="D9EAF7"/>
            <w:tcMar>
              <w:top w:w="80" w:type="dxa"/>
              <w:start w:w="80" w:type="dxa"/>
              <w:bottom w:w="80" w:type="dxa"/>
              <w:end w:w="80" w:type="dxa"/>
            </w:tcMar>
          </w:tcPr>
          <w:p>
            <w:r>
              <w:rPr>
                <w:b/>
              </w:rPr>
              <w:t>Classification</w:t>
            </w:r>
          </w:p>
        </w:tc>
        <w:tc>
          <w:tcPr>
            <w:tcW w:type="dxa" w:w="5083"/>
            <w:tcMar>
              <w:top w:w="80" w:type="dxa"/>
              <w:start w:w="80" w:type="dxa"/>
              <w:bottom w:w="80" w:type="dxa"/>
              <w:end w:w="80" w:type="dxa"/>
            </w:tcMar>
          </w:tcPr>
          <w:p>
            <w:r>
              <w:t>Educational Engineering Project</w:t>
            </w:r>
          </w:p>
        </w:tc>
      </w:tr>
    </w:tbl>
    <w:p>
      <w:r>
        <w:br/>
      </w:r>
    </w:p>
    <w:p>
      <w:pPr>
        <w:jc w:val="center"/>
      </w:pPr>
      <w:r>
        <w:rPr>
          <w:b/>
          <w:color w:val="C00000"/>
        </w:rPr>
        <w:t>IMPORTANT SCOPE NOTICE</w:t>
      </w:r>
    </w:p>
    <w:p>
      <w:pPr>
        <w:jc w:val="center"/>
      </w:pPr>
      <w:r>
        <w:t>Project TITAN is an educational design and analysis project. It is not a clinically validated device, regulatory submission, or product cleared for human use.</w:t>
      </w:r>
    </w:p>
    <w:p>
      <w:r>
        <w:br w:type="page"/>
      </w:r>
    </w:p>
    <w:p>
      <w:pPr>
        <w:pStyle w:val="Heading1"/>
      </w:pPr>
      <w:r>
        <w:t>Document Control and Revision History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365D"/>
          </w:tcPr>
          <w:p>
            <w:r>
              <w:rPr>
                <w:b/>
                <w:color w:val="FFFFFF"/>
              </w:rPr>
              <w:t>Revision</w:t>
            </w:r>
          </w:p>
        </w:tc>
        <w:tc>
          <w:tcPr>
            <w:tcW w:type="dxa" w:w="2033"/>
            <w:shd w:fill="17365D"/>
          </w:tcPr>
          <w:p>
            <w:r>
              <w:rPr>
                <w:b/>
                <w:color w:val="FFFFFF"/>
              </w:rPr>
              <w:t>Date</w:t>
            </w:r>
          </w:p>
        </w:tc>
        <w:tc>
          <w:tcPr>
            <w:tcW w:type="dxa" w:w="2033"/>
            <w:shd w:fill="17365D"/>
          </w:tcPr>
          <w:p>
            <w:r>
              <w:rPr>
                <w:b/>
                <w:color w:val="FFFFFF"/>
              </w:rPr>
              <w:t>Description</w:t>
            </w:r>
          </w:p>
        </w:tc>
        <w:tc>
          <w:tcPr>
            <w:tcW w:type="dxa" w:w="2033"/>
            <w:shd w:fill="17365D"/>
          </w:tcPr>
          <w:p>
            <w:r>
              <w:rPr>
                <w:b/>
                <w:color w:val="FFFFFF"/>
              </w:rPr>
              <w:t>Prepared By</w:t>
            </w:r>
          </w:p>
        </w:tc>
        <w:tc>
          <w:tcPr>
            <w:tcW w:type="dxa" w:w="2033"/>
            <w:shd w:fill="17365D"/>
          </w:tcPr>
          <w:p>
            <w:r>
              <w:rPr>
                <w:b/>
                <w:color w:val="FFFFFF"/>
              </w:rPr>
              <w:t>Status</w:t>
            </w:r>
          </w:p>
        </w:tc>
      </w:tr>
      <w:tr>
        <w:tc>
          <w:tcPr>
            <w:tcW w:type="dxa" w:w="2033"/>
          </w:tcPr>
          <w:p>
            <w:r>
              <w:t>A</w:t>
            </w:r>
          </w:p>
        </w:tc>
        <w:tc>
          <w:tcPr>
            <w:tcW w:type="dxa" w:w="2033"/>
          </w:tcPr>
          <w:p>
            <w:r>
              <w:t>July 2026</w:t>
            </w:r>
          </w:p>
        </w:tc>
        <w:tc>
          <w:tcPr>
            <w:tcW w:type="dxa" w:w="2033"/>
          </w:tcPr>
          <w:p>
            <w:r>
              <w:t>Initial retrospective decision log documenting the baseline Project TITAN design and analysis choices.</w:t>
            </w:r>
          </w:p>
        </w:tc>
        <w:tc>
          <w:tcPr>
            <w:tcW w:type="dxa" w:w="2033"/>
          </w:tcPr>
          <w:p>
            <w:r>
              <w:t>Michael Lozada-Longog</w:t>
            </w:r>
          </w:p>
        </w:tc>
        <w:tc>
          <w:tcPr>
            <w:tcW w:type="dxa" w:w="2033"/>
          </w:tcPr>
          <w:p>
            <w:r>
              <w:t>Released</w:t>
            </w:r>
          </w:p>
        </w:tc>
      </w:tr>
    </w:tbl>
    <w:p>
      <w:r>
        <w:t>Source baseline: Project TITAN Engineering Design Report (July 2026), CAD assembly, completed engineering drawings, and Fusion 360 static FEA results documented by the author.</w:t>
      </w:r>
    </w:p>
    <w:p>
      <w:pPr>
        <w:pStyle w:val="Heading1"/>
      </w:pPr>
      <w:r>
        <w:t>1. Purpose and Use</w:t>
      </w:r>
    </w:p>
    <w:p>
      <w:r>
        <w:t>This log records why key engineering choices were made, which alternatives were considered, and what evidence supports each choice. Entries are retrospective where the original decision was made during CAD development before the formal documentation suite existed. Future entries should be created at the time of decision.</w:t>
      </w:r>
    </w:p>
    <w:p>
      <w:pPr>
        <w:pStyle w:val="Heading1"/>
      </w:pPr>
      <w:r>
        <w:t>2. Decision Status Definitions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Mar>
              <w:top w:w="80" w:type="dxa"/>
              <w:start w:w="80" w:type="dxa"/>
              <w:bottom w:w="80" w:type="dxa"/>
              <w:end w:w="80" w:type="dxa"/>
            </w:tcMar>
          </w:tcPr>
          <w:p>
            <w:r>
              <w:rPr>
                <w:b/>
                <w:color w:val="FFFFFF"/>
                <w:sz w:val="16"/>
              </w:rPr>
              <w:t>Status</w:t>
            </w:r>
          </w:p>
        </w:tc>
        <w:tc>
          <w:tcPr>
            <w:tcW w:type="dxa" w:w="5083"/>
            <w:shd w:fill="17365D"/>
            <w:vAlign w:val="center"/>
            <w:tcMar>
              <w:top w:w="80" w:type="dxa"/>
              <w:start w:w="80" w:type="dxa"/>
              <w:bottom w:w="80" w:type="dxa"/>
              <w:end w:w="80" w:type="dxa"/>
            </w:tcMar>
          </w:tcPr>
          <w:p>
            <w:r>
              <w:rPr>
                <w:b/>
                <w:color w:val="FFFFFF"/>
                <w:sz w:val="16"/>
              </w:rPr>
              <w:t>Meaning</w:t>
            </w:r>
          </w:p>
        </w:tc>
      </w:tr>
      <w:tr>
        <w:tc>
          <w:tcPr>
            <w:tcW w:type="dxa" w:w="5083"/>
            <w:vAlign w:val="top"/>
            <w:tcMar>
              <w:top w:w="80" w:type="dxa"/>
              <w:start w:w="80" w:type="dxa"/>
              <w:bottom w:w="80" w:type="dxa"/>
              <w:end w:w="80" w:type="dxa"/>
            </w:tcMar>
          </w:tcPr>
          <w:p>
            <w:pPr>
              <w:pStyle w:val="TableText"/>
            </w:pPr>
            <w:r>
              <w:t>Released</w:t>
            </w:r>
          </w:p>
        </w:tc>
        <w:tc>
          <w:tcPr>
            <w:tcW w:type="dxa" w:w="5083"/>
            <w:vAlign w:val="top"/>
            <w:tcMar>
              <w:top w:w="80" w:type="dxa"/>
              <w:start w:w="80" w:type="dxa"/>
              <w:bottom w:w="80" w:type="dxa"/>
              <w:end w:w="80" w:type="dxa"/>
            </w:tcMar>
          </w:tcPr>
          <w:p>
            <w:pPr>
              <w:pStyle w:val="TableText"/>
            </w:pPr>
            <w:r>
              <w:t>Accepted for the current educational baseline</w:t>
            </w:r>
          </w:p>
        </w:tc>
      </w:tr>
      <w:tr>
        <w:tc>
          <w:tcPr>
            <w:tcW w:type="dxa" w:w="5083"/>
            <w:vAlign w:val="top"/>
            <w:tcMar>
              <w:top w:w="80" w:type="dxa"/>
              <w:start w:w="80" w:type="dxa"/>
              <w:bottom w:w="80" w:type="dxa"/>
              <w:end w:w="80" w:type="dxa"/>
            </w:tcMar>
          </w:tcPr>
          <w:p>
            <w:pPr>
              <w:pStyle w:val="TableText"/>
            </w:pPr>
            <w:r>
              <w:t>Conditional</w:t>
            </w:r>
          </w:p>
        </w:tc>
        <w:tc>
          <w:tcPr>
            <w:tcW w:type="dxa" w:w="5083"/>
            <w:vAlign w:val="top"/>
            <w:tcMar>
              <w:top w:w="80" w:type="dxa"/>
              <w:start w:w="80" w:type="dxa"/>
              <w:bottom w:w="80" w:type="dxa"/>
              <w:end w:w="80" w:type="dxa"/>
            </w:tcMar>
          </w:tcPr>
          <w:p>
            <w:pPr>
              <w:pStyle w:val="TableText"/>
            </w:pPr>
            <w:r>
              <w:t>Accepted subject to future verification or test</w:t>
            </w:r>
          </w:p>
        </w:tc>
      </w:tr>
      <w:tr>
        <w:tc>
          <w:tcPr>
            <w:tcW w:type="dxa" w:w="5083"/>
            <w:vAlign w:val="top"/>
            <w:tcMar>
              <w:top w:w="80" w:type="dxa"/>
              <w:start w:w="80" w:type="dxa"/>
              <w:bottom w:w="80" w:type="dxa"/>
              <w:end w:w="80" w:type="dxa"/>
            </w:tcMar>
          </w:tcPr>
          <w:p>
            <w:pPr>
              <w:pStyle w:val="TableText"/>
            </w:pPr>
            <w:r>
              <w:t>Superseded</w:t>
            </w:r>
          </w:p>
        </w:tc>
        <w:tc>
          <w:tcPr>
            <w:tcW w:type="dxa" w:w="5083"/>
            <w:vAlign w:val="top"/>
            <w:tcMar>
              <w:top w:w="80" w:type="dxa"/>
              <w:start w:w="80" w:type="dxa"/>
              <w:bottom w:w="80" w:type="dxa"/>
              <w:end w:w="80" w:type="dxa"/>
            </w:tcMar>
          </w:tcPr>
          <w:p>
            <w:pPr>
              <w:pStyle w:val="TableText"/>
            </w:pPr>
            <w:r>
              <w:t>Replaced by a later decision</w:t>
            </w:r>
          </w:p>
        </w:tc>
      </w:tr>
      <w:tr>
        <w:tc>
          <w:tcPr>
            <w:tcW w:type="dxa" w:w="5083"/>
            <w:vAlign w:val="top"/>
            <w:tcMar>
              <w:top w:w="80" w:type="dxa"/>
              <w:start w:w="80" w:type="dxa"/>
              <w:bottom w:w="80" w:type="dxa"/>
              <w:end w:w="80" w:type="dxa"/>
            </w:tcMar>
          </w:tcPr>
          <w:p>
            <w:pPr>
              <w:pStyle w:val="TableText"/>
            </w:pPr>
            <w:r>
              <w:t>Open</w:t>
            </w:r>
          </w:p>
        </w:tc>
        <w:tc>
          <w:tcPr>
            <w:tcW w:type="dxa" w:w="5083"/>
            <w:vAlign w:val="top"/>
            <w:tcMar>
              <w:top w:w="80" w:type="dxa"/>
              <w:start w:w="80" w:type="dxa"/>
              <w:bottom w:w="80" w:type="dxa"/>
              <w:end w:w="80" w:type="dxa"/>
            </w:tcMar>
          </w:tcPr>
          <w:p>
            <w:pPr>
              <w:pStyle w:val="TableText"/>
            </w:pPr>
            <w:r>
              <w:t>Decision required before the next build stage</w:t>
            </w:r>
          </w:p>
        </w:tc>
      </w:tr>
    </w:tbl>
    <w:p>
      <w:pPr>
        <w:pStyle w:val="Heading1"/>
      </w:pPr>
      <w:r>
        <w:t>3. Decision Register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7365D"/>
            <w:vAlign w:val="center"/>
            <w:tcMar>
              <w:top w:w="80" w:type="dxa"/>
              <w:start w:w="80" w:type="dxa"/>
              <w:bottom w:w="80" w:type="dxa"/>
              <w:end w:w="80" w:type="dxa"/>
            </w:tcMar>
          </w:tcPr>
          <w:p>
            <w:r>
              <w:rPr>
                <w:b/>
                <w:color w:val="FFFFFF"/>
                <w:sz w:val="13"/>
              </w:rPr>
              <w:t>Decision ID</w:t>
            </w:r>
          </w:p>
        </w:tc>
        <w:tc>
          <w:tcPr>
            <w:tcW w:type="dxa" w:w="1694"/>
            <w:shd w:fill="17365D"/>
            <w:vAlign w:val="center"/>
            <w:tcMar>
              <w:top w:w="80" w:type="dxa"/>
              <w:start w:w="80" w:type="dxa"/>
              <w:bottom w:w="80" w:type="dxa"/>
              <w:end w:w="80" w:type="dxa"/>
            </w:tcMar>
          </w:tcPr>
          <w:p>
            <w:r>
              <w:rPr>
                <w:b/>
                <w:color w:val="FFFFFF"/>
                <w:sz w:val="13"/>
              </w:rPr>
              <w:t>Decision</w:t>
            </w:r>
          </w:p>
        </w:tc>
        <w:tc>
          <w:tcPr>
            <w:tcW w:type="dxa" w:w="1694"/>
            <w:shd w:fill="17365D"/>
            <w:vAlign w:val="center"/>
            <w:tcMar>
              <w:top w:w="80" w:type="dxa"/>
              <w:start w:w="80" w:type="dxa"/>
              <w:bottom w:w="80" w:type="dxa"/>
              <w:end w:w="80" w:type="dxa"/>
            </w:tcMar>
          </w:tcPr>
          <w:p>
            <w:r>
              <w:rPr>
                <w:b/>
                <w:color w:val="FFFFFF"/>
                <w:sz w:val="13"/>
              </w:rPr>
              <w:t>Alternatives Considered</w:t>
            </w:r>
          </w:p>
        </w:tc>
        <w:tc>
          <w:tcPr>
            <w:tcW w:type="dxa" w:w="1694"/>
            <w:shd w:fill="17365D"/>
            <w:vAlign w:val="center"/>
            <w:tcMar>
              <w:top w:w="80" w:type="dxa"/>
              <w:start w:w="80" w:type="dxa"/>
              <w:bottom w:w="80" w:type="dxa"/>
              <w:end w:w="80" w:type="dxa"/>
            </w:tcMar>
          </w:tcPr>
          <w:p>
            <w:r>
              <w:rPr>
                <w:b/>
                <w:color w:val="FFFFFF"/>
                <w:sz w:val="13"/>
              </w:rPr>
              <w:t>Rationale</w:t>
            </w:r>
          </w:p>
        </w:tc>
        <w:tc>
          <w:tcPr>
            <w:tcW w:type="dxa" w:w="1694"/>
            <w:shd w:fill="17365D"/>
            <w:vAlign w:val="center"/>
            <w:tcMar>
              <w:top w:w="80" w:type="dxa"/>
              <w:start w:w="80" w:type="dxa"/>
              <w:bottom w:w="80" w:type="dxa"/>
              <w:end w:w="80" w:type="dxa"/>
            </w:tcMar>
          </w:tcPr>
          <w:p>
            <w:r>
              <w:rPr>
                <w:b/>
                <w:color w:val="FFFFFF"/>
                <w:sz w:val="13"/>
              </w:rPr>
              <w:t>Status</w:t>
            </w:r>
          </w:p>
        </w:tc>
        <w:tc>
          <w:tcPr>
            <w:tcW w:type="dxa" w:w="1694"/>
            <w:shd w:fill="17365D"/>
            <w:vAlign w:val="center"/>
            <w:tcMar>
              <w:top w:w="80" w:type="dxa"/>
              <w:start w:w="80" w:type="dxa"/>
              <w:bottom w:w="80" w:type="dxa"/>
              <w:end w:w="80" w:type="dxa"/>
            </w:tcMar>
          </w:tcPr>
          <w:p>
            <w:r>
              <w:rPr>
                <w:b/>
                <w:color w:val="FFFFFF"/>
                <w:sz w:val="13"/>
              </w:rPr>
              <w:t>Evidence</w:t>
            </w:r>
          </w:p>
        </w:tc>
      </w:tr>
      <w:tr>
        <w:tc>
          <w:tcPr>
            <w:tcW w:type="dxa" w:w="1694"/>
            <w:vAlign w:val="top"/>
            <w:tcMar>
              <w:top w:w="80" w:type="dxa"/>
              <w:start w:w="80" w:type="dxa"/>
              <w:bottom w:w="80" w:type="dxa"/>
              <w:end w:w="80" w:type="dxa"/>
            </w:tcMar>
          </w:tcPr>
          <w:p>
            <w:pPr>
              <w:pStyle w:val="TableText"/>
            </w:pPr>
            <w:r>
              <w:t>DDL-001</w:t>
            </w:r>
          </w:p>
        </w:tc>
        <w:tc>
          <w:tcPr>
            <w:tcW w:type="dxa" w:w="1694"/>
            <w:vAlign w:val="top"/>
            <w:tcMar>
              <w:top w:w="80" w:type="dxa"/>
              <w:start w:w="80" w:type="dxa"/>
              <w:bottom w:w="80" w:type="dxa"/>
              <w:end w:w="80" w:type="dxa"/>
            </w:tcMar>
          </w:tcPr>
          <w:p>
            <w:pPr>
              <w:pStyle w:val="TableText"/>
            </w:pPr>
            <w:r>
              <w:t>Use a dual-side-plate architecture</w:t>
            </w:r>
          </w:p>
        </w:tc>
        <w:tc>
          <w:tcPr>
            <w:tcW w:type="dxa" w:w="1694"/>
            <w:vAlign w:val="top"/>
            <w:tcMar>
              <w:top w:w="80" w:type="dxa"/>
              <w:start w:w="80" w:type="dxa"/>
              <w:bottom w:w="80" w:type="dxa"/>
              <w:end w:w="80" w:type="dxa"/>
            </w:tcMar>
          </w:tcPr>
          <w:p>
            <w:pPr>
              <w:pStyle w:val="TableText"/>
            </w:pPr>
            <w:r>
              <w:t>Single-side hinge; four-bar linkage; powered joint</w:t>
            </w:r>
          </w:p>
        </w:tc>
        <w:tc>
          <w:tcPr>
            <w:tcW w:type="dxa" w:w="1694"/>
            <w:vAlign w:val="top"/>
            <w:tcMar>
              <w:top w:w="80" w:type="dxa"/>
              <w:start w:w="80" w:type="dxa"/>
              <w:bottom w:w="80" w:type="dxa"/>
              <w:end w:w="80" w:type="dxa"/>
            </w:tcMar>
          </w:tcPr>
          <w:p>
            <w:pPr>
              <w:pStyle w:val="TableText"/>
            </w:pPr>
            <w:r>
              <w:t>Dual plates provide a balanced, simple, and analyzable structure for the first mechanical baseline.</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PRD/SYS</w:t>
            </w:r>
          </w:p>
        </w:tc>
      </w:tr>
      <w:tr>
        <w:tc>
          <w:tcPr>
            <w:tcW w:type="dxa" w:w="1694"/>
            <w:vAlign w:val="top"/>
            <w:tcMar>
              <w:top w:w="80" w:type="dxa"/>
              <w:start w:w="80" w:type="dxa"/>
              <w:bottom w:w="80" w:type="dxa"/>
              <w:end w:w="80" w:type="dxa"/>
            </w:tcMar>
          </w:tcPr>
          <w:p>
            <w:pPr>
              <w:pStyle w:val="TableText"/>
            </w:pPr>
            <w:r>
              <w:t>DDL-002</w:t>
            </w:r>
          </w:p>
        </w:tc>
        <w:tc>
          <w:tcPr>
            <w:tcW w:type="dxa" w:w="1694"/>
            <w:vAlign w:val="top"/>
            <w:tcMar>
              <w:top w:w="80" w:type="dxa"/>
              <w:start w:w="80" w:type="dxa"/>
              <w:bottom w:w="80" w:type="dxa"/>
              <w:end w:w="80" w:type="dxa"/>
            </w:tcMar>
          </w:tcPr>
          <w:p>
            <w:pPr>
              <w:pStyle w:val="TableText"/>
            </w:pPr>
            <w:r>
              <w:t>Use a 10 mm nominal main-shaft diameter</w:t>
            </w:r>
          </w:p>
        </w:tc>
        <w:tc>
          <w:tcPr>
            <w:tcW w:type="dxa" w:w="1694"/>
            <w:vAlign w:val="top"/>
            <w:tcMar>
              <w:top w:w="80" w:type="dxa"/>
              <w:start w:w="80" w:type="dxa"/>
              <w:bottom w:w="80" w:type="dxa"/>
              <w:end w:w="80" w:type="dxa"/>
            </w:tcMar>
          </w:tcPr>
          <w:p>
            <w:pPr>
              <w:pStyle w:val="TableText"/>
            </w:pPr>
            <w:r>
              <w:t>Smaller pin; larger shaft</w:t>
            </w:r>
          </w:p>
        </w:tc>
        <w:tc>
          <w:tcPr>
            <w:tcW w:type="dxa" w:w="1694"/>
            <w:vAlign w:val="top"/>
            <w:tcMar>
              <w:top w:w="80" w:type="dxa"/>
              <w:start w:w="80" w:type="dxa"/>
              <w:bottom w:w="80" w:type="dxa"/>
              <w:end w:w="80" w:type="dxa"/>
            </w:tcMar>
          </w:tcPr>
          <w:p>
            <w:pPr>
              <w:pStyle w:val="TableText"/>
            </w:pPr>
            <w:r>
              <w:t>The 10 mm diameter aligned with the selected simplified bearing bore and provided a conservative starting geometry. Hand calculations remain required.</w:t>
            </w:r>
          </w:p>
        </w:tc>
        <w:tc>
          <w:tcPr>
            <w:tcW w:type="dxa" w:w="1694"/>
            <w:vAlign w:val="top"/>
            <w:tcMar>
              <w:top w:w="80" w:type="dxa"/>
              <w:start w:w="80" w:type="dxa"/>
              <w:bottom w:w="80" w:type="dxa"/>
              <w:end w:w="80" w:type="dxa"/>
            </w:tcMar>
          </w:tcPr>
          <w:p>
            <w:pPr>
              <w:pStyle w:val="TableText"/>
            </w:pPr>
            <w:r>
              <w:t>Conditional</w:t>
            </w:r>
          </w:p>
        </w:tc>
        <w:tc>
          <w:tcPr>
            <w:tcW w:type="dxa" w:w="1694"/>
            <w:vAlign w:val="top"/>
            <w:tcMar>
              <w:top w:w="80" w:type="dxa"/>
              <w:start w:w="80" w:type="dxa"/>
              <w:bottom w:w="80" w:type="dxa"/>
              <w:end w:w="80" w:type="dxa"/>
            </w:tcMar>
          </w:tcPr>
          <w:p>
            <w:pPr>
              <w:pStyle w:val="TableText"/>
            </w:pPr>
            <w:r>
              <w:t>CAD/CAL future</w:t>
            </w:r>
          </w:p>
        </w:tc>
      </w:tr>
      <w:tr>
        <w:tc>
          <w:tcPr>
            <w:tcW w:type="dxa" w:w="1694"/>
            <w:vAlign w:val="top"/>
            <w:tcMar>
              <w:top w:w="80" w:type="dxa"/>
              <w:start w:w="80" w:type="dxa"/>
              <w:bottom w:w="80" w:type="dxa"/>
              <w:end w:w="80" w:type="dxa"/>
            </w:tcMar>
          </w:tcPr>
          <w:p>
            <w:pPr>
              <w:pStyle w:val="TableText"/>
            </w:pPr>
            <w:r>
              <w:t>DDL-003</w:t>
            </w:r>
          </w:p>
        </w:tc>
        <w:tc>
          <w:tcPr>
            <w:tcW w:type="dxa" w:w="1694"/>
            <w:vAlign w:val="top"/>
            <w:tcMar>
              <w:top w:w="80" w:type="dxa"/>
              <w:start w:w="80" w:type="dxa"/>
              <w:bottom w:w="80" w:type="dxa"/>
              <w:end w:w="80" w:type="dxa"/>
            </w:tcMar>
          </w:tcPr>
          <w:p>
            <w:pPr>
              <w:pStyle w:val="TableText"/>
            </w:pPr>
            <w:r>
              <w:t>Use 22 mm OD × 10 mm ID × 7 mm wide simplified bearings</w:t>
            </w:r>
          </w:p>
        </w:tc>
        <w:tc>
          <w:tcPr>
            <w:tcW w:type="dxa" w:w="1694"/>
            <w:vAlign w:val="top"/>
            <w:tcMar>
              <w:top w:w="80" w:type="dxa"/>
              <w:start w:w="80" w:type="dxa"/>
              <w:bottom w:w="80" w:type="dxa"/>
              <w:end w:w="80" w:type="dxa"/>
            </w:tcMar>
          </w:tcPr>
          <w:p>
            <w:pPr>
              <w:pStyle w:val="TableText"/>
            </w:pPr>
            <w:r>
              <w:t>Bushings; custom bearing; larger bearing</w:t>
            </w:r>
          </w:p>
        </w:tc>
        <w:tc>
          <w:tcPr>
            <w:tcW w:type="dxa" w:w="1694"/>
            <w:vAlign w:val="top"/>
            <w:tcMar>
              <w:top w:w="80" w:type="dxa"/>
              <w:start w:w="80" w:type="dxa"/>
              <w:bottom w:w="80" w:type="dxa"/>
              <w:end w:w="80" w:type="dxa"/>
            </w:tcMar>
          </w:tcPr>
          <w:p>
            <w:pPr>
              <w:pStyle w:val="TableText"/>
            </w:pPr>
            <w:r>
              <w:t>Standardized geometry simplified sourcing, CAD, and the load-transfer concept. Final COTS part number is not yet selected.</w:t>
            </w:r>
          </w:p>
        </w:tc>
        <w:tc>
          <w:tcPr>
            <w:tcW w:type="dxa" w:w="1694"/>
            <w:vAlign w:val="top"/>
            <w:tcMar>
              <w:top w:w="80" w:type="dxa"/>
              <w:start w:w="80" w:type="dxa"/>
              <w:bottom w:w="80" w:type="dxa"/>
              <w:end w:w="80" w:type="dxa"/>
            </w:tcMar>
          </w:tcPr>
          <w:p>
            <w:pPr>
              <w:pStyle w:val="TableText"/>
            </w:pPr>
            <w:r>
              <w:t>Conditional</w:t>
            </w:r>
          </w:p>
        </w:tc>
        <w:tc>
          <w:tcPr>
            <w:tcW w:type="dxa" w:w="1694"/>
            <w:vAlign w:val="top"/>
            <w:tcMar>
              <w:top w:w="80" w:type="dxa"/>
              <w:start w:w="80" w:type="dxa"/>
              <w:bottom w:w="80" w:type="dxa"/>
              <w:end w:w="80" w:type="dxa"/>
            </w:tcMar>
          </w:tcPr>
          <w:p>
            <w:pPr>
              <w:pStyle w:val="TableText"/>
            </w:pPr>
            <w:r>
              <w:t>CAD/MFG future</w:t>
            </w:r>
          </w:p>
        </w:tc>
      </w:tr>
      <w:tr>
        <w:tc>
          <w:tcPr>
            <w:tcW w:type="dxa" w:w="1694"/>
            <w:vAlign w:val="top"/>
            <w:tcMar>
              <w:top w:w="80" w:type="dxa"/>
              <w:start w:w="80" w:type="dxa"/>
              <w:bottom w:w="80" w:type="dxa"/>
              <w:end w:w="80" w:type="dxa"/>
            </w:tcMar>
          </w:tcPr>
          <w:p>
            <w:pPr>
              <w:pStyle w:val="TableText"/>
            </w:pPr>
            <w:r>
              <w:t>DDL-004</w:t>
            </w:r>
          </w:p>
        </w:tc>
        <w:tc>
          <w:tcPr>
            <w:tcW w:type="dxa" w:w="1694"/>
            <w:vAlign w:val="top"/>
            <w:tcMar>
              <w:top w:w="80" w:type="dxa"/>
              <w:start w:w="80" w:type="dxa"/>
              <w:bottom w:w="80" w:type="dxa"/>
              <w:end w:w="80" w:type="dxa"/>
            </w:tcMar>
          </w:tcPr>
          <w:p>
            <w:pPr>
              <w:pStyle w:val="TableText"/>
            </w:pPr>
            <w:r>
              <w:t>Use 6 mm plate and frame thickness</w:t>
            </w:r>
          </w:p>
        </w:tc>
        <w:tc>
          <w:tcPr>
            <w:tcW w:type="dxa" w:w="1694"/>
            <w:vAlign w:val="top"/>
            <w:tcMar>
              <w:top w:w="80" w:type="dxa"/>
              <w:start w:w="80" w:type="dxa"/>
              <w:bottom w:w="80" w:type="dxa"/>
              <w:end w:w="80" w:type="dxa"/>
            </w:tcMar>
          </w:tcPr>
          <w:p>
            <w:pPr>
              <w:pStyle w:val="TableText"/>
            </w:pPr>
            <w:r>
              <w:t>5 mm; 8 mm; ribbed section</w:t>
            </w:r>
          </w:p>
        </w:tc>
        <w:tc>
          <w:tcPr>
            <w:tcW w:type="dxa" w:w="1694"/>
            <w:vAlign w:val="top"/>
            <w:tcMar>
              <w:top w:w="80" w:type="dxa"/>
              <w:start w:w="80" w:type="dxa"/>
              <w:bottom w:w="80" w:type="dxa"/>
              <w:end w:w="80" w:type="dxa"/>
            </w:tcMar>
          </w:tcPr>
          <w:p>
            <w:pPr>
              <w:pStyle w:val="TableText"/>
            </w:pPr>
            <w:r>
              <w:t>The 6 mm baseline balanced modeling simplicity and stiffness. Static FEA met the SF requirement; fatigue and physical tests remain open.</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FEA</w:t>
            </w:r>
          </w:p>
        </w:tc>
      </w:tr>
      <w:tr>
        <w:tc>
          <w:tcPr>
            <w:tcW w:type="dxa" w:w="1694"/>
            <w:vAlign w:val="top"/>
            <w:tcMar>
              <w:top w:w="80" w:type="dxa"/>
              <w:start w:w="80" w:type="dxa"/>
              <w:bottom w:w="80" w:type="dxa"/>
              <w:end w:w="80" w:type="dxa"/>
            </w:tcMar>
          </w:tcPr>
          <w:p>
            <w:pPr>
              <w:pStyle w:val="TableText"/>
            </w:pPr>
            <w:r>
              <w:t>DDL-005</w:t>
            </w:r>
          </w:p>
        </w:tc>
        <w:tc>
          <w:tcPr>
            <w:tcW w:type="dxa" w:w="1694"/>
            <w:vAlign w:val="top"/>
            <w:tcMar>
              <w:top w:w="80" w:type="dxa"/>
              <w:start w:w="80" w:type="dxa"/>
              <w:bottom w:w="80" w:type="dxa"/>
              <w:end w:w="80" w:type="dxa"/>
            </w:tcMar>
          </w:tcPr>
          <w:p>
            <w:pPr>
              <w:pStyle w:val="TableText"/>
            </w:pPr>
            <w:r>
              <w:t>Use 60 mm-wide side plates</w:t>
            </w:r>
          </w:p>
        </w:tc>
        <w:tc>
          <w:tcPr>
            <w:tcW w:type="dxa" w:w="1694"/>
            <w:vAlign w:val="top"/>
            <w:tcMar>
              <w:top w:w="80" w:type="dxa"/>
              <w:start w:w="80" w:type="dxa"/>
              <w:bottom w:w="80" w:type="dxa"/>
              <w:end w:w="80" w:type="dxa"/>
            </w:tcMar>
          </w:tcPr>
          <w:p>
            <w:pPr>
              <w:pStyle w:val="TableText"/>
            </w:pPr>
            <w:r>
              <w:t>Narrower tapered plate; wider plate</w:t>
            </w:r>
          </w:p>
        </w:tc>
        <w:tc>
          <w:tcPr>
            <w:tcW w:type="dxa" w:w="1694"/>
            <w:vAlign w:val="top"/>
            <w:tcMar>
              <w:top w:w="80" w:type="dxa"/>
              <w:start w:w="80" w:type="dxa"/>
              <w:bottom w:w="80" w:type="dxa"/>
              <w:end w:w="80" w:type="dxa"/>
            </w:tcMar>
          </w:tcPr>
          <w:p>
            <w:pPr>
              <w:pStyle w:val="TableText"/>
            </w:pPr>
            <w:r>
              <w:t>A 60 mm baseline provided room for mounting holes, bearing bore, and lightening slots while retaining edge distance.</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CAD</w:t>
            </w:r>
          </w:p>
        </w:tc>
      </w:tr>
      <w:tr>
        <w:tc>
          <w:tcPr>
            <w:tcW w:type="dxa" w:w="1694"/>
            <w:vAlign w:val="top"/>
            <w:tcMar>
              <w:top w:w="80" w:type="dxa"/>
              <w:start w:w="80" w:type="dxa"/>
              <w:bottom w:w="80" w:type="dxa"/>
              <w:end w:w="80" w:type="dxa"/>
            </w:tcMar>
          </w:tcPr>
          <w:p>
            <w:pPr>
              <w:pStyle w:val="TableText"/>
            </w:pPr>
            <w:r>
              <w:t>DDL-006</w:t>
            </w:r>
          </w:p>
        </w:tc>
        <w:tc>
          <w:tcPr>
            <w:tcW w:type="dxa" w:w="1694"/>
            <w:vAlign w:val="top"/>
            <w:tcMar>
              <w:top w:w="80" w:type="dxa"/>
              <w:start w:w="80" w:type="dxa"/>
              <w:bottom w:w="80" w:type="dxa"/>
              <w:end w:w="80" w:type="dxa"/>
            </w:tcMar>
          </w:tcPr>
          <w:p>
            <w:pPr>
              <w:pStyle w:val="TableText"/>
            </w:pPr>
            <w:r>
              <w:t>Reduce lightening-slot width after packaging review</w:t>
            </w:r>
          </w:p>
        </w:tc>
        <w:tc>
          <w:tcPr>
            <w:tcW w:type="dxa" w:w="1694"/>
            <w:vAlign w:val="top"/>
            <w:tcMar>
              <w:top w:w="80" w:type="dxa"/>
              <w:start w:w="80" w:type="dxa"/>
              <w:bottom w:w="80" w:type="dxa"/>
              <w:end w:w="80" w:type="dxa"/>
            </w:tcMar>
          </w:tcPr>
          <w:p>
            <w:pPr>
              <w:pStyle w:val="TableText"/>
            </w:pPr>
            <w:r>
              <w:t>Original 18 mm slot; no slots</w:t>
            </w:r>
          </w:p>
        </w:tc>
        <w:tc>
          <w:tcPr>
            <w:tcW w:type="dxa" w:w="1694"/>
            <w:vAlign w:val="top"/>
            <w:tcMar>
              <w:top w:w="80" w:type="dxa"/>
              <w:start w:w="80" w:type="dxa"/>
              <w:bottom w:w="80" w:type="dxa"/>
              <w:end w:w="80" w:type="dxa"/>
            </w:tcMar>
          </w:tcPr>
          <w:p>
            <w:pPr>
              <w:pStyle w:val="TableText"/>
            </w:pPr>
            <w:r>
              <w:t>The original 18 mm concept conflicted with the desired wall and hole edge distances. Narrower slots preserved material around load paths.</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CAD review</w:t>
            </w:r>
          </w:p>
        </w:tc>
      </w:tr>
      <w:tr>
        <w:tc>
          <w:tcPr>
            <w:tcW w:type="dxa" w:w="1694"/>
            <w:vAlign w:val="top"/>
            <w:tcMar>
              <w:top w:w="80" w:type="dxa"/>
              <w:start w:w="80" w:type="dxa"/>
              <w:bottom w:w="80" w:type="dxa"/>
              <w:end w:w="80" w:type="dxa"/>
            </w:tcMar>
          </w:tcPr>
          <w:p>
            <w:pPr>
              <w:pStyle w:val="TableText"/>
            </w:pPr>
            <w:r>
              <w:t>DDL-007</w:t>
            </w:r>
          </w:p>
        </w:tc>
        <w:tc>
          <w:tcPr>
            <w:tcW w:type="dxa" w:w="1694"/>
            <w:vAlign w:val="top"/>
            <w:tcMar>
              <w:top w:w="80" w:type="dxa"/>
              <w:start w:w="80" w:type="dxa"/>
              <w:bottom w:w="80" w:type="dxa"/>
              <w:end w:w="80" w:type="dxa"/>
            </w:tcMar>
          </w:tcPr>
          <w:p>
            <w:pPr>
              <w:pStyle w:val="TableText"/>
            </w:pPr>
            <w:r>
              <w:t>Place two strap slots at the top of the upper frame and bottom of the lower frame</w:t>
            </w:r>
          </w:p>
        </w:tc>
        <w:tc>
          <w:tcPr>
            <w:tcW w:type="dxa" w:w="1694"/>
            <w:vAlign w:val="top"/>
            <w:tcMar>
              <w:top w:w="80" w:type="dxa"/>
              <w:start w:w="80" w:type="dxa"/>
              <w:bottom w:w="80" w:type="dxa"/>
              <w:end w:w="80" w:type="dxa"/>
            </w:tcMar>
          </w:tcPr>
          <w:p>
            <w:pPr>
              <w:pStyle w:val="TableText"/>
            </w:pPr>
            <w:r>
              <w:t>Single central slot; no slots</w:t>
            </w:r>
          </w:p>
        </w:tc>
        <w:tc>
          <w:tcPr>
            <w:tcW w:type="dxa" w:w="1694"/>
            <w:vAlign w:val="top"/>
            <w:tcMar>
              <w:top w:w="80" w:type="dxa"/>
              <w:start w:w="80" w:type="dxa"/>
              <w:bottom w:w="80" w:type="dxa"/>
              <w:end w:w="80" w:type="dxa"/>
            </w:tcMar>
          </w:tcPr>
          <w:p>
            <w:pPr>
              <w:pStyle w:val="TableText"/>
            </w:pPr>
            <w:r>
              <w:t>Separated slots provide a clear conceptual attachment feature and distinguish upper/lower frame functions. Actual strap design is outside baseline scope.</w:t>
            </w:r>
          </w:p>
        </w:tc>
        <w:tc>
          <w:tcPr>
            <w:tcW w:type="dxa" w:w="1694"/>
            <w:vAlign w:val="top"/>
            <w:tcMar>
              <w:top w:w="80" w:type="dxa"/>
              <w:start w:w="80" w:type="dxa"/>
              <w:bottom w:w="80" w:type="dxa"/>
              <w:end w:w="80" w:type="dxa"/>
            </w:tcMar>
          </w:tcPr>
          <w:p>
            <w:pPr>
              <w:pStyle w:val="TableText"/>
            </w:pPr>
            <w:r>
              <w:t>Conditional</w:t>
            </w:r>
          </w:p>
        </w:tc>
        <w:tc>
          <w:tcPr>
            <w:tcW w:type="dxa" w:w="1694"/>
            <w:vAlign w:val="top"/>
            <w:tcMar>
              <w:top w:w="80" w:type="dxa"/>
              <w:start w:w="80" w:type="dxa"/>
              <w:bottom w:w="80" w:type="dxa"/>
              <w:end w:w="80" w:type="dxa"/>
            </w:tcMar>
          </w:tcPr>
          <w:p>
            <w:pPr>
              <w:pStyle w:val="TableText"/>
            </w:pPr>
            <w:r>
              <w:t>CAD/HF future</w:t>
            </w:r>
          </w:p>
        </w:tc>
      </w:tr>
      <w:tr>
        <w:tc>
          <w:tcPr>
            <w:tcW w:type="dxa" w:w="1694"/>
            <w:vAlign w:val="top"/>
            <w:tcMar>
              <w:top w:w="80" w:type="dxa"/>
              <w:start w:w="80" w:type="dxa"/>
              <w:bottom w:w="80" w:type="dxa"/>
              <w:end w:w="80" w:type="dxa"/>
            </w:tcMar>
          </w:tcPr>
          <w:p>
            <w:pPr>
              <w:pStyle w:val="TableText"/>
            </w:pPr>
            <w:r>
              <w:t>DDL-008</w:t>
            </w:r>
          </w:p>
        </w:tc>
        <w:tc>
          <w:tcPr>
            <w:tcW w:type="dxa" w:w="1694"/>
            <w:vAlign w:val="top"/>
            <w:tcMar>
              <w:top w:w="80" w:type="dxa"/>
              <w:start w:w="80" w:type="dxa"/>
              <w:bottom w:w="80" w:type="dxa"/>
              <w:end w:w="80" w:type="dxa"/>
            </w:tcMar>
          </w:tcPr>
          <w:p>
            <w:pPr>
              <w:pStyle w:val="TableText"/>
            </w:pPr>
            <w:r>
              <w:t>Use separate upper and lower frame components</w:t>
            </w:r>
          </w:p>
        </w:tc>
        <w:tc>
          <w:tcPr>
            <w:tcW w:type="dxa" w:w="1694"/>
            <w:vAlign w:val="top"/>
            <w:tcMar>
              <w:top w:w="80" w:type="dxa"/>
              <w:start w:w="80" w:type="dxa"/>
              <w:bottom w:w="80" w:type="dxa"/>
              <w:end w:w="80" w:type="dxa"/>
            </w:tcMar>
          </w:tcPr>
          <w:p>
            <w:pPr>
              <w:pStyle w:val="TableText"/>
            </w:pPr>
            <w:r>
              <w:t>Single continuous rail</w:t>
            </w:r>
          </w:p>
        </w:tc>
        <w:tc>
          <w:tcPr>
            <w:tcW w:type="dxa" w:w="1694"/>
            <w:vAlign w:val="top"/>
            <w:tcMar>
              <w:top w:w="80" w:type="dxa"/>
              <w:start w:w="80" w:type="dxa"/>
              <w:bottom w:w="80" w:type="dxa"/>
              <w:end w:w="80" w:type="dxa"/>
            </w:tcMar>
          </w:tcPr>
          <w:p>
            <w:pPr>
              <w:pStyle w:val="TableText"/>
            </w:pPr>
            <w:r>
              <w:t>Separate parts support modularity, independent drawing control, and future adjustability.</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PRD/CAD</w:t>
            </w:r>
          </w:p>
        </w:tc>
      </w:tr>
      <w:tr>
        <w:tc>
          <w:tcPr>
            <w:tcW w:type="dxa" w:w="1694"/>
            <w:vAlign w:val="top"/>
            <w:tcMar>
              <w:top w:w="80" w:type="dxa"/>
              <w:start w:w="80" w:type="dxa"/>
              <w:bottom w:w="80" w:type="dxa"/>
              <w:end w:w="80" w:type="dxa"/>
            </w:tcMar>
          </w:tcPr>
          <w:p>
            <w:pPr>
              <w:pStyle w:val="TableText"/>
            </w:pPr>
            <w:r>
              <w:t>DDL-009</w:t>
            </w:r>
          </w:p>
        </w:tc>
        <w:tc>
          <w:tcPr>
            <w:tcW w:type="dxa" w:w="1694"/>
            <w:vAlign w:val="top"/>
            <w:tcMar>
              <w:top w:w="80" w:type="dxa"/>
              <w:start w:w="80" w:type="dxa"/>
              <w:bottom w:w="80" w:type="dxa"/>
              <w:end w:w="80" w:type="dxa"/>
            </w:tcMar>
          </w:tcPr>
          <w:p>
            <w:pPr>
              <w:pStyle w:val="TableText"/>
            </w:pPr>
            <w:r>
              <w:t>Use two spacers</w:t>
            </w:r>
          </w:p>
        </w:tc>
        <w:tc>
          <w:tcPr>
            <w:tcW w:type="dxa" w:w="1694"/>
            <w:vAlign w:val="top"/>
            <w:tcMar>
              <w:top w:w="80" w:type="dxa"/>
              <w:start w:w="80" w:type="dxa"/>
              <w:bottom w:w="80" w:type="dxa"/>
              <w:end w:w="80" w:type="dxa"/>
            </w:tcMar>
          </w:tcPr>
          <w:p>
            <w:pPr>
              <w:pStyle w:val="TableText"/>
            </w:pPr>
            <w:r>
              <w:t>No spacers; integrated shoulders</w:t>
            </w:r>
          </w:p>
        </w:tc>
        <w:tc>
          <w:tcPr>
            <w:tcW w:type="dxa" w:w="1694"/>
            <w:vAlign w:val="top"/>
            <w:tcMar>
              <w:top w:w="80" w:type="dxa"/>
              <w:start w:w="80" w:type="dxa"/>
              <w:bottom w:w="80" w:type="dxa"/>
              <w:end w:w="80" w:type="dxa"/>
            </w:tcMar>
          </w:tcPr>
          <w:p>
            <w:pPr>
              <w:pStyle w:val="TableText"/>
            </w:pPr>
            <w:r>
              <w:t>Separate spacers simplified axial-stack control and allowed individual manufacturing documentation. A tolerance stack-up remains required.</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CAD</w:t>
            </w:r>
          </w:p>
        </w:tc>
      </w:tr>
      <w:tr>
        <w:tc>
          <w:tcPr>
            <w:tcW w:type="dxa" w:w="1694"/>
            <w:vAlign w:val="top"/>
            <w:tcMar>
              <w:top w:w="80" w:type="dxa"/>
              <w:start w:w="80" w:type="dxa"/>
              <w:bottom w:w="80" w:type="dxa"/>
              <w:end w:w="80" w:type="dxa"/>
            </w:tcMar>
          </w:tcPr>
          <w:p>
            <w:pPr>
              <w:pStyle w:val="TableText"/>
            </w:pPr>
            <w:r>
              <w:t>DDL-010</w:t>
            </w:r>
          </w:p>
        </w:tc>
        <w:tc>
          <w:tcPr>
            <w:tcW w:type="dxa" w:w="1694"/>
            <w:vAlign w:val="top"/>
            <w:tcMar>
              <w:top w:w="80" w:type="dxa"/>
              <w:start w:w="80" w:type="dxa"/>
              <w:bottom w:w="80" w:type="dxa"/>
              <w:end w:w="80" w:type="dxa"/>
            </w:tcMar>
          </w:tcPr>
          <w:p>
            <w:pPr>
              <w:pStyle w:val="TableText"/>
            </w:pPr>
            <w:r>
              <w:t>Use 6061-T6 aluminum for structural baseline</w:t>
            </w:r>
          </w:p>
        </w:tc>
        <w:tc>
          <w:tcPr>
            <w:tcW w:type="dxa" w:w="1694"/>
            <w:vAlign w:val="top"/>
            <w:tcMar>
              <w:top w:w="80" w:type="dxa"/>
              <w:start w:w="80" w:type="dxa"/>
              <w:bottom w:w="80" w:type="dxa"/>
              <w:end w:w="80" w:type="dxa"/>
            </w:tcMar>
          </w:tcPr>
          <w:p>
            <w:pPr>
              <w:pStyle w:val="TableText"/>
            </w:pPr>
            <w:r>
              <w:t>7075-T6; 316L; titanium; composite; PEEK</w:t>
            </w:r>
          </w:p>
        </w:tc>
        <w:tc>
          <w:tcPr>
            <w:tcW w:type="dxa" w:w="1694"/>
            <w:vAlign w:val="top"/>
            <w:tcMar>
              <w:top w:w="80" w:type="dxa"/>
              <w:start w:w="80" w:type="dxa"/>
              <w:bottom w:w="80" w:type="dxa"/>
              <w:end w:w="80" w:type="dxa"/>
            </w:tcMar>
          </w:tcPr>
          <w:p>
            <w:pPr>
              <w:pStyle w:val="TableText"/>
            </w:pPr>
            <w:r>
              <w:t>6061-T6 offered the best balance of cost, machinability, availability, corrosion resistance, and adequate static performance.</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MAT-001</w:t>
            </w:r>
          </w:p>
        </w:tc>
      </w:tr>
      <w:tr>
        <w:tc>
          <w:tcPr>
            <w:tcW w:type="dxa" w:w="1694"/>
            <w:vAlign w:val="top"/>
            <w:tcMar>
              <w:top w:w="80" w:type="dxa"/>
              <w:start w:w="80" w:type="dxa"/>
              <w:bottom w:w="80" w:type="dxa"/>
              <w:end w:w="80" w:type="dxa"/>
            </w:tcMar>
          </w:tcPr>
          <w:p>
            <w:pPr>
              <w:pStyle w:val="TableText"/>
            </w:pPr>
            <w:r>
              <w:t>DDL-011</w:t>
            </w:r>
          </w:p>
        </w:tc>
        <w:tc>
          <w:tcPr>
            <w:tcW w:type="dxa" w:w="1694"/>
            <w:vAlign w:val="top"/>
            <w:tcMar>
              <w:top w:w="80" w:type="dxa"/>
              <w:start w:w="80" w:type="dxa"/>
              <w:bottom w:w="80" w:type="dxa"/>
              <w:end w:w="80" w:type="dxa"/>
            </w:tcMar>
          </w:tcPr>
          <w:p>
            <w:pPr>
              <w:pStyle w:val="TableText"/>
            </w:pPr>
            <w:r>
              <w:t>Model bearings as simplified solid components</w:t>
            </w:r>
          </w:p>
        </w:tc>
        <w:tc>
          <w:tcPr>
            <w:tcW w:type="dxa" w:w="1694"/>
            <w:vAlign w:val="top"/>
            <w:tcMar>
              <w:top w:w="80" w:type="dxa"/>
              <w:start w:w="80" w:type="dxa"/>
              <w:bottom w:w="80" w:type="dxa"/>
              <w:end w:w="80" w:type="dxa"/>
            </w:tcMar>
          </w:tcPr>
          <w:p>
            <w:pPr>
              <w:pStyle w:val="TableText"/>
            </w:pPr>
            <w:r>
              <w:t>Full rolling-element geometry; omit bearings</w:t>
            </w:r>
          </w:p>
        </w:tc>
        <w:tc>
          <w:tcPr>
            <w:tcW w:type="dxa" w:w="1694"/>
            <w:vAlign w:val="top"/>
            <w:tcMar>
              <w:top w:w="80" w:type="dxa"/>
              <w:start w:w="80" w:type="dxa"/>
              <w:bottom w:w="80" w:type="dxa"/>
              <w:end w:w="80" w:type="dxa"/>
            </w:tcMar>
          </w:tcPr>
          <w:p>
            <w:pPr>
              <w:pStyle w:val="TableText"/>
            </w:pPr>
            <w:r>
              <w:t>Simplified solids reduced model complexity while preserving envelope and load-transfer surfaces for educational FEA.</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CAD/FEA</w:t>
            </w:r>
          </w:p>
        </w:tc>
      </w:tr>
      <w:tr>
        <w:tc>
          <w:tcPr>
            <w:tcW w:type="dxa" w:w="1694"/>
            <w:vAlign w:val="top"/>
            <w:tcMar>
              <w:top w:w="80" w:type="dxa"/>
              <w:start w:w="80" w:type="dxa"/>
              <w:bottom w:w="80" w:type="dxa"/>
              <w:end w:w="80" w:type="dxa"/>
            </w:tcMar>
          </w:tcPr>
          <w:p>
            <w:pPr>
              <w:pStyle w:val="TableText"/>
            </w:pPr>
            <w:r>
              <w:t>DDL-012</w:t>
            </w:r>
          </w:p>
        </w:tc>
        <w:tc>
          <w:tcPr>
            <w:tcW w:type="dxa" w:w="1694"/>
            <w:vAlign w:val="top"/>
            <w:tcMar>
              <w:top w:w="80" w:type="dxa"/>
              <w:start w:w="80" w:type="dxa"/>
              <w:bottom w:w="80" w:type="dxa"/>
              <w:end w:w="80" w:type="dxa"/>
            </w:tcMar>
          </w:tcPr>
          <w:p>
            <w:pPr>
              <w:pStyle w:val="TableText"/>
            </w:pPr>
            <w:r>
              <w:t>Use component-level FEA before full-assembly FEA</w:t>
            </w:r>
          </w:p>
        </w:tc>
        <w:tc>
          <w:tcPr>
            <w:tcW w:type="dxa" w:w="1694"/>
            <w:vAlign w:val="top"/>
            <w:tcMar>
              <w:top w:w="80" w:type="dxa"/>
              <w:start w:w="80" w:type="dxa"/>
              <w:bottom w:w="80" w:type="dxa"/>
              <w:end w:w="80" w:type="dxa"/>
            </w:tcMar>
          </w:tcPr>
          <w:p>
            <w:pPr>
              <w:pStyle w:val="TableText"/>
            </w:pPr>
            <w:r>
              <w:t>Full assembly only</w:t>
            </w:r>
          </w:p>
        </w:tc>
        <w:tc>
          <w:tcPr>
            <w:tcW w:type="dxa" w:w="1694"/>
            <w:vAlign w:val="top"/>
            <w:tcMar>
              <w:top w:w="80" w:type="dxa"/>
              <w:start w:w="80" w:type="dxa"/>
              <w:bottom w:w="80" w:type="dxa"/>
              <w:end w:w="80" w:type="dxa"/>
            </w:tcMar>
          </w:tcPr>
          <w:p>
            <w:pPr>
              <w:pStyle w:val="TableText"/>
            </w:pPr>
            <w:r>
              <w:t>The isolated plate study validated material, constraints, load application, meshing, and solver workflow before contact-heavy assembly analysis.</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FEA</w:t>
            </w:r>
          </w:p>
        </w:tc>
      </w:tr>
      <w:tr>
        <w:tc>
          <w:tcPr>
            <w:tcW w:type="dxa" w:w="1694"/>
            <w:vAlign w:val="top"/>
            <w:tcMar>
              <w:top w:w="80" w:type="dxa"/>
              <w:start w:w="80" w:type="dxa"/>
              <w:bottom w:w="80" w:type="dxa"/>
              <w:end w:w="80" w:type="dxa"/>
            </w:tcMar>
          </w:tcPr>
          <w:p>
            <w:pPr>
              <w:pStyle w:val="TableText"/>
            </w:pPr>
            <w:r>
              <w:t>DDL-013</w:t>
            </w:r>
          </w:p>
        </w:tc>
        <w:tc>
          <w:tcPr>
            <w:tcW w:type="dxa" w:w="1694"/>
            <w:vAlign w:val="top"/>
            <w:tcMar>
              <w:top w:w="80" w:type="dxa"/>
              <w:start w:w="80" w:type="dxa"/>
              <w:bottom w:w="80" w:type="dxa"/>
              <w:end w:w="80" w:type="dxa"/>
            </w:tcMar>
          </w:tcPr>
          <w:p>
            <w:pPr>
              <w:pStyle w:val="TableText"/>
            </w:pPr>
            <w:r>
              <w:t>Apply full-assembly loads to inner bearing surfaces</w:t>
            </w:r>
          </w:p>
        </w:tc>
        <w:tc>
          <w:tcPr>
            <w:tcW w:type="dxa" w:w="1694"/>
            <w:vAlign w:val="top"/>
            <w:tcMar>
              <w:top w:w="80" w:type="dxa"/>
              <w:start w:w="80" w:type="dxa"/>
              <w:bottom w:w="80" w:type="dxa"/>
              <w:end w:w="80" w:type="dxa"/>
            </w:tcMar>
          </w:tcPr>
          <w:p>
            <w:pPr>
              <w:pStyle w:val="TableText"/>
            </w:pPr>
            <w:r>
              <w:t>Load side-plate bore directly</w:t>
            </w:r>
          </w:p>
        </w:tc>
        <w:tc>
          <w:tcPr>
            <w:tcW w:type="dxa" w:w="1694"/>
            <w:vAlign w:val="top"/>
            <w:tcMar>
              <w:top w:w="80" w:type="dxa"/>
              <w:start w:w="80" w:type="dxa"/>
              <w:bottom w:w="80" w:type="dxa"/>
              <w:end w:w="80" w:type="dxa"/>
            </w:tcMar>
          </w:tcPr>
          <w:p>
            <w:pPr>
              <w:pStyle w:val="TableText"/>
            </w:pPr>
            <w:r>
              <w:t>Inner-surface bearing loads better represented the intended external load entering through the bearing/shaft interface.</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FEA</w:t>
            </w:r>
          </w:p>
        </w:tc>
      </w:tr>
      <w:tr>
        <w:tc>
          <w:tcPr>
            <w:tcW w:type="dxa" w:w="1694"/>
            <w:vAlign w:val="top"/>
            <w:tcMar>
              <w:top w:w="80" w:type="dxa"/>
              <w:start w:w="80" w:type="dxa"/>
              <w:bottom w:w="80" w:type="dxa"/>
              <w:end w:w="80" w:type="dxa"/>
            </w:tcMar>
          </w:tcPr>
          <w:p>
            <w:pPr>
              <w:pStyle w:val="TableText"/>
            </w:pPr>
            <w:r>
              <w:t>DDL-014</w:t>
            </w:r>
          </w:p>
        </w:tc>
        <w:tc>
          <w:tcPr>
            <w:tcW w:type="dxa" w:w="1694"/>
            <w:vAlign w:val="top"/>
            <w:tcMar>
              <w:top w:w="80" w:type="dxa"/>
              <w:start w:w="80" w:type="dxa"/>
              <w:bottom w:w="80" w:type="dxa"/>
              <w:end w:w="80" w:type="dxa"/>
            </w:tcMar>
          </w:tcPr>
          <w:p>
            <w:pPr>
              <w:pStyle w:val="TableText"/>
            </w:pPr>
            <w:r>
              <w:t>Use a minimum safety-factor requirement of 2.0</w:t>
            </w:r>
          </w:p>
        </w:tc>
        <w:tc>
          <w:tcPr>
            <w:tcW w:type="dxa" w:w="1694"/>
            <w:vAlign w:val="top"/>
            <w:tcMar>
              <w:top w:w="80" w:type="dxa"/>
              <w:start w:w="80" w:type="dxa"/>
              <w:bottom w:w="80" w:type="dxa"/>
              <w:end w:w="80" w:type="dxa"/>
            </w:tcMar>
          </w:tcPr>
          <w:p>
            <w:pPr>
              <w:pStyle w:val="TableText"/>
            </w:pPr>
            <w:r>
              <w:t>1.5; 3.0</w:t>
            </w:r>
          </w:p>
        </w:tc>
        <w:tc>
          <w:tcPr>
            <w:tcW w:type="dxa" w:w="1694"/>
            <w:vAlign w:val="top"/>
            <w:tcMar>
              <w:top w:w="80" w:type="dxa"/>
              <w:start w:w="80" w:type="dxa"/>
              <w:bottom w:w="80" w:type="dxa"/>
              <w:end w:w="80" w:type="dxa"/>
            </w:tcMar>
          </w:tcPr>
          <w:p>
            <w:pPr>
              <w:pStyle w:val="TableText"/>
            </w:pPr>
            <w:r>
              <w:t>A target of 2.0 provided a clear educational static requirement. It is not a fatigue or clinical safety factor.</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PRD/FEA</w:t>
            </w:r>
          </w:p>
        </w:tc>
      </w:tr>
      <w:tr>
        <w:tc>
          <w:tcPr>
            <w:tcW w:type="dxa" w:w="1694"/>
            <w:vAlign w:val="top"/>
            <w:tcMar>
              <w:top w:w="80" w:type="dxa"/>
              <w:start w:w="80" w:type="dxa"/>
              <w:bottom w:w="80" w:type="dxa"/>
              <w:end w:w="80" w:type="dxa"/>
            </w:tcMar>
          </w:tcPr>
          <w:p>
            <w:pPr>
              <w:pStyle w:val="TableText"/>
            </w:pPr>
            <w:r>
              <w:t>DDL-015</w:t>
            </w:r>
          </w:p>
        </w:tc>
        <w:tc>
          <w:tcPr>
            <w:tcW w:type="dxa" w:w="1694"/>
            <w:vAlign w:val="top"/>
            <w:tcMar>
              <w:top w:w="80" w:type="dxa"/>
              <w:start w:w="80" w:type="dxa"/>
              <w:bottom w:w="80" w:type="dxa"/>
              <w:end w:w="80" w:type="dxa"/>
            </w:tcMar>
          </w:tcPr>
          <w:p>
            <w:pPr>
              <w:pStyle w:val="TableText"/>
            </w:pPr>
            <w:r>
              <w:t>Use refined mesh for final baseline results</w:t>
            </w:r>
          </w:p>
        </w:tc>
        <w:tc>
          <w:tcPr>
            <w:tcW w:type="dxa" w:w="1694"/>
            <w:vAlign w:val="top"/>
            <w:tcMar>
              <w:top w:w="80" w:type="dxa"/>
              <w:start w:w="80" w:type="dxa"/>
              <w:bottom w:w="80" w:type="dxa"/>
              <w:end w:w="80" w:type="dxa"/>
            </w:tcMar>
          </w:tcPr>
          <w:p>
            <w:pPr>
              <w:pStyle w:val="TableText"/>
            </w:pPr>
            <w:r>
              <w:t>Default mesh only</w:t>
            </w:r>
          </w:p>
        </w:tc>
        <w:tc>
          <w:tcPr>
            <w:tcW w:type="dxa" w:w="1694"/>
            <w:vAlign w:val="top"/>
            <w:tcMar>
              <w:top w:w="80" w:type="dxa"/>
              <w:start w:w="80" w:type="dxa"/>
              <w:bottom w:w="80" w:type="dxa"/>
              <w:end w:w="80" w:type="dxa"/>
            </w:tcMar>
          </w:tcPr>
          <w:p>
            <w:pPr>
              <w:pStyle w:val="TableText"/>
            </w:pPr>
            <w:r>
              <w:t>Refinement increased confidence that the displayed stress and displacement were not solely coarse-mesh artifacts.</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FEA</w:t>
            </w:r>
          </w:p>
        </w:tc>
      </w:tr>
      <w:tr>
        <w:tc>
          <w:tcPr>
            <w:tcW w:type="dxa" w:w="1694"/>
            <w:vAlign w:val="top"/>
            <w:tcMar>
              <w:top w:w="80" w:type="dxa"/>
              <w:start w:w="80" w:type="dxa"/>
              <w:bottom w:w="80" w:type="dxa"/>
              <w:end w:w="80" w:type="dxa"/>
            </w:tcMar>
          </w:tcPr>
          <w:p>
            <w:pPr>
              <w:pStyle w:val="TableText"/>
            </w:pPr>
            <w:r>
              <w:t>DDL-016</w:t>
            </w:r>
          </w:p>
        </w:tc>
        <w:tc>
          <w:tcPr>
            <w:tcW w:type="dxa" w:w="1694"/>
            <w:vAlign w:val="top"/>
            <w:tcMar>
              <w:top w:w="80" w:type="dxa"/>
              <w:start w:w="80" w:type="dxa"/>
              <w:bottom w:w="80" w:type="dxa"/>
              <w:end w:w="80" w:type="dxa"/>
            </w:tcMar>
          </w:tcPr>
          <w:p>
            <w:pPr>
              <w:pStyle w:val="TableText"/>
            </w:pPr>
            <w:r>
              <w:t>Accept refined-study results as the current static baseline</w:t>
            </w:r>
          </w:p>
        </w:tc>
        <w:tc>
          <w:tcPr>
            <w:tcW w:type="dxa" w:w="1694"/>
            <w:vAlign w:val="top"/>
            <w:tcMar>
              <w:top w:w="80" w:type="dxa"/>
              <w:start w:w="80" w:type="dxa"/>
              <w:bottom w:w="80" w:type="dxa"/>
              <w:end w:w="80" w:type="dxa"/>
            </w:tcMar>
          </w:tcPr>
          <w:p>
            <w:pPr>
              <w:pStyle w:val="TableText"/>
            </w:pPr>
            <w:r>
              <w:t>Earlier 100 N or preliminary assembly result</w:t>
            </w:r>
          </w:p>
        </w:tc>
        <w:tc>
          <w:tcPr>
            <w:tcW w:type="dxa" w:w="1694"/>
            <w:vAlign w:val="top"/>
            <w:tcMar>
              <w:top w:w="80" w:type="dxa"/>
              <w:start w:w="80" w:type="dxa"/>
              <w:bottom w:w="80" w:type="dxa"/>
              <w:end w:w="80" w:type="dxa"/>
            </w:tcMar>
          </w:tcPr>
          <w:p>
            <w:pPr>
              <w:pStyle w:val="TableText"/>
            </w:pPr>
            <w:r>
              <w:t>The refined study used corrected bearing load placement and current constraints. Reported values: 54.95 MPa, SF 2.377, 0.004 in displacement.</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FEA report</w:t>
            </w:r>
          </w:p>
        </w:tc>
      </w:tr>
      <w:tr>
        <w:tc>
          <w:tcPr>
            <w:tcW w:type="dxa" w:w="1694"/>
            <w:vAlign w:val="top"/>
            <w:tcMar>
              <w:top w:w="80" w:type="dxa"/>
              <w:start w:w="80" w:type="dxa"/>
              <w:bottom w:w="80" w:type="dxa"/>
              <w:end w:w="80" w:type="dxa"/>
            </w:tcMar>
          </w:tcPr>
          <w:p>
            <w:pPr>
              <w:pStyle w:val="TableText"/>
            </w:pPr>
            <w:r>
              <w:t>DDL-017</w:t>
            </w:r>
          </w:p>
        </w:tc>
        <w:tc>
          <w:tcPr>
            <w:tcW w:type="dxa" w:w="1694"/>
            <w:vAlign w:val="top"/>
            <w:tcMar>
              <w:top w:w="80" w:type="dxa"/>
              <w:start w:w="80" w:type="dxa"/>
              <w:bottom w:w="80" w:type="dxa"/>
              <w:end w:w="80" w:type="dxa"/>
            </w:tcMar>
          </w:tcPr>
          <w:p>
            <w:pPr>
              <w:pStyle w:val="TableText"/>
            </w:pPr>
            <w:r>
              <w:t>Create individual part drawings</w:t>
            </w:r>
          </w:p>
        </w:tc>
        <w:tc>
          <w:tcPr>
            <w:tcW w:type="dxa" w:w="1694"/>
            <w:vAlign w:val="top"/>
            <w:tcMar>
              <w:top w:w="80" w:type="dxa"/>
              <w:start w:w="80" w:type="dxa"/>
              <w:bottom w:w="80" w:type="dxa"/>
              <w:end w:w="80" w:type="dxa"/>
            </w:tcMar>
          </w:tcPr>
          <w:p>
            <w:pPr>
              <w:pStyle w:val="TableText"/>
            </w:pPr>
            <w:r>
              <w:t>Assembly drawing only</w:t>
            </w:r>
          </w:p>
        </w:tc>
        <w:tc>
          <w:tcPr>
            <w:tcW w:type="dxa" w:w="1694"/>
            <w:vAlign w:val="top"/>
            <w:tcMar>
              <w:top w:w="80" w:type="dxa"/>
              <w:start w:w="80" w:type="dxa"/>
              <w:bottom w:w="80" w:type="dxa"/>
              <w:end w:w="80" w:type="dxa"/>
            </w:tcMar>
          </w:tcPr>
          <w:p>
            <w:pPr>
              <w:pStyle w:val="TableText"/>
            </w:pPr>
            <w:r>
              <w:t>Individual drawings demonstrate manufacturability, part control, dimensions, materials, tolerances, and revision identity.</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Drawing package</w:t>
            </w:r>
          </w:p>
        </w:tc>
      </w:tr>
      <w:tr>
        <w:tc>
          <w:tcPr>
            <w:tcW w:type="dxa" w:w="1694"/>
            <w:vAlign w:val="top"/>
            <w:tcMar>
              <w:top w:w="80" w:type="dxa"/>
              <w:start w:w="80" w:type="dxa"/>
              <w:bottom w:w="80" w:type="dxa"/>
              <w:end w:w="80" w:type="dxa"/>
            </w:tcMar>
          </w:tcPr>
          <w:p>
            <w:pPr>
              <w:pStyle w:val="TableText"/>
            </w:pPr>
            <w:r>
              <w:t>DDL-018</w:t>
            </w:r>
          </w:p>
        </w:tc>
        <w:tc>
          <w:tcPr>
            <w:tcW w:type="dxa" w:w="1694"/>
            <w:vAlign w:val="top"/>
            <w:tcMar>
              <w:top w:w="80" w:type="dxa"/>
              <w:start w:w="80" w:type="dxa"/>
              <w:bottom w:w="80" w:type="dxa"/>
              <w:end w:w="80" w:type="dxa"/>
            </w:tcMar>
          </w:tcPr>
          <w:p>
            <w:pPr>
              <w:pStyle w:val="TableText"/>
            </w:pPr>
            <w:r>
              <w:t>Assign sequential TITAN part numbers</w:t>
            </w:r>
          </w:p>
        </w:tc>
        <w:tc>
          <w:tcPr>
            <w:tcW w:type="dxa" w:w="1694"/>
            <w:vAlign w:val="top"/>
            <w:tcMar>
              <w:top w:w="80" w:type="dxa"/>
              <w:start w:w="80" w:type="dxa"/>
              <w:bottom w:w="80" w:type="dxa"/>
              <w:end w:w="80" w:type="dxa"/>
            </w:tcMar>
          </w:tcPr>
          <w:p>
            <w:pPr>
              <w:pStyle w:val="TableText"/>
            </w:pPr>
            <w:r>
              <w:t>File names only</w:t>
            </w:r>
          </w:p>
        </w:tc>
        <w:tc>
          <w:tcPr>
            <w:tcW w:type="dxa" w:w="1694"/>
            <w:vAlign w:val="top"/>
            <w:tcMar>
              <w:top w:w="80" w:type="dxa"/>
              <w:start w:w="80" w:type="dxa"/>
              <w:bottom w:w="80" w:type="dxa"/>
              <w:end w:w="80" w:type="dxa"/>
            </w:tcMar>
          </w:tcPr>
          <w:p>
            <w:pPr>
              <w:pStyle w:val="TableText"/>
            </w:pPr>
            <w:r>
              <w:t>Part numbers improve configuration control, BOM clarity, and drawing traceability.</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Drawing package</w:t>
            </w:r>
          </w:p>
        </w:tc>
      </w:tr>
      <w:tr>
        <w:tc>
          <w:tcPr>
            <w:tcW w:type="dxa" w:w="1694"/>
            <w:vAlign w:val="top"/>
            <w:tcMar>
              <w:top w:w="80" w:type="dxa"/>
              <w:start w:w="80" w:type="dxa"/>
              <w:bottom w:w="80" w:type="dxa"/>
              <w:end w:w="80" w:type="dxa"/>
            </w:tcMar>
          </w:tcPr>
          <w:p>
            <w:pPr>
              <w:pStyle w:val="TableText"/>
            </w:pPr>
            <w:r>
              <w:t>DDL-019</w:t>
            </w:r>
          </w:p>
        </w:tc>
        <w:tc>
          <w:tcPr>
            <w:tcW w:type="dxa" w:w="1694"/>
            <w:vAlign w:val="top"/>
            <w:tcMar>
              <w:top w:w="80" w:type="dxa"/>
              <w:start w:w="80" w:type="dxa"/>
              <w:bottom w:w="80" w:type="dxa"/>
              <w:end w:w="80" w:type="dxa"/>
            </w:tcMar>
          </w:tcPr>
          <w:p>
            <w:pPr>
              <w:pStyle w:val="TableText"/>
            </w:pPr>
            <w:r>
              <w:t>Treat bearings as COTS concept components</w:t>
            </w:r>
          </w:p>
        </w:tc>
        <w:tc>
          <w:tcPr>
            <w:tcW w:type="dxa" w:w="1694"/>
            <w:vAlign w:val="top"/>
            <w:tcMar>
              <w:top w:w="80" w:type="dxa"/>
              <w:start w:w="80" w:type="dxa"/>
              <w:bottom w:w="80" w:type="dxa"/>
              <w:end w:w="80" w:type="dxa"/>
            </w:tcMar>
          </w:tcPr>
          <w:p>
            <w:pPr>
              <w:pStyle w:val="TableText"/>
            </w:pPr>
            <w:r>
              <w:t>Custom-manufacture bearings</w:t>
            </w:r>
          </w:p>
        </w:tc>
        <w:tc>
          <w:tcPr>
            <w:tcW w:type="dxa" w:w="1694"/>
            <w:vAlign w:val="top"/>
            <w:tcMar>
              <w:top w:w="80" w:type="dxa"/>
              <w:start w:w="80" w:type="dxa"/>
              <w:bottom w:w="80" w:type="dxa"/>
              <w:end w:w="80" w:type="dxa"/>
            </w:tcMar>
          </w:tcPr>
          <w:p>
            <w:pPr>
              <w:pStyle w:val="TableText"/>
            </w:pPr>
            <w:r>
              <w:t>Commercial bearings reduce manufacturing scope and are appropriate for the intended architecture. Final supplier selection remains open.</w:t>
            </w:r>
          </w:p>
        </w:tc>
        <w:tc>
          <w:tcPr>
            <w:tcW w:type="dxa" w:w="1694"/>
            <w:vAlign w:val="top"/>
            <w:tcMar>
              <w:top w:w="80" w:type="dxa"/>
              <w:start w:w="80" w:type="dxa"/>
              <w:bottom w:w="80" w:type="dxa"/>
              <w:end w:w="80" w:type="dxa"/>
            </w:tcMar>
          </w:tcPr>
          <w:p>
            <w:pPr>
              <w:pStyle w:val="TableText"/>
            </w:pPr>
            <w:r>
              <w:t>Conditional</w:t>
            </w:r>
          </w:p>
        </w:tc>
        <w:tc>
          <w:tcPr>
            <w:tcW w:type="dxa" w:w="1694"/>
            <w:vAlign w:val="top"/>
            <w:tcMar>
              <w:top w:w="80" w:type="dxa"/>
              <w:start w:w="80" w:type="dxa"/>
              <w:bottom w:w="80" w:type="dxa"/>
              <w:end w:w="80" w:type="dxa"/>
            </w:tcMar>
          </w:tcPr>
          <w:p>
            <w:pPr>
              <w:pStyle w:val="TableText"/>
            </w:pPr>
            <w:r>
              <w:t>MFG future</w:t>
            </w:r>
          </w:p>
        </w:tc>
      </w:tr>
      <w:tr>
        <w:tc>
          <w:tcPr>
            <w:tcW w:type="dxa" w:w="1694"/>
            <w:vAlign w:val="top"/>
            <w:tcMar>
              <w:top w:w="80" w:type="dxa"/>
              <w:start w:w="80" w:type="dxa"/>
              <w:bottom w:w="80" w:type="dxa"/>
              <w:end w:w="80" w:type="dxa"/>
            </w:tcMar>
          </w:tcPr>
          <w:p>
            <w:pPr>
              <w:pStyle w:val="TableText"/>
            </w:pPr>
            <w:r>
              <w:t>DDL-020</w:t>
            </w:r>
          </w:p>
        </w:tc>
        <w:tc>
          <w:tcPr>
            <w:tcW w:type="dxa" w:w="1694"/>
            <w:vAlign w:val="top"/>
            <w:tcMar>
              <w:top w:w="80" w:type="dxa"/>
              <w:start w:w="80" w:type="dxa"/>
              <w:bottom w:w="80" w:type="dxa"/>
              <w:end w:w="80" w:type="dxa"/>
            </w:tcMar>
          </w:tcPr>
          <w:p>
            <w:pPr>
              <w:pStyle w:val="TableText"/>
            </w:pPr>
            <w:r>
              <w:t>Keep the project explicitly educational and non-clinical</w:t>
            </w:r>
          </w:p>
        </w:tc>
        <w:tc>
          <w:tcPr>
            <w:tcW w:type="dxa" w:w="1694"/>
            <w:vAlign w:val="top"/>
            <w:tcMar>
              <w:top w:w="80" w:type="dxa"/>
              <w:start w:w="80" w:type="dxa"/>
              <w:bottom w:w="80" w:type="dxa"/>
              <w:end w:w="80" w:type="dxa"/>
            </w:tcMar>
          </w:tcPr>
          <w:p>
            <w:pPr>
              <w:pStyle w:val="TableText"/>
            </w:pPr>
            <w:r>
              <w:t>Present as a finished medical device</w:t>
            </w:r>
          </w:p>
        </w:tc>
        <w:tc>
          <w:tcPr>
            <w:tcW w:type="dxa" w:w="1694"/>
            <w:vAlign w:val="top"/>
            <w:tcMar>
              <w:top w:w="80" w:type="dxa"/>
              <w:start w:w="80" w:type="dxa"/>
              <w:bottom w:w="80" w:type="dxa"/>
              <w:end w:w="80" w:type="dxa"/>
            </w:tcMar>
          </w:tcPr>
          <w:p>
            <w:pPr>
              <w:pStyle w:val="TableText"/>
            </w:pPr>
            <w:r>
              <w:t>The design lacks prototype, fatigue, human-factors, biocompatibility, and clinical evidence. Clear scope prevents unsupported claims.</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All documents</w:t>
            </w:r>
          </w:p>
        </w:tc>
      </w:tr>
      <w:tr>
        <w:tc>
          <w:tcPr>
            <w:tcW w:type="dxa" w:w="1694"/>
            <w:vAlign w:val="top"/>
            <w:tcMar>
              <w:top w:w="80" w:type="dxa"/>
              <w:start w:w="80" w:type="dxa"/>
              <w:bottom w:w="80" w:type="dxa"/>
              <w:end w:w="80" w:type="dxa"/>
            </w:tcMar>
          </w:tcPr>
          <w:p>
            <w:pPr>
              <w:pStyle w:val="TableText"/>
            </w:pPr>
            <w:r>
              <w:t>DDL-021</w:t>
            </w:r>
          </w:p>
        </w:tc>
        <w:tc>
          <w:tcPr>
            <w:tcW w:type="dxa" w:w="1694"/>
            <w:vAlign w:val="top"/>
            <w:tcMar>
              <w:top w:w="80" w:type="dxa"/>
              <w:start w:w="80" w:type="dxa"/>
              <w:bottom w:w="80" w:type="dxa"/>
              <w:end w:w="80" w:type="dxa"/>
            </w:tcMar>
          </w:tcPr>
          <w:p>
            <w:pPr>
              <w:pStyle w:val="TableText"/>
            </w:pPr>
            <w:r>
              <w:t>Defer GD&amp;T until it can be applied correctly</w:t>
            </w:r>
          </w:p>
        </w:tc>
        <w:tc>
          <w:tcPr>
            <w:tcW w:type="dxa" w:w="1694"/>
            <w:vAlign w:val="top"/>
            <w:tcMar>
              <w:top w:w="80" w:type="dxa"/>
              <w:start w:w="80" w:type="dxa"/>
              <w:bottom w:w="80" w:type="dxa"/>
              <w:end w:w="80" w:type="dxa"/>
            </w:tcMar>
          </w:tcPr>
          <w:p>
            <w:pPr>
              <w:pStyle w:val="TableText"/>
            </w:pPr>
            <w:r>
              <w:t>Add decorative GD&amp;T callouts</w:t>
            </w:r>
          </w:p>
        </w:tc>
        <w:tc>
          <w:tcPr>
            <w:tcW w:type="dxa" w:w="1694"/>
            <w:vAlign w:val="top"/>
            <w:tcMar>
              <w:top w:w="80" w:type="dxa"/>
              <w:start w:w="80" w:type="dxa"/>
              <w:bottom w:w="80" w:type="dxa"/>
              <w:end w:w="80" w:type="dxa"/>
            </w:tcMar>
          </w:tcPr>
          <w:p>
            <w:pPr>
              <w:pStyle w:val="TableText"/>
            </w:pPr>
            <w:r>
              <w:t>Incorrect GD&amp;T would reduce credibility. Datum schemes and functional tolerances will be added after fit and inspection requirements are defined.</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MFG future</w:t>
            </w:r>
          </w:p>
        </w:tc>
      </w:tr>
      <w:tr>
        <w:tc>
          <w:tcPr>
            <w:tcW w:type="dxa" w:w="1694"/>
            <w:vAlign w:val="top"/>
            <w:tcMar>
              <w:top w:w="80" w:type="dxa"/>
              <w:start w:w="80" w:type="dxa"/>
              <w:bottom w:w="80" w:type="dxa"/>
              <w:end w:w="80" w:type="dxa"/>
            </w:tcMar>
          </w:tcPr>
          <w:p>
            <w:pPr>
              <w:pStyle w:val="TableText"/>
            </w:pPr>
            <w:r>
              <w:t>DDL-022</w:t>
            </w:r>
          </w:p>
        </w:tc>
        <w:tc>
          <w:tcPr>
            <w:tcW w:type="dxa" w:w="1694"/>
            <w:vAlign w:val="top"/>
            <w:tcMar>
              <w:top w:w="80" w:type="dxa"/>
              <w:start w:w="80" w:type="dxa"/>
              <w:bottom w:w="80" w:type="dxa"/>
              <w:end w:w="80" w:type="dxa"/>
            </w:tcMar>
          </w:tcPr>
          <w:p>
            <w:pPr>
              <w:pStyle w:val="TableText"/>
            </w:pPr>
            <w:r>
              <w:t>Defer powered actuation and sensors to V3</w:t>
            </w:r>
          </w:p>
        </w:tc>
        <w:tc>
          <w:tcPr>
            <w:tcW w:type="dxa" w:w="1694"/>
            <w:vAlign w:val="top"/>
            <w:tcMar>
              <w:top w:w="80" w:type="dxa"/>
              <w:start w:w="80" w:type="dxa"/>
              <w:bottom w:w="80" w:type="dxa"/>
              <w:end w:w="80" w:type="dxa"/>
            </w:tcMar>
          </w:tcPr>
          <w:p>
            <w:pPr>
              <w:pStyle w:val="TableText"/>
            </w:pPr>
            <w:r>
              <w:t>Add motor/electronics to baseline</w:t>
            </w:r>
          </w:p>
        </w:tc>
        <w:tc>
          <w:tcPr>
            <w:tcW w:type="dxa" w:w="1694"/>
            <w:vAlign w:val="top"/>
            <w:tcMar>
              <w:top w:w="80" w:type="dxa"/>
              <w:start w:w="80" w:type="dxa"/>
              <w:bottom w:w="80" w:type="dxa"/>
              <w:end w:w="80" w:type="dxa"/>
            </w:tcMar>
          </w:tcPr>
          <w:p>
            <w:pPr>
              <w:pStyle w:val="TableText"/>
            </w:pPr>
            <w:r>
              <w:t>A mechanical-first baseline isolates structural learning and avoids expanding scope before the hinge is physically validated.</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Roadmap</w:t>
            </w:r>
          </w:p>
        </w:tc>
      </w:tr>
      <w:tr>
        <w:tc>
          <w:tcPr>
            <w:tcW w:type="dxa" w:w="1694"/>
            <w:vAlign w:val="top"/>
            <w:tcMar>
              <w:top w:w="80" w:type="dxa"/>
              <w:start w:w="80" w:type="dxa"/>
              <w:bottom w:w="80" w:type="dxa"/>
              <w:end w:w="80" w:type="dxa"/>
            </w:tcMar>
          </w:tcPr>
          <w:p>
            <w:pPr>
              <w:pStyle w:val="TableText"/>
            </w:pPr>
            <w:r>
              <w:t>DDL-023</w:t>
            </w:r>
          </w:p>
        </w:tc>
        <w:tc>
          <w:tcPr>
            <w:tcW w:type="dxa" w:w="1694"/>
            <w:vAlign w:val="top"/>
            <w:tcMar>
              <w:top w:w="80" w:type="dxa"/>
              <w:start w:w="80" w:type="dxa"/>
              <w:bottom w:w="80" w:type="dxa"/>
              <w:end w:w="80" w:type="dxa"/>
            </w:tcMar>
          </w:tcPr>
          <w:p>
            <w:pPr>
              <w:pStyle w:val="TableText"/>
            </w:pPr>
            <w:r>
              <w:t>Revisit shaft material before physical V2</w:t>
            </w:r>
          </w:p>
        </w:tc>
        <w:tc>
          <w:tcPr>
            <w:tcW w:type="dxa" w:w="1694"/>
            <w:vAlign w:val="top"/>
            <w:tcMar>
              <w:top w:w="80" w:type="dxa"/>
              <w:start w:w="80" w:type="dxa"/>
              <w:bottom w:w="80" w:type="dxa"/>
              <w:end w:w="80" w:type="dxa"/>
            </w:tcMar>
          </w:tcPr>
          <w:p>
            <w:pPr>
              <w:pStyle w:val="TableText"/>
            </w:pPr>
            <w:r>
              <w:t>Retain aluminum without review</w:t>
            </w:r>
          </w:p>
        </w:tc>
        <w:tc>
          <w:tcPr>
            <w:tcW w:type="dxa" w:w="1694"/>
            <w:vAlign w:val="top"/>
            <w:tcMar>
              <w:top w:w="80" w:type="dxa"/>
              <w:start w:w="80" w:type="dxa"/>
              <w:bottom w:w="80" w:type="dxa"/>
              <w:end w:w="80" w:type="dxa"/>
            </w:tcMar>
          </w:tcPr>
          <w:p>
            <w:pPr>
              <w:pStyle w:val="TableText"/>
            </w:pPr>
            <w:r>
              <w:t>Bearing wear and shaft surface hardness may make stainless or hardened steel preferable for a functional prototype.</w:t>
            </w:r>
          </w:p>
        </w:tc>
        <w:tc>
          <w:tcPr>
            <w:tcW w:type="dxa" w:w="1694"/>
            <w:vAlign w:val="top"/>
            <w:tcMar>
              <w:top w:w="80" w:type="dxa"/>
              <w:start w:w="80" w:type="dxa"/>
              <w:bottom w:w="80" w:type="dxa"/>
              <w:end w:w="80" w:type="dxa"/>
            </w:tcMar>
          </w:tcPr>
          <w:p>
            <w:pPr>
              <w:pStyle w:val="TableText"/>
            </w:pPr>
            <w:r>
              <w:t>Open</w:t>
            </w:r>
          </w:p>
        </w:tc>
        <w:tc>
          <w:tcPr>
            <w:tcW w:type="dxa" w:w="1694"/>
            <w:vAlign w:val="top"/>
            <w:tcMar>
              <w:top w:w="80" w:type="dxa"/>
              <w:start w:w="80" w:type="dxa"/>
              <w:bottom w:w="80" w:type="dxa"/>
              <w:end w:w="80" w:type="dxa"/>
            </w:tcMar>
          </w:tcPr>
          <w:p>
            <w:pPr>
              <w:pStyle w:val="TableText"/>
            </w:pPr>
            <w:r>
              <w:t>MAT/RSK</w:t>
            </w:r>
          </w:p>
        </w:tc>
      </w:tr>
      <w:tr>
        <w:tc>
          <w:tcPr>
            <w:tcW w:type="dxa" w:w="1694"/>
            <w:vAlign w:val="top"/>
            <w:tcMar>
              <w:top w:w="80" w:type="dxa"/>
              <w:start w:w="80" w:type="dxa"/>
              <w:bottom w:w="80" w:type="dxa"/>
              <w:end w:w="80" w:type="dxa"/>
            </w:tcMar>
          </w:tcPr>
          <w:p>
            <w:pPr>
              <w:pStyle w:val="TableText"/>
            </w:pPr>
            <w:r>
              <w:t>DDL-024</w:t>
            </w:r>
          </w:p>
        </w:tc>
        <w:tc>
          <w:tcPr>
            <w:tcW w:type="dxa" w:w="1694"/>
            <w:vAlign w:val="top"/>
            <w:tcMar>
              <w:top w:w="80" w:type="dxa"/>
              <w:start w:w="80" w:type="dxa"/>
              <w:bottom w:w="80" w:type="dxa"/>
              <w:end w:w="80" w:type="dxa"/>
            </w:tcMar>
          </w:tcPr>
          <w:p>
            <w:pPr>
              <w:pStyle w:val="TableText"/>
            </w:pPr>
            <w:r>
              <w:t>Require physical validation before wearable testing</w:t>
            </w:r>
          </w:p>
        </w:tc>
        <w:tc>
          <w:tcPr>
            <w:tcW w:type="dxa" w:w="1694"/>
            <w:vAlign w:val="top"/>
            <w:tcMar>
              <w:top w:w="80" w:type="dxa"/>
              <w:start w:w="80" w:type="dxa"/>
              <w:bottom w:w="80" w:type="dxa"/>
              <w:end w:w="80" w:type="dxa"/>
            </w:tcMar>
          </w:tcPr>
          <w:p>
            <w:pPr>
              <w:pStyle w:val="TableText"/>
            </w:pPr>
            <w:r>
              <w:t>Proceed directly to human testing</w:t>
            </w:r>
          </w:p>
        </w:tc>
        <w:tc>
          <w:tcPr>
            <w:tcW w:type="dxa" w:w="1694"/>
            <w:vAlign w:val="top"/>
            <w:tcMar>
              <w:top w:w="80" w:type="dxa"/>
              <w:start w:w="80" w:type="dxa"/>
              <w:bottom w:w="80" w:type="dxa"/>
              <w:end w:w="80" w:type="dxa"/>
            </w:tcMar>
          </w:tcPr>
          <w:p>
            <w:pPr>
              <w:pStyle w:val="TableText"/>
            </w:pPr>
            <w:r>
              <w:t>FEA alone cannot validate contacts, fatigue, wear, assembly error, or misuse. Benchtop testing is required first.</w:t>
            </w:r>
          </w:p>
        </w:tc>
        <w:tc>
          <w:tcPr>
            <w:tcW w:type="dxa" w:w="1694"/>
            <w:vAlign w:val="top"/>
            <w:tcMar>
              <w:top w:w="80" w:type="dxa"/>
              <w:start w:w="80" w:type="dxa"/>
              <w:bottom w:w="80" w:type="dxa"/>
              <w:end w:w="80" w:type="dxa"/>
            </w:tcMar>
          </w:tcPr>
          <w:p>
            <w:pPr>
              <w:pStyle w:val="TableText"/>
            </w:pPr>
            <w:r>
              <w:t>Released</w:t>
            </w:r>
          </w:p>
        </w:tc>
        <w:tc>
          <w:tcPr>
            <w:tcW w:type="dxa" w:w="1694"/>
            <w:vAlign w:val="top"/>
            <w:tcMar>
              <w:top w:w="80" w:type="dxa"/>
              <w:start w:w="80" w:type="dxa"/>
              <w:bottom w:w="80" w:type="dxa"/>
              <w:end w:w="80" w:type="dxa"/>
            </w:tcMar>
          </w:tcPr>
          <w:p>
            <w:pPr>
              <w:pStyle w:val="TableText"/>
            </w:pPr>
            <w:r>
              <w:t>RSK/PRO future</w:t>
            </w:r>
          </w:p>
        </w:tc>
      </w:tr>
    </w:tbl>
    <w:p>
      <w:pPr>
        <w:pStyle w:val="Heading1"/>
      </w:pPr>
      <w:r>
        <w:t>4. Key Decisions Requiring Revisit Before Prototype V2</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Mar>
              <w:top w:w="80" w:type="dxa"/>
              <w:start w:w="80" w:type="dxa"/>
              <w:bottom w:w="80" w:type="dxa"/>
              <w:end w:w="80" w:type="dxa"/>
            </w:tcMar>
          </w:tcPr>
          <w:p>
            <w:r>
              <w:rPr>
                <w:b/>
                <w:color w:val="FFFFFF"/>
                <w:sz w:val="16"/>
              </w:rPr>
              <w:t>Decision</w:t>
            </w:r>
          </w:p>
        </w:tc>
        <w:tc>
          <w:tcPr>
            <w:tcW w:type="dxa" w:w="3389"/>
            <w:shd w:fill="17365D"/>
            <w:vAlign w:val="center"/>
            <w:tcMar>
              <w:top w:w="80" w:type="dxa"/>
              <w:start w:w="80" w:type="dxa"/>
              <w:bottom w:w="80" w:type="dxa"/>
              <w:end w:w="80" w:type="dxa"/>
            </w:tcMar>
          </w:tcPr>
          <w:p>
            <w:r>
              <w:rPr>
                <w:b/>
                <w:color w:val="FFFFFF"/>
                <w:sz w:val="16"/>
              </w:rPr>
              <w:t>Reason for Revisit</w:t>
            </w:r>
          </w:p>
        </w:tc>
        <w:tc>
          <w:tcPr>
            <w:tcW w:type="dxa" w:w="3389"/>
            <w:shd w:fill="17365D"/>
            <w:vAlign w:val="center"/>
            <w:tcMar>
              <w:top w:w="80" w:type="dxa"/>
              <w:start w:w="80" w:type="dxa"/>
              <w:bottom w:w="80" w:type="dxa"/>
              <w:end w:w="80" w:type="dxa"/>
            </w:tcMar>
          </w:tcPr>
          <w:p>
            <w:r>
              <w:rPr>
                <w:b/>
                <w:color w:val="FFFFFF"/>
                <w:sz w:val="16"/>
              </w:rPr>
              <w:t>Required Evidence</w:t>
            </w:r>
          </w:p>
        </w:tc>
      </w:tr>
      <w:tr>
        <w:tc>
          <w:tcPr>
            <w:tcW w:type="dxa" w:w="3389"/>
            <w:vAlign w:val="top"/>
            <w:tcMar>
              <w:top w:w="80" w:type="dxa"/>
              <w:start w:w="80" w:type="dxa"/>
              <w:bottom w:w="80" w:type="dxa"/>
              <w:end w:w="80" w:type="dxa"/>
            </w:tcMar>
          </w:tcPr>
          <w:p>
            <w:pPr>
              <w:pStyle w:val="TableText"/>
            </w:pPr>
            <w:r>
              <w:t>Main shaft material and finish</w:t>
            </w:r>
          </w:p>
        </w:tc>
        <w:tc>
          <w:tcPr>
            <w:tcW w:type="dxa" w:w="3389"/>
            <w:vAlign w:val="top"/>
            <w:tcMar>
              <w:top w:w="80" w:type="dxa"/>
              <w:start w:w="80" w:type="dxa"/>
              <w:bottom w:w="80" w:type="dxa"/>
              <w:end w:w="80" w:type="dxa"/>
            </w:tcMar>
          </w:tcPr>
          <w:p>
            <w:pPr>
              <w:pStyle w:val="TableText"/>
            </w:pPr>
            <w:r>
              <w:t>Current aluminum baseline may be weak in wear and surface hardness</w:t>
            </w:r>
          </w:p>
        </w:tc>
        <w:tc>
          <w:tcPr>
            <w:tcW w:type="dxa" w:w="3389"/>
            <w:vAlign w:val="top"/>
            <w:tcMar>
              <w:top w:w="80" w:type="dxa"/>
              <w:start w:w="80" w:type="dxa"/>
              <w:bottom w:w="80" w:type="dxa"/>
              <w:end w:w="80" w:type="dxa"/>
            </w:tcMar>
          </w:tcPr>
          <w:p>
            <w:pPr>
              <w:pStyle w:val="TableText"/>
            </w:pPr>
            <w:r>
              <w:t>Bending calculation, bearing-interface review, material trade</w:t>
            </w:r>
          </w:p>
        </w:tc>
      </w:tr>
      <w:tr>
        <w:tc>
          <w:tcPr>
            <w:tcW w:type="dxa" w:w="3389"/>
            <w:vAlign w:val="top"/>
            <w:tcMar>
              <w:top w:w="80" w:type="dxa"/>
              <w:start w:w="80" w:type="dxa"/>
              <w:bottom w:w="80" w:type="dxa"/>
              <w:end w:w="80" w:type="dxa"/>
            </w:tcMar>
          </w:tcPr>
          <w:p>
            <w:pPr>
              <w:pStyle w:val="TableText"/>
            </w:pPr>
            <w:r>
              <w:t>Bearing retention and fits</w:t>
            </w:r>
          </w:p>
        </w:tc>
        <w:tc>
          <w:tcPr>
            <w:tcW w:type="dxa" w:w="3389"/>
            <w:vAlign w:val="top"/>
            <w:tcMar>
              <w:top w:w="80" w:type="dxa"/>
              <w:start w:w="80" w:type="dxa"/>
              <w:bottom w:w="80" w:type="dxa"/>
              <w:end w:w="80" w:type="dxa"/>
            </w:tcMar>
          </w:tcPr>
          <w:p>
            <w:pPr>
              <w:pStyle w:val="TableText"/>
            </w:pPr>
            <w:r>
              <w:t>Current assembly does not release a production retention method</w:t>
            </w:r>
          </w:p>
        </w:tc>
        <w:tc>
          <w:tcPr>
            <w:tcW w:type="dxa" w:w="3389"/>
            <w:vAlign w:val="top"/>
            <w:tcMar>
              <w:top w:w="80" w:type="dxa"/>
              <w:start w:w="80" w:type="dxa"/>
              <w:bottom w:w="80" w:type="dxa"/>
              <w:end w:w="80" w:type="dxa"/>
            </w:tcMar>
          </w:tcPr>
          <w:p>
            <w:pPr>
              <w:pStyle w:val="TableText"/>
            </w:pPr>
            <w:r>
              <w:t>Tolerance/fit study, supplier data, prototype pull-out test</w:t>
            </w:r>
          </w:p>
        </w:tc>
      </w:tr>
      <w:tr>
        <w:tc>
          <w:tcPr>
            <w:tcW w:type="dxa" w:w="3389"/>
            <w:vAlign w:val="top"/>
            <w:tcMar>
              <w:top w:w="80" w:type="dxa"/>
              <w:start w:w="80" w:type="dxa"/>
              <w:bottom w:w="80" w:type="dxa"/>
              <w:end w:w="80" w:type="dxa"/>
            </w:tcMar>
          </w:tcPr>
          <w:p>
            <w:pPr>
              <w:pStyle w:val="TableText"/>
            </w:pPr>
            <w:r>
              <w:t>Fastener selection</w:t>
            </w:r>
          </w:p>
        </w:tc>
        <w:tc>
          <w:tcPr>
            <w:tcW w:type="dxa" w:w="3389"/>
            <w:vAlign w:val="top"/>
            <w:tcMar>
              <w:top w:w="80" w:type="dxa"/>
              <w:start w:w="80" w:type="dxa"/>
              <w:bottom w:w="80" w:type="dxa"/>
              <w:end w:w="80" w:type="dxa"/>
            </w:tcMar>
          </w:tcPr>
          <w:p>
            <w:pPr>
              <w:pStyle w:val="TableText"/>
            </w:pPr>
            <w:r>
              <w:t>Current rigid joints are CAD abstractions</w:t>
            </w:r>
          </w:p>
        </w:tc>
        <w:tc>
          <w:tcPr>
            <w:tcW w:type="dxa" w:w="3389"/>
            <w:vAlign w:val="top"/>
            <w:tcMar>
              <w:top w:w="80" w:type="dxa"/>
              <w:start w:w="80" w:type="dxa"/>
              <w:bottom w:w="80" w:type="dxa"/>
              <w:end w:w="80" w:type="dxa"/>
            </w:tcMar>
          </w:tcPr>
          <w:p>
            <w:pPr>
              <w:pStyle w:val="TableText"/>
            </w:pPr>
            <w:r>
              <w:t>Fastener grade, size, torque, thread engagement, locking method</w:t>
            </w:r>
          </w:p>
        </w:tc>
      </w:tr>
      <w:tr>
        <w:tc>
          <w:tcPr>
            <w:tcW w:type="dxa" w:w="3389"/>
            <w:vAlign w:val="top"/>
            <w:tcMar>
              <w:top w:w="80" w:type="dxa"/>
              <w:start w:w="80" w:type="dxa"/>
              <w:bottom w:w="80" w:type="dxa"/>
              <w:end w:w="80" w:type="dxa"/>
            </w:tcMar>
          </w:tcPr>
          <w:p>
            <w:pPr>
              <w:pStyle w:val="TableText"/>
            </w:pPr>
            <w:r>
              <w:t>Side-plate geometry</w:t>
            </w:r>
          </w:p>
        </w:tc>
        <w:tc>
          <w:tcPr>
            <w:tcW w:type="dxa" w:w="3389"/>
            <w:vAlign w:val="top"/>
            <w:tcMar>
              <w:top w:w="80" w:type="dxa"/>
              <w:start w:w="80" w:type="dxa"/>
              <w:bottom w:w="80" w:type="dxa"/>
              <w:end w:w="80" w:type="dxa"/>
            </w:tcMar>
          </w:tcPr>
          <w:p>
            <w:pPr>
              <w:pStyle w:val="TableText"/>
            </w:pPr>
            <w:r>
              <w:t>Static pass does not establish fatigue or weight optimum</w:t>
            </w:r>
          </w:p>
        </w:tc>
        <w:tc>
          <w:tcPr>
            <w:tcW w:type="dxa" w:w="3389"/>
            <w:vAlign w:val="top"/>
            <w:tcMar>
              <w:top w:w="80" w:type="dxa"/>
              <w:start w:w="80" w:type="dxa"/>
              <w:bottom w:w="80" w:type="dxa"/>
              <w:end w:w="80" w:type="dxa"/>
            </w:tcMar>
          </w:tcPr>
          <w:p>
            <w:pPr>
              <w:pStyle w:val="TableText"/>
            </w:pPr>
            <w:r>
              <w:t>Fatigue analysis, topology study, physical strain/deflection data</w:t>
            </w:r>
          </w:p>
        </w:tc>
      </w:tr>
      <w:tr>
        <w:tc>
          <w:tcPr>
            <w:tcW w:type="dxa" w:w="3389"/>
            <w:vAlign w:val="top"/>
            <w:tcMar>
              <w:top w:w="80" w:type="dxa"/>
              <w:start w:w="80" w:type="dxa"/>
              <w:bottom w:w="80" w:type="dxa"/>
              <w:end w:w="80" w:type="dxa"/>
            </w:tcMar>
          </w:tcPr>
          <w:p>
            <w:pPr>
              <w:pStyle w:val="TableText"/>
            </w:pPr>
            <w:r>
              <w:t>Mechanical range of motion and hard stop</w:t>
            </w:r>
          </w:p>
        </w:tc>
        <w:tc>
          <w:tcPr>
            <w:tcW w:type="dxa" w:w="3389"/>
            <w:vAlign w:val="top"/>
            <w:tcMar>
              <w:top w:w="80" w:type="dxa"/>
              <w:start w:w="80" w:type="dxa"/>
              <w:bottom w:w="80" w:type="dxa"/>
              <w:end w:w="80" w:type="dxa"/>
            </w:tcMar>
          </w:tcPr>
          <w:p>
            <w:pPr>
              <w:pStyle w:val="TableText"/>
            </w:pPr>
            <w:r>
              <w:t>Current baseline lacks validated ROM limit</w:t>
            </w:r>
          </w:p>
        </w:tc>
        <w:tc>
          <w:tcPr>
            <w:tcW w:type="dxa" w:w="3389"/>
            <w:vAlign w:val="top"/>
            <w:tcMar>
              <w:top w:w="80" w:type="dxa"/>
              <w:start w:w="80" w:type="dxa"/>
              <w:bottom w:w="80" w:type="dxa"/>
              <w:end w:w="80" w:type="dxa"/>
            </w:tcMar>
          </w:tcPr>
          <w:p>
            <w:pPr>
              <w:pStyle w:val="TableText"/>
            </w:pPr>
            <w:r>
              <w:t>Kinematic requirement, collision review, hard-stop design and test</w:t>
            </w:r>
          </w:p>
        </w:tc>
      </w:tr>
    </w:tbl>
    <w:p>
      <w:pPr>
        <w:pStyle w:val="Heading1"/>
      </w:pPr>
      <w:r>
        <w:t>5. Design Decision Template for Future Entries</w:t>
      </w:r>
    </w:p>
    <w:tbl>
      <w:tblPr>
        <w:tblStyle w:val="TableGrid"/>
        <w:tblW w:type="auto" w:w="0"/>
        <w:jc w:val="center"/>
        <w:tblLook w:firstColumn="1" w:firstRow="1" w:lastColumn="0" w:lastRow="0" w:noHBand="0" w:noVBand="1" w:val="04A0"/>
      </w:tblPr>
      <w:tblGrid>
        <w:gridCol w:w="10166"/>
      </w:tblGrid>
      <w:tr>
        <w:tc>
          <w:tcPr>
            <w:tcW w:type="dxa" w:w="10166"/>
            <w:shd w:fill="D9EAF7"/>
            <w:tcMar>
              <w:top w:w="140" w:type="dxa"/>
              <w:start w:w="140" w:type="dxa"/>
              <w:bottom w:w="140" w:type="dxa"/>
              <w:end w:w="140" w:type="dxa"/>
            </w:tcMar>
          </w:tcPr>
          <w:p>
            <w:r>
              <w:rPr>
                <w:b/>
                <w:color w:val="17365D"/>
              </w:rPr>
              <w:t>Required Entry Fields</w:t>
              <w:br/>
            </w:r>
            <w:r>
              <w:t>Decision ID; date; problem statement; alternatives; criteria; selected option; rationale; supporting evidence; affected documents/parts; risks; verification action; approval/status.</w:t>
            </w:r>
          </w:p>
        </w:tc>
      </w:tr>
    </w:tbl>
    <w:p>
      <w:pPr>
        <w:pStyle w:val="Heading1"/>
      </w:pPr>
      <w:r>
        <w:t>6. Decision Quality Review</w:t>
      </w:r>
    </w:p>
    <w:p>
      <w:r>
        <w:t>The baseline decisions show a coherent mechanical-first development strategy. The strongest decisions are those directly supported by completed evidence: modular CAD, component drawings, FEA workflow, refined static results, and material baseline. The weakest or most conditional decisions concern production fits, shaft material, fasteners, dynamic loading, fatigue, and human use because those areas do not yet have calculations or physical test evidence.</w:t>
      </w:r>
    </w:p>
    <w:p>
      <w:pPr>
        <w:pStyle w:val="Heading1"/>
      </w:pPr>
      <w:r>
        <w:t>7. Conclusion</w:t>
      </w:r>
    </w:p>
    <w:p>
      <w:r>
        <w:t>The design decision log converts the project history into a traceable engineering narrative. It demonstrates that Project TITAN evolved through packaging constraints, assembly troubleshooting, simulation setup correction, and documentation improvements. Future revisions should record decisions prospectively and link each entry to drawings, calculations, risks, tests, and change requests.</w:t>
      </w:r>
    </w:p>
    <w:p>
      <w:pPr>
        <w:pStyle w:val="Heading1"/>
      </w:pPr>
      <w:r>
        <w:t>References</w:t>
      </w:r>
    </w:p>
    <w:p>
      <w:r>
        <w:t>Project TITAN Engineering Design Report, July 2026.</w:t>
      </w:r>
    </w:p>
    <w:p>
      <w:r>
        <w:t>TITAN-PRD-001, Product Requirements Document, Revision B.</w:t>
      </w:r>
    </w:p>
    <w:p>
      <w:r>
        <w:t>TITAN-SYS-001, System Architecture Document, Revision A.</w:t>
      </w:r>
    </w:p>
    <w:p>
      <w:r>
        <w:t>TITAN-MAT-001, Material Trade Study, Revision A.</w:t>
      </w:r>
    </w:p>
    <w:p>
      <w:r>
        <w:t>TITAN-RSK-001, Educational Risk Analysis, Revision 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Educational engineering documentation - not for clinical use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PROJECT TITAN  |  TITAN-DDL-001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