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PROJECT TITAN</w:t>
      </w:r>
    </w:p>
    <w:p>
      <w:pPr>
        <w:jc w:val="center"/>
      </w:pPr>
      <w:r>
        <w:rPr>
          <w:b/>
          <w:sz w:val="40"/>
        </w:rPr>
        <w:t>Product Requirements Document</w:t>
      </w:r>
    </w:p>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Document Number</w:t>
            </w:r>
          </w:p>
        </w:tc>
        <w:tc>
          <w:tcPr>
            <w:tcW w:type="dxa" w:w="5112"/>
          </w:tcPr>
          <w:p>
            <w:r>
              <w:t>TITAN-PRD-001</w:t>
            </w:r>
          </w:p>
        </w:tc>
      </w:tr>
      <w:tr>
        <w:tc>
          <w:tcPr>
            <w:tcW w:type="dxa" w:w="5112"/>
            <w:shd w:fill="D9EAF7"/>
          </w:tcPr>
          <w:p>
            <w:r>
              <w:rPr>
                <w:b/>
              </w:rPr>
              <w:t>Revision</w:t>
            </w:r>
          </w:p>
        </w:tc>
        <w:tc>
          <w:tcPr>
            <w:tcW w:type="dxa" w:w="5112"/>
          </w:tcPr>
          <w:p>
            <w:r>
              <w:t>B</w:t>
            </w:r>
          </w:p>
        </w:tc>
      </w:tr>
      <w:tr>
        <w:tc>
          <w:tcPr>
            <w:tcW w:type="dxa" w:w="5112"/>
            <w:shd w:fill="D9EAF7"/>
          </w:tcPr>
          <w:p>
            <w:r>
              <w:rPr>
                <w:b/>
              </w:rPr>
              <w:t>Author</w:t>
            </w:r>
          </w:p>
        </w:tc>
        <w:tc>
          <w:tcPr>
            <w:tcW w:type="dxa" w:w="5112"/>
          </w:tcPr>
          <w:p>
            <w:r>
              <w:t>Michael Lozada-Longog</w:t>
            </w:r>
          </w:p>
        </w:tc>
      </w:tr>
      <w:tr>
        <w:tc>
          <w:tcPr>
            <w:tcW w:type="dxa" w:w="5112"/>
            <w:shd w:fill="D9EAF7"/>
          </w:tcPr>
          <w:p>
            <w:r>
              <w:rPr>
                <w:b/>
              </w:rPr>
              <w:t>Date</w:t>
            </w:r>
          </w:p>
        </w:tc>
        <w:tc>
          <w:tcPr>
            <w:tcW w:type="dxa" w:w="5112"/>
          </w:tcPr>
          <w:p>
            <w:r>
              <w:t>July 2026</w:t>
            </w:r>
          </w:p>
        </w:tc>
      </w:tr>
      <w:tr>
        <w:tc>
          <w:tcPr>
            <w:tcW w:type="dxa" w:w="5112"/>
            <w:shd w:fill="D9EAF7"/>
          </w:tcPr>
          <w:p>
            <w:r>
              <w:rPr>
                <w:b/>
              </w:rPr>
              <w:t>Status</w:t>
            </w:r>
          </w:p>
        </w:tc>
        <w:tc>
          <w:tcPr>
            <w:tcW w:type="dxa" w:w="5112"/>
          </w:tcPr>
          <w:p>
            <w:r>
              <w:t>Released - Educational Engineering Project</w:t>
            </w:r>
          </w:p>
        </w:tc>
      </w:tr>
    </w:tbl>
    <w:p/>
    <w:p>
      <w:pPr>
        <w:jc w:val="center"/>
      </w:pPr>
      <w:r>
        <w:rPr>
          <w:b/>
          <w:color w:val="C00000"/>
        </w:rPr>
        <w:t>EDUCATIONAL USE NOTICE</w:t>
      </w:r>
    </w:p>
    <w:p>
      <w:pPr>
        <w:jc w:val="center"/>
      </w:pPr>
      <w:r>
        <w:t>Project TITAN is an educational engineering design project. It is not a clinical device, regulatory submission, or product approved for human use.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Pr>
                <w:b/>
                <w:color w:val="FFFFFF"/>
              </w:rPr>
              <w:t>Revision</w:t>
            </w:r>
          </w:p>
        </w:tc>
        <w:tc>
          <w:tcPr>
            <w:tcW w:type="dxa" w:w="2556"/>
            <w:shd w:fill="17365D"/>
          </w:tcPr>
          <w:p>
            <w:r>
              <w:rPr>
                <w:b/>
                <w:color w:val="FFFFFF"/>
              </w:rPr>
              <w:t>Date</w:t>
            </w:r>
          </w:p>
        </w:tc>
        <w:tc>
          <w:tcPr>
            <w:tcW w:type="dxa" w:w="2556"/>
            <w:shd w:fill="17365D"/>
          </w:tcPr>
          <w:p>
            <w:r>
              <w:rPr>
                <w:b/>
                <w:color w:val="FFFFFF"/>
              </w:rPr>
              <w:t>Description</w:t>
            </w:r>
          </w:p>
        </w:tc>
        <w:tc>
          <w:tcPr>
            <w:tcW w:type="dxa" w:w="2556"/>
            <w:shd w:fill="17365D"/>
          </w:tcPr>
          <w:p>
            <w:r>
              <w:rPr>
                <w:b/>
                <w:color w:val="FFFFFF"/>
              </w:rPr>
              <w:t>Author</w:t>
            </w:r>
          </w:p>
        </w:tc>
      </w:tr>
      <w:tr>
        <w:tc>
          <w:tcPr>
            <w:tcW w:type="dxa" w:w="2556"/>
          </w:tcPr>
          <w:p>
            <w:r>
              <w:t>A</w:t>
            </w:r>
          </w:p>
        </w:tc>
        <w:tc>
          <w:tcPr>
            <w:tcW w:type="dxa" w:w="2556"/>
          </w:tcPr>
          <w:p>
            <w:r>
              <w:t>July 2026</w:t>
            </w:r>
          </w:p>
        </w:tc>
        <w:tc>
          <w:tcPr>
            <w:tcW w:type="dxa" w:w="2556"/>
          </w:tcPr>
          <w:p>
            <w:r>
              <w:t>Enhanced product requirements baseline with scope, design inputs/outputs, verification links, assumptions, and regulatory-awareness boundaries.</w:t>
            </w:r>
          </w:p>
        </w:tc>
        <w:tc>
          <w:tcPr>
            <w:tcW w:type="dxa" w:w="2556"/>
          </w:tcPr>
          <w:p>
            <w:r>
              <w:t>Michael Lozada-Longog</w:t>
            </w:r>
          </w:p>
        </w:tc>
      </w:tr>
    </w:tbl>
    <w:p>
      <w:pPr>
        <w:pStyle w:val="Heading1"/>
      </w:pPr>
      <w:r>
        <w:t>1. Purpose</w:t>
      </w:r>
    </w:p>
    <w:p>
      <w:r>
        <w:t>This Product Requirements Document establishes the baseline design intent, measurable requirements, constraints, assumptions, and verification approach for the Project TITAN mechanical support assembly. All later TITAN documents should trace their decisions and evidence to this baseline.</w:t>
      </w:r>
    </w:p>
    <w:p>
      <w:pPr>
        <w:pStyle w:val="Heading1"/>
      </w:pPr>
      <w:r>
        <w:t>2. Project Scope</w:t>
      </w:r>
    </w:p>
    <w:p>
      <w:pPr>
        <w:pStyle w:val="Heading2"/>
      </w:pPr>
      <w:r>
        <w:t>2.1 Included</w:t>
      </w:r>
    </w:p>
    <w:p>
      <w:pPr>
        <w:pStyle w:val="ListBullet"/>
      </w:pPr>
      <w:r>
        <w:t>Parametric mechanical CAD assembly</w:t>
      </w:r>
    </w:p>
    <w:p>
      <w:pPr>
        <w:pStyle w:val="ListBullet"/>
      </w:pPr>
      <w:r>
        <w:t>Static structural finite element analysis</w:t>
      </w:r>
    </w:p>
    <w:p>
      <w:pPr>
        <w:pStyle w:val="ListBullet"/>
      </w:pPr>
      <w:r>
        <w:t>Engineering drawings and bill of materials</w:t>
      </w:r>
    </w:p>
    <w:p>
      <w:pPr>
        <w:pStyle w:val="ListBullet"/>
      </w:pPr>
      <w:r>
        <w:t>Material selection and manufacturing planning</w:t>
      </w:r>
    </w:p>
    <w:p>
      <w:pPr>
        <w:pStyle w:val="ListBullet"/>
      </w:pPr>
      <w:r>
        <w:t>Educational risk analysis and prototype planning</w:t>
      </w:r>
    </w:p>
    <w:p>
      <w:pPr>
        <w:pStyle w:val="Heading2"/>
      </w:pPr>
      <w:r>
        <w:t>2.2 Excluded</w:t>
      </w:r>
    </w:p>
    <w:p>
      <w:pPr>
        <w:pStyle w:val="ListBullet"/>
      </w:pPr>
      <w:r>
        <w:t>Human-subject testing or clinical claims</w:t>
      </w:r>
    </w:p>
    <w:p>
      <w:pPr>
        <w:pStyle w:val="ListBullet"/>
      </w:pPr>
      <w:r>
        <w:t>FDA submission or ISO certification</w:t>
      </w:r>
    </w:p>
    <w:p>
      <w:pPr>
        <w:pStyle w:val="ListBullet"/>
      </w:pPr>
      <w:r>
        <w:t>Dynamic gait, fatigue, biocompatibility, and long-term wear validation</w:t>
      </w:r>
    </w:p>
    <w:p>
      <w:pPr>
        <w:pStyle w:val="ListBullet"/>
      </w:pPr>
      <w:r>
        <w:t>Commercial production release</w:t>
      </w:r>
    </w:p>
    <w:p>
      <w:pPr>
        <w:pStyle w:val="Heading1"/>
      </w:pPr>
      <w:r>
        <w:t>3. System Context</w:t>
      </w:r>
    </w:p>
    <w:p>
      <w:r>
        <w:t>User need -&gt; requirements -&gt; architecture -&gt; CAD/design outputs -&gt; analytical and FEA verification -&gt; manufacturing documentation -&gt; future prototype and physical testing.</w:t>
      </w:r>
    </w:p>
    <w:p>
      <w:pPr>
        <w:pStyle w:val="Heading1"/>
      </w:pPr>
      <w:r>
        <w:t>4. Design Inputs and Outputs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Pr>
                <w:b/>
                <w:color w:val="FFFFFF"/>
              </w:rPr>
              <w:t>Design Input</w:t>
            </w:r>
          </w:p>
        </w:tc>
        <w:tc>
          <w:tcPr>
            <w:tcW w:type="dxa" w:w="3408"/>
            <w:shd w:fill="17365D"/>
          </w:tcPr>
          <w:p>
            <w:r>
              <w:rPr>
                <w:b/>
                <w:color w:val="FFFFFF"/>
              </w:rPr>
              <w:t>Design Output</w:t>
            </w:r>
          </w:p>
        </w:tc>
        <w:tc>
          <w:tcPr>
            <w:tcW w:type="dxa" w:w="3408"/>
            <w:shd w:fill="17365D"/>
          </w:tcPr>
          <w:p>
            <w:r>
              <w:rPr>
                <w:b/>
                <w:color w:val="FFFFFF"/>
              </w:rPr>
              <w:t>Current Evidence</w:t>
            </w:r>
          </w:p>
        </w:tc>
      </w:tr>
      <w:tr>
        <w:tc>
          <w:tcPr>
            <w:tcW w:type="dxa" w:w="3408"/>
            <w:vAlign w:val="center"/>
          </w:tcPr>
          <w:p>
            <w:r>
              <w:t>Support radial loading through a bearing-supported shaft</w:t>
            </w:r>
          </w:p>
        </w:tc>
        <w:tc>
          <w:tcPr>
            <w:tcW w:type="dxa" w:w="3408"/>
            <w:vAlign w:val="center"/>
          </w:tcPr>
          <w:p>
            <w:r>
              <w:t>Two-bearing shaft subassembly integrated between structural plates</w:t>
            </w:r>
          </w:p>
        </w:tc>
        <w:tc>
          <w:tcPr>
            <w:tcW w:type="dxa" w:w="3408"/>
            <w:vAlign w:val="center"/>
          </w:tcPr>
          <w:p>
            <w:r>
              <w:t>Fusion 360 assembly and load setup</w:t>
            </w:r>
          </w:p>
        </w:tc>
      </w:tr>
      <w:tr>
        <w:tc>
          <w:tcPr>
            <w:tcW w:type="dxa" w:w="3408"/>
            <w:vAlign w:val="center"/>
          </w:tcPr>
          <w:p>
            <w:r>
              <w:t>Minimum static safety factor &gt;= 2.0</w:t>
            </w:r>
          </w:p>
        </w:tc>
        <w:tc>
          <w:tcPr>
            <w:tcW w:type="dxa" w:w="3408"/>
            <w:vAlign w:val="center"/>
          </w:tcPr>
          <w:p>
            <w:r>
              <w:t>FEA result set</w:t>
            </w:r>
          </w:p>
        </w:tc>
        <w:tc>
          <w:tcPr>
            <w:tcW w:type="dxa" w:w="3408"/>
            <w:vAlign w:val="center"/>
          </w:tcPr>
          <w:p>
            <w:r>
              <w:t>Minimum reported safety factor 2.377</w:t>
            </w:r>
          </w:p>
        </w:tc>
      </w:tr>
      <w:tr>
        <w:tc>
          <w:tcPr>
            <w:tcW w:type="dxa" w:w="3408"/>
            <w:vAlign w:val="center"/>
          </w:tcPr>
          <w:p>
            <w:r>
              <w:t>Controlled deformation under static load</w:t>
            </w:r>
          </w:p>
        </w:tc>
        <w:tc>
          <w:tcPr>
            <w:tcW w:type="dxa" w:w="3408"/>
            <w:vAlign w:val="center"/>
          </w:tcPr>
          <w:p>
            <w:r>
              <w:t>Stiff plate/frame assembly</w:t>
            </w:r>
          </w:p>
        </w:tc>
        <w:tc>
          <w:tcPr>
            <w:tcW w:type="dxa" w:w="3408"/>
            <w:vAlign w:val="center"/>
          </w:tcPr>
          <w:p>
            <w:r>
              <w:t>Maximum reported displacement 0.004 in</w:t>
            </w:r>
          </w:p>
        </w:tc>
      </w:tr>
      <w:tr>
        <w:tc>
          <w:tcPr>
            <w:tcW w:type="dxa" w:w="3408"/>
            <w:vAlign w:val="center"/>
          </w:tcPr>
          <w:p>
            <w:r>
              <w:t>Manufacturable custom parts</w:t>
            </w:r>
          </w:p>
        </w:tc>
        <w:tc>
          <w:tcPr>
            <w:tcW w:type="dxa" w:w="3408"/>
            <w:vAlign w:val="center"/>
          </w:tcPr>
          <w:p>
            <w:r>
              <w:t>Dimensioned part drawings</w:t>
            </w:r>
          </w:p>
        </w:tc>
        <w:tc>
          <w:tcPr>
            <w:tcW w:type="dxa" w:w="3408"/>
            <w:vAlign w:val="center"/>
          </w:tcPr>
          <w:p>
            <w:r>
              <w:t>Completed drawing package</w:t>
            </w:r>
          </w:p>
        </w:tc>
      </w:tr>
      <w:tr>
        <w:tc>
          <w:tcPr>
            <w:tcW w:type="dxa" w:w="3408"/>
            <w:vAlign w:val="center"/>
          </w:tcPr>
          <w:p>
            <w:r>
              <w:t>Modular and serviceable construction</w:t>
            </w:r>
          </w:p>
        </w:tc>
        <w:tc>
          <w:tcPr>
            <w:tcW w:type="dxa" w:w="3408"/>
            <w:vAlign w:val="center"/>
          </w:tcPr>
          <w:p>
            <w:r>
              <w:t>Separate plates, frames, shaft, bearings, and spacers</w:t>
            </w:r>
          </w:p>
        </w:tc>
        <w:tc>
          <w:tcPr>
            <w:tcW w:type="dxa" w:w="3408"/>
            <w:vAlign w:val="center"/>
          </w:tcPr>
          <w:p>
            <w:r>
              <w:t>Exploded assembly and component tree</w:t>
            </w:r>
          </w:p>
        </w:tc>
      </w:tr>
      <w:tr>
        <w:tc>
          <w:tcPr>
            <w:tcW w:type="dxa" w:w="3408"/>
            <w:vAlign w:val="center"/>
          </w:tcPr>
          <w:p>
            <w:r>
              <w:t>Corrosion-resistant lightweight baseline</w:t>
            </w:r>
          </w:p>
        </w:tc>
        <w:tc>
          <w:tcPr>
            <w:tcW w:type="dxa" w:w="3408"/>
            <w:vAlign w:val="center"/>
          </w:tcPr>
          <w:p>
            <w:r>
              <w:t>6061-T6 aluminum design intent</w:t>
            </w:r>
          </w:p>
        </w:tc>
        <w:tc>
          <w:tcPr>
            <w:tcW w:type="dxa" w:w="3408"/>
            <w:vAlign w:val="center"/>
          </w:tcPr>
          <w:p>
            <w:r>
              <w:t>Material trade study; Fusion material assignment requires final audit</w:t>
            </w:r>
          </w:p>
        </w:tc>
      </w:tr>
    </w:tbl>
    <w:p>
      <w:pPr>
        <w:pStyle w:val="Heading1"/>
      </w:pPr>
      <w:r>
        <w:t>5.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Pr>
                <w:b/>
                <w:color w:val="FFFFFF"/>
              </w:rPr>
              <w:t>ID</w:t>
            </w:r>
          </w:p>
        </w:tc>
        <w:tc>
          <w:tcPr>
            <w:tcW w:type="dxa" w:w="2556"/>
            <w:shd w:fill="17365D"/>
          </w:tcPr>
          <w:p>
            <w:r>
              <w:rPr>
                <w:b/>
                <w:color w:val="FFFFFF"/>
              </w:rPr>
              <w:t>Requirement</w:t>
            </w:r>
          </w:p>
        </w:tc>
        <w:tc>
          <w:tcPr>
            <w:tcW w:type="dxa" w:w="2556"/>
            <w:shd w:fill="17365D"/>
          </w:tcPr>
          <w:p>
            <w:r>
              <w:rPr>
                <w:b/>
                <w:color w:val="FFFFFF"/>
              </w:rPr>
              <w:t>Verification</w:t>
            </w:r>
          </w:p>
        </w:tc>
        <w:tc>
          <w:tcPr>
            <w:tcW w:type="dxa" w:w="2556"/>
            <w:shd w:fill="17365D"/>
          </w:tcPr>
          <w:p>
            <w:r>
              <w:rPr>
                <w:b/>
                <w:color w:val="FFFFFF"/>
              </w:rPr>
              <w:t>Status</w:t>
            </w:r>
          </w:p>
        </w:tc>
      </w:tr>
      <w:tr>
        <w:tc>
          <w:tcPr>
            <w:tcW w:type="dxa" w:w="2556"/>
            <w:vAlign w:val="center"/>
          </w:tcPr>
          <w:p>
            <w:r>
              <w:t>FR-001</w:t>
            </w:r>
          </w:p>
        </w:tc>
        <w:tc>
          <w:tcPr>
            <w:tcW w:type="dxa" w:w="2556"/>
            <w:vAlign w:val="center"/>
          </w:tcPr>
          <w:p>
            <w:r>
              <w:t>Support a rotating shaft using two bearing elements</w:t>
            </w:r>
          </w:p>
        </w:tc>
        <w:tc>
          <w:tcPr>
            <w:tcW w:type="dxa" w:w="2556"/>
            <w:vAlign w:val="center"/>
          </w:tcPr>
          <w:p>
            <w:r>
              <w:t>CAD/assembly inspection</w:t>
            </w:r>
          </w:p>
        </w:tc>
        <w:tc>
          <w:tcPr>
            <w:tcW w:type="dxa" w:w="2556"/>
            <w:vAlign w:val="center"/>
          </w:tcPr>
          <w:p>
            <w:r>
              <w:t>Verified</w:t>
            </w:r>
          </w:p>
        </w:tc>
      </w:tr>
      <w:tr>
        <w:tc>
          <w:tcPr>
            <w:tcW w:type="dxa" w:w="2556"/>
            <w:vAlign w:val="center"/>
          </w:tcPr>
          <w:p>
            <w:r>
              <w:t>FR-002</w:t>
            </w:r>
          </w:p>
        </w:tc>
        <w:tc>
          <w:tcPr>
            <w:tcW w:type="dxa" w:w="2556"/>
            <w:vAlign w:val="center"/>
          </w:tcPr>
          <w:p>
            <w:r>
              <w:t>Maintain an interference-free modular assembly</w:t>
            </w:r>
          </w:p>
        </w:tc>
        <w:tc>
          <w:tcPr>
            <w:tcW w:type="dxa" w:w="2556"/>
            <w:vAlign w:val="center"/>
          </w:tcPr>
          <w:p>
            <w:r>
              <w:t>CAD interference and visual review</w:t>
            </w:r>
          </w:p>
        </w:tc>
        <w:tc>
          <w:tcPr>
            <w:tcW w:type="dxa" w:w="2556"/>
            <w:vAlign w:val="center"/>
          </w:tcPr>
          <w:p>
            <w:r>
              <w:t>Verified</w:t>
            </w:r>
          </w:p>
        </w:tc>
      </w:tr>
      <w:tr>
        <w:tc>
          <w:tcPr>
            <w:tcW w:type="dxa" w:w="2556"/>
            <w:vAlign w:val="center"/>
          </w:tcPr>
          <w:p>
            <w:r>
              <w:t>FR-003</w:t>
            </w:r>
          </w:p>
        </w:tc>
        <w:tc>
          <w:tcPr>
            <w:tcW w:type="dxa" w:w="2556"/>
            <w:vAlign w:val="center"/>
          </w:tcPr>
          <w:p>
            <w:r>
              <w:t>Allow individual structural components to be replaced</w:t>
            </w:r>
          </w:p>
        </w:tc>
        <w:tc>
          <w:tcPr>
            <w:tcW w:type="dxa" w:w="2556"/>
            <w:vAlign w:val="center"/>
          </w:tcPr>
          <w:p>
            <w:r>
              <w:t>Assembly architecture review</w:t>
            </w:r>
          </w:p>
        </w:tc>
        <w:tc>
          <w:tcPr>
            <w:tcW w:type="dxa" w:w="2556"/>
            <w:vAlign w:val="center"/>
          </w:tcPr>
          <w:p>
            <w:r>
              <w:t>Verified by design</w:t>
            </w:r>
          </w:p>
        </w:tc>
      </w:tr>
      <w:tr>
        <w:tc>
          <w:tcPr>
            <w:tcW w:type="dxa" w:w="2556"/>
            <w:vAlign w:val="center"/>
          </w:tcPr>
          <w:p>
            <w:r>
              <w:t>PR-001</w:t>
            </w:r>
          </w:p>
        </w:tc>
        <w:tc>
          <w:tcPr>
            <w:tcW w:type="dxa" w:w="2556"/>
            <w:vAlign w:val="center"/>
          </w:tcPr>
          <w:p>
            <w:r>
              <w:t>Achieve minimum static safety factor &gt;= 2.0 in the defined study</w:t>
            </w:r>
          </w:p>
        </w:tc>
        <w:tc>
          <w:tcPr>
            <w:tcW w:type="dxa" w:w="2556"/>
            <w:vAlign w:val="center"/>
          </w:tcPr>
          <w:p>
            <w:r>
              <w:t>FEA result</w:t>
            </w:r>
          </w:p>
        </w:tc>
        <w:tc>
          <w:tcPr>
            <w:tcW w:type="dxa" w:w="2556"/>
            <w:vAlign w:val="center"/>
          </w:tcPr>
          <w:p>
            <w:r>
              <w:t>Verified: 2.377 reported</w:t>
            </w:r>
          </w:p>
        </w:tc>
      </w:tr>
      <w:tr>
        <w:tc>
          <w:tcPr>
            <w:tcW w:type="dxa" w:w="2556"/>
            <w:vAlign w:val="center"/>
          </w:tcPr>
          <w:p>
            <w:r>
              <w:t>PR-002</w:t>
            </w:r>
          </w:p>
        </w:tc>
        <w:tc>
          <w:tcPr>
            <w:tcW w:type="dxa" w:w="2556"/>
            <w:vAlign w:val="center"/>
          </w:tcPr>
          <w:p>
            <w:r>
              <w:t>Keep maximum equivalent stress below the material model yield limit</w:t>
            </w:r>
          </w:p>
        </w:tc>
        <w:tc>
          <w:tcPr>
            <w:tcW w:type="dxa" w:w="2556"/>
            <w:vAlign w:val="center"/>
          </w:tcPr>
          <w:p>
            <w:r>
              <w:t>FEA result and material audit</w:t>
            </w:r>
          </w:p>
        </w:tc>
        <w:tc>
          <w:tcPr>
            <w:tcW w:type="dxa" w:w="2556"/>
            <w:vAlign w:val="center"/>
          </w:tcPr>
          <w:p>
            <w:r>
              <w:t>Conditionally verified; material assignment audit open</w:t>
            </w:r>
          </w:p>
        </w:tc>
      </w:tr>
      <w:tr>
        <w:tc>
          <w:tcPr>
            <w:tcW w:type="dxa" w:w="2556"/>
            <w:vAlign w:val="center"/>
          </w:tcPr>
          <w:p>
            <w:r>
              <w:t>PR-003</w:t>
            </w:r>
          </w:p>
        </w:tc>
        <w:tc>
          <w:tcPr>
            <w:tcW w:type="dxa" w:w="2556"/>
            <w:vAlign w:val="center"/>
          </w:tcPr>
          <w:p>
            <w:r>
              <w:t>Keep maximum total displacement &lt;= 0.005 in under the defined study</w:t>
            </w:r>
          </w:p>
        </w:tc>
        <w:tc>
          <w:tcPr>
            <w:tcW w:type="dxa" w:w="2556"/>
            <w:vAlign w:val="center"/>
          </w:tcPr>
          <w:p>
            <w:r>
              <w:t>FEA result</w:t>
            </w:r>
          </w:p>
        </w:tc>
        <w:tc>
          <w:tcPr>
            <w:tcW w:type="dxa" w:w="2556"/>
            <w:vAlign w:val="center"/>
          </w:tcPr>
          <w:p>
            <w:r>
              <w:t>Verified: 0.004 in reported</w:t>
            </w:r>
          </w:p>
        </w:tc>
      </w:tr>
      <w:tr>
        <w:tc>
          <w:tcPr>
            <w:tcW w:type="dxa" w:w="2556"/>
            <w:vAlign w:val="center"/>
          </w:tcPr>
          <w:p>
            <w:r>
              <w:t>MR-001</w:t>
            </w:r>
          </w:p>
        </w:tc>
        <w:tc>
          <w:tcPr>
            <w:tcW w:type="dxa" w:w="2556"/>
            <w:vAlign w:val="center"/>
          </w:tcPr>
          <w:p>
            <w:r>
              <w:t>Use conventional CNC milling/turning for custom metal parts</w:t>
            </w:r>
          </w:p>
        </w:tc>
        <w:tc>
          <w:tcPr>
            <w:tcW w:type="dxa" w:w="2556"/>
            <w:vAlign w:val="center"/>
          </w:tcPr>
          <w:p>
            <w:r>
              <w:t>Drawing/manufacturing review</w:t>
            </w:r>
          </w:p>
        </w:tc>
        <w:tc>
          <w:tcPr>
            <w:tcW w:type="dxa" w:w="2556"/>
            <w:vAlign w:val="center"/>
          </w:tcPr>
          <w:p>
            <w:r>
              <w:t>Verified by plan</w:t>
            </w:r>
          </w:p>
        </w:tc>
      </w:tr>
      <w:tr>
        <w:tc>
          <w:tcPr>
            <w:tcW w:type="dxa" w:w="2556"/>
            <w:vAlign w:val="center"/>
          </w:tcPr>
          <w:p>
            <w:r>
              <w:t>MR-002</w:t>
            </w:r>
          </w:p>
        </w:tc>
        <w:tc>
          <w:tcPr>
            <w:tcW w:type="dxa" w:w="2556"/>
            <w:vAlign w:val="center"/>
          </w:tcPr>
          <w:p>
            <w:r>
              <w:t>Use commercially available bearing and hardware elements</w:t>
            </w:r>
          </w:p>
        </w:tc>
        <w:tc>
          <w:tcPr>
            <w:tcW w:type="dxa" w:w="2556"/>
            <w:vAlign w:val="center"/>
          </w:tcPr>
          <w:p>
            <w:r>
              <w:t>BOM review</w:t>
            </w:r>
          </w:p>
        </w:tc>
        <w:tc>
          <w:tcPr>
            <w:tcW w:type="dxa" w:w="2556"/>
            <w:vAlign w:val="center"/>
          </w:tcPr>
          <w:p>
            <w:r>
              <w:t>Verified conceptually</w:t>
            </w:r>
          </w:p>
        </w:tc>
      </w:tr>
      <w:tr>
        <w:tc>
          <w:tcPr>
            <w:tcW w:type="dxa" w:w="2556"/>
            <w:vAlign w:val="center"/>
          </w:tcPr>
          <w:p>
            <w:r>
              <w:t>DR-001</w:t>
            </w:r>
          </w:p>
        </w:tc>
        <w:tc>
          <w:tcPr>
            <w:tcW w:type="dxa" w:w="2556"/>
            <w:vAlign w:val="center"/>
          </w:tcPr>
          <w:p>
            <w:r>
              <w:t>Maintain individual part drawings, assembly evidence, report, and controlled documentation</w:t>
            </w:r>
          </w:p>
        </w:tc>
        <w:tc>
          <w:tcPr>
            <w:tcW w:type="dxa" w:w="2556"/>
            <w:vAlign w:val="center"/>
          </w:tcPr>
          <w:p>
            <w:r>
              <w:t>Document review</w:t>
            </w:r>
          </w:p>
        </w:tc>
        <w:tc>
          <w:tcPr>
            <w:tcW w:type="dxa" w:w="2556"/>
            <w:vAlign w:val="center"/>
          </w:tcPr>
          <w:p>
            <w:r>
              <w:t>Verified</w:t>
            </w:r>
          </w:p>
        </w:tc>
      </w:tr>
      <w:tr>
        <w:tc>
          <w:tcPr>
            <w:tcW w:type="dxa" w:w="2556"/>
            <w:vAlign w:val="center"/>
          </w:tcPr>
          <w:p>
            <w:r>
              <w:t>VR-001</w:t>
            </w:r>
          </w:p>
        </w:tc>
        <w:tc>
          <w:tcPr>
            <w:tcW w:type="dxa" w:w="2556"/>
            <w:vAlign w:val="center"/>
          </w:tcPr>
          <w:p>
            <w:r>
              <w:t>Retain simulation inputs and assumptions with result evidence</w:t>
            </w:r>
          </w:p>
        </w:tc>
        <w:tc>
          <w:tcPr>
            <w:tcW w:type="dxa" w:w="2556"/>
            <w:vAlign w:val="center"/>
          </w:tcPr>
          <w:p>
            <w:r>
              <w:t>FEA documentation review</w:t>
            </w:r>
          </w:p>
        </w:tc>
        <w:tc>
          <w:tcPr>
            <w:tcW w:type="dxa" w:w="2556"/>
            <w:vAlign w:val="center"/>
          </w:tcPr>
          <w:p>
            <w:r>
              <w:t>Verified with screenshots and report</w:t>
            </w:r>
          </w:p>
        </w:tc>
      </w:tr>
    </w:tbl>
    <w:p>
      <w:pPr>
        <w:pStyle w:val="Heading1"/>
      </w:pPr>
      <w:r>
        <w:t>6. Confirmed Baseline Inputs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Pr>
                <w:b/>
                <w:color w:val="FFFFFF"/>
              </w:rPr>
              <w:t>Parameter</w:t>
            </w:r>
          </w:p>
        </w:tc>
        <w:tc>
          <w:tcPr>
            <w:tcW w:type="dxa" w:w="3408"/>
            <w:shd w:fill="17365D"/>
          </w:tcPr>
          <w:p>
            <w:r>
              <w:rPr>
                <w:b/>
                <w:color w:val="FFFFFF"/>
              </w:rPr>
              <w:t>Value</w:t>
            </w:r>
          </w:p>
        </w:tc>
        <w:tc>
          <w:tcPr>
            <w:tcW w:type="dxa" w:w="3408"/>
            <w:shd w:fill="17365D"/>
          </w:tcPr>
          <w:p>
            <w:r>
              <w:rPr>
                <w:b/>
                <w:color w:val="FFFFFF"/>
              </w:rPr>
              <w:t>Basis</w:t>
            </w:r>
          </w:p>
        </w:tc>
      </w:tr>
      <w:tr>
        <w:tc>
          <w:tcPr>
            <w:tcW w:type="dxa" w:w="3408"/>
            <w:vAlign w:val="center"/>
          </w:tcPr>
          <w:p>
            <w:r>
              <w:t>Shaft diameter</w:t>
            </w:r>
          </w:p>
        </w:tc>
        <w:tc>
          <w:tcPr>
            <w:tcW w:type="dxa" w:w="3408"/>
            <w:vAlign w:val="center"/>
          </w:tcPr>
          <w:p>
            <w:r>
              <w:t>10 mm</w:t>
            </w:r>
          </w:p>
        </w:tc>
        <w:tc>
          <w:tcPr>
            <w:tcW w:type="dxa" w:w="3408"/>
            <w:vAlign w:val="center"/>
          </w:tcPr>
          <w:p>
            <w:r>
              <w:t>Main-shaft drawing / Measure tool</w:t>
            </w:r>
          </w:p>
        </w:tc>
      </w:tr>
      <w:tr>
        <w:tc>
          <w:tcPr>
            <w:tcW w:type="dxa" w:w="3408"/>
            <w:vAlign w:val="center"/>
          </w:tcPr>
          <w:p>
            <w:r>
              <w:t>Shaft length</w:t>
            </w:r>
          </w:p>
        </w:tc>
        <w:tc>
          <w:tcPr>
            <w:tcW w:type="dxa" w:w="3408"/>
            <w:vAlign w:val="center"/>
          </w:tcPr>
          <w:p>
            <w:r>
              <w:t>40 mm</w:t>
            </w:r>
          </w:p>
        </w:tc>
        <w:tc>
          <w:tcPr>
            <w:tcW w:type="dxa" w:w="3408"/>
            <w:vAlign w:val="center"/>
          </w:tcPr>
          <w:p>
            <w:r>
              <w:t>Main-shaft drawing</w:t>
            </w:r>
          </w:p>
        </w:tc>
      </w:tr>
      <w:tr>
        <w:tc>
          <w:tcPr>
            <w:tcW w:type="dxa" w:w="3408"/>
            <w:vAlign w:val="center"/>
          </w:tcPr>
          <w:p>
            <w:r>
              <w:t>Bearing center spacing</w:t>
            </w:r>
          </w:p>
        </w:tc>
        <w:tc>
          <w:tcPr>
            <w:tcW w:type="dxa" w:w="3408"/>
            <w:vAlign w:val="center"/>
          </w:tcPr>
          <w:p>
            <w:r>
              <w:t>31 mm</w:t>
            </w:r>
          </w:p>
        </w:tc>
        <w:tc>
          <w:tcPr>
            <w:tcW w:type="dxa" w:w="3408"/>
            <w:vAlign w:val="center"/>
          </w:tcPr>
          <w:p>
            <w:r>
              <w:t>21 mm clear edge gap + two 5 mm radii</w:t>
            </w:r>
          </w:p>
        </w:tc>
      </w:tr>
      <w:tr>
        <w:tc>
          <w:tcPr>
            <w:tcW w:type="dxa" w:w="3408"/>
            <w:vAlign w:val="center"/>
          </w:tcPr>
          <w:p>
            <w:r>
              <w:t>Load per bearing</w:t>
            </w:r>
          </w:p>
        </w:tc>
        <w:tc>
          <w:tcPr>
            <w:tcW w:type="dxa" w:w="3408"/>
            <w:vAlign w:val="center"/>
          </w:tcPr>
          <w:p>
            <w:r>
              <w:t>2,000 N</w:t>
            </w:r>
          </w:p>
        </w:tc>
        <w:tc>
          <w:tcPr>
            <w:tcW w:type="dxa" w:w="3408"/>
            <w:vAlign w:val="center"/>
          </w:tcPr>
          <w:p>
            <w:r>
              <w:t>Fusion bearing-load setup</w:t>
            </w:r>
          </w:p>
        </w:tc>
      </w:tr>
      <w:tr>
        <w:tc>
          <w:tcPr>
            <w:tcW w:type="dxa" w:w="3408"/>
            <w:vAlign w:val="center"/>
          </w:tcPr>
          <w:p>
            <w:r>
              <w:t>Total applied bearing load</w:t>
            </w:r>
          </w:p>
        </w:tc>
        <w:tc>
          <w:tcPr>
            <w:tcW w:type="dxa" w:w="3408"/>
            <w:vAlign w:val="center"/>
          </w:tcPr>
          <w:p>
            <w:r>
              <w:t>4,000 N</w:t>
            </w:r>
          </w:p>
        </w:tc>
        <w:tc>
          <w:tcPr>
            <w:tcW w:type="dxa" w:w="3408"/>
            <w:vAlign w:val="center"/>
          </w:tcPr>
          <w:p>
            <w:r>
              <w:t>Two loads at 2,000 N each</w:t>
            </w:r>
          </w:p>
        </w:tc>
      </w:tr>
      <w:tr>
        <w:tc>
          <w:tcPr>
            <w:tcW w:type="dxa" w:w="3408"/>
            <w:vAlign w:val="center"/>
          </w:tcPr>
          <w:p>
            <w:r>
              <w:t>Side-plate thickness</w:t>
            </w:r>
          </w:p>
        </w:tc>
        <w:tc>
          <w:tcPr>
            <w:tcW w:type="dxa" w:w="3408"/>
            <w:vAlign w:val="center"/>
          </w:tcPr>
          <w:p>
            <w:r>
              <w:t>6 mm</w:t>
            </w:r>
          </w:p>
        </w:tc>
        <w:tc>
          <w:tcPr>
            <w:tcW w:type="dxa" w:w="3408"/>
            <w:vAlign w:val="center"/>
          </w:tcPr>
          <w:p>
            <w:r>
              <w:t>User-confirmed CAD geometry</w:t>
            </w:r>
          </w:p>
        </w:tc>
      </w:tr>
      <w:tr>
        <w:tc>
          <w:tcPr>
            <w:tcW w:type="dxa" w:w="3408"/>
            <w:vAlign w:val="center"/>
          </w:tcPr>
          <w:p>
            <w:r>
              <w:t>Upper/lower frame thickness</w:t>
            </w:r>
          </w:p>
        </w:tc>
        <w:tc>
          <w:tcPr>
            <w:tcW w:type="dxa" w:w="3408"/>
            <w:vAlign w:val="center"/>
          </w:tcPr>
          <w:p>
            <w:r>
              <w:t>6 mm</w:t>
            </w:r>
          </w:p>
        </w:tc>
        <w:tc>
          <w:tcPr>
            <w:tcW w:type="dxa" w:w="3408"/>
            <w:vAlign w:val="center"/>
          </w:tcPr>
          <w:p>
            <w:r>
              <w:t>User-confirmed CAD geometry</w:t>
            </w:r>
          </w:p>
        </w:tc>
      </w:tr>
      <w:tr>
        <w:tc>
          <w:tcPr>
            <w:tcW w:type="dxa" w:w="3408"/>
            <w:vAlign w:val="center"/>
          </w:tcPr>
          <w:p>
            <w:r>
              <w:t>Maximum von Mises stress</w:t>
            </w:r>
          </w:p>
        </w:tc>
        <w:tc>
          <w:tcPr>
            <w:tcW w:type="dxa" w:w="3408"/>
            <w:vAlign w:val="center"/>
          </w:tcPr>
          <w:p>
            <w:r>
              <w:t>54.947 MPa</w:t>
            </w:r>
          </w:p>
        </w:tc>
        <w:tc>
          <w:tcPr>
            <w:tcW w:type="dxa" w:w="3408"/>
            <w:vAlign w:val="center"/>
          </w:tcPr>
          <w:p>
            <w:r>
              <w:t>Latest refined result</w:t>
            </w:r>
          </w:p>
        </w:tc>
      </w:tr>
      <w:tr>
        <w:tc>
          <w:tcPr>
            <w:tcW w:type="dxa" w:w="3408"/>
            <w:vAlign w:val="center"/>
          </w:tcPr>
          <w:p>
            <w:r>
              <w:t>Minimum safety factor</w:t>
            </w:r>
          </w:p>
        </w:tc>
        <w:tc>
          <w:tcPr>
            <w:tcW w:type="dxa" w:w="3408"/>
            <w:vAlign w:val="center"/>
          </w:tcPr>
          <w:p>
            <w:r>
              <w:t>2.377</w:t>
            </w:r>
          </w:p>
        </w:tc>
        <w:tc>
          <w:tcPr>
            <w:tcW w:type="dxa" w:w="3408"/>
            <w:vAlign w:val="center"/>
          </w:tcPr>
          <w:p>
            <w:r>
              <w:t>Latest refined result</w:t>
            </w:r>
          </w:p>
        </w:tc>
      </w:tr>
      <w:tr>
        <w:tc>
          <w:tcPr>
            <w:tcW w:type="dxa" w:w="3408"/>
            <w:vAlign w:val="center"/>
          </w:tcPr>
          <w:p>
            <w:r>
              <w:t>Maximum displacement</w:t>
            </w:r>
          </w:p>
        </w:tc>
        <w:tc>
          <w:tcPr>
            <w:tcW w:type="dxa" w:w="3408"/>
            <w:vAlign w:val="center"/>
          </w:tcPr>
          <w:p>
            <w:r>
              <w:t>0.004 in (0.1016 mm)</w:t>
            </w:r>
          </w:p>
        </w:tc>
        <w:tc>
          <w:tcPr>
            <w:tcW w:type="dxa" w:w="3408"/>
            <w:vAlign w:val="center"/>
          </w:tcPr>
          <w:p>
            <w:r>
              <w:t>Latest refined result</w:t>
            </w:r>
          </w:p>
        </w:tc>
      </w:tr>
    </w:tbl>
    <w:p>
      <w:pPr>
        <w:pStyle w:val="Heading1"/>
      </w:pPr>
      <w:r>
        <w:t>7. Assumptions and Limitations</w:t>
      </w:r>
    </w:p>
    <w:p>
      <w:pPr>
        <w:pStyle w:val="ListBullet"/>
      </w:pPr>
      <w:r>
        <w:t>Static loading only; no fatigue or impact assessment.</w:t>
      </w:r>
    </w:p>
    <w:p>
      <w:pPr>
        <w:pStyle w:val="ListBullet"/>
      </w:pPr>
      <w:r>
        <w:t>Linear-elastic, isotropic material behavior as configured in Fusion.</w:t>
      </w:r>
    </w:p>
    <w:p>
      <w:pPr>
        <w:pStyle w:val="ListBullet"/>
      </w:pPr>
      <w:r>
        <w:t>Idealized contacts, constraints, and bearing-load distribution.</w:t>
      </w:r>
    </w:p>
    <w:p>
      <w:pPr>
        <w:pStyle w:val="ListBullet"/>
      </w:pPr>
      <w:r>
        <w:t>No physical prototype or experimental correlation has been completed.</w:t>
      </w:r>
    </w:p>
    <w:p>
      <w:pPr>
        <w:pStyle w:val="ListBullet"/>
      </w:pPr>
      <w:r>
        <w:t>The reported Fusion safety factor and stated 6061-T6 design intent are not internally consistent until the final material assignment is audited.</w:t>
      </w:r>
    </w:p>
    <w:p>
      <w:pPr>
        <w:pStyle w:val="Heading1"/>
      </w:pPr>
      <w:r>
        <w:t>8. Regulatory Awareness Boundary</w:t>
      </w:r>
    </w:p>
    <w:p>
      <w:r>
        <w:t>Future biomedical development would require formal intended-use definition, risk management, human-factors work, verification/validation, and regulatory pathway evaluation. This project uses design-control-inspired organization only; it does not claim compliance with FDA, ISO 13485, or ISO 14971.</w:t>
      </w:r>
    </w:p>
    <w:p>
      <w:pPr>
        <w:pStyle w:val="Heading1"/>
      </w:pPr>
      <w:r>
        <w:t>9. Acceptance Criteria</w:t>
      </w:r>
    </w:p>
    <w:p>
      <w:r>
        <w:t>Project TITAN V1 is accepted as an educational engineering baseline when the CAD, drawings, FEA, documentation suite, and calculation review are complete; remaining physical-prototype and test activities are explicitly carried as future work.</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Controlled educational copy | Michael Lozada-Longog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PROJECT TITAN | TITAN-PRD-001 | REV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