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PROJECT TITAN</w:t>
      </w:r>
    </w:p>
    <w:p>
      <w:pPr>
        <w:jc w:val="center"/>
      </w:pPr>
      <w:r>
        <w:rPr>
          <w:b/>
          <w:sz w:val="40"/>
        </w:rPr>
        <w:t>Prototype Development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5112"/>
          </w:tcPr>
          <w:p>
            <w:r>
              <w:t>TITAN-PRO-001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5112"/>
          </w:tcPr>
          <w:p>
            <w:r>
              <w:t>A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5112"/>
          </w:tcPr>
          <w:p>
            <w:r>
              <w:t>Michael Lozada-Longog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July 2026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t>Released - Educational Engineering Project</w:t>
            </w:r>
          </w:p>
        </w:tc>
      </w:tr>
    </w:tbl>
    <w:p/>
    <w:p>
      <w:pPr>
        <w:jc w:val="center"/>
      </w:pPr>
      <w:r>
        <w:rPr>
          <w:b/>
          <w:color w:val="C00000"/>
        </w:rPr>
        <w:t>EDUCATIONAL USE NOTICE</w:t>
      </w:r>
    </w:p>
    <w:p>
      <w:pPr>
        <w:jc w:val="center"/>
      </w:pPr>
      <w:r>
        <w:t>Project TITAN is an educational engineering design project. It is not a clinical device, regulatory submission, or product approved for human use.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Revision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556"/>
          </w:tcPr>
          <w:p>
            <w:r>
              <w:t>A</w:t>
            </w:r>
          </w:p>
        </w:tc>
        <w:tc>
          <w:tcPr>
            <w:tcW w:type="dxa" w:w="2556"/>
          </w:tcPr>
          <w:p>
            <w:r>
              <w:t>July 2026</w:t>
            </w:r>
          </w:p>
        </w:tc>
        <w:tc>
          <w:tcPr>
            <w:tcW w:type="dxa" w:w="2556"/>
          </w:tcPr>
          <w:p>
            <w:r>
              <w:t>Initial phased prototype-development plan.</w:t>
            </w:r>
          </w:p>
        </w:tc>
        <w:tc>
          <w:tcPr>
            <w:tcW w:type="dxa" w:w="2556"/>
          </w:tcPr>
          <w:p>
            <w:r>
              <w:t>Michael Lozada-Longog</w:t>
            </w:r>
          </w:p>
        </w:tc>
      </w:tr>
    </w:tbl>
    <w:p>
      <w:pPr>
        <w:pStyle w:val="Heading1"/>
      </w:pPr>
      <w:r>
        <w:t>1. Objective</w:t>
      </w:r>
    </w:p>
    <w:p>
      <w:r>
        <w:t>Define a low-risk progression from digital design to a measurable physical prototype while preventing unsupported wearable or clinical claims.</w:t>
      </w:r>
    </w:p>
    <w:p>
      <w:pPr>
        <w:pStyle w:val="Heading1"/>
      </w:pPr>
      <w:r>
        <w:t>2. Prototype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Build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Exit Criteria</w:t>
            </w:r>
          </w:p>
        </w:tc>
      </w:tr>
      <w:tr>
        <w:tc>
          <w:tcPr>
            <w:tcW w:type="dxa" w:w="2556"/>
            <w:vAlign w:val="center"/>
          </w:tcPr>
          <w:p>
            <w:r>
              <w:t>P0 - Digital baseline</w:t>
            </w:r>
          </w:p>
        </w:tc>
        <w:tc>
          <w:tcPr>
            <w:tcW w:type="dxa" w:w="2556"/>
            <w:vAlign w:val="center"/>
          </w:tcPr>
          <w:p>
            <w:r>
              <w:t>Confirm CAD, documentation, and static analysis</w:t>
            </w:r>
          </w:p>
        </w:tc>
        <w:tc>
          <w:tcPr>
            <w:tcW w:type="dxa" w:w="2556"/>
            <w:vAlign w:val="center"/>
          </w:tcPr>
          <w:p>
            <w:r>
              <w:t>Fusion assembly and controlled document set</w:t>
            </w:r>
          </w:p>
        </w:tc>
        <w:tc>
          <w:tcPr>
            <w:tcW w:type="dxa" w:w="2556"/>
            <w:vAlign w:val="center"/>
          </w:tcPr>
          <w:p>
            <w:r>
              <w:t>V1 documentation released; open issues identified</w:t>
            </w:r>
          </w:p>
        </w:tc>
      </w:tr>
      <w:tr>
        <w:tc>
          <w:tcPr>
            <w:tcW w:type="dxa" w:w="2556"/>
            <w:vAlign w:val="center"/>
          </w:tcPr>
          <w:p>
            <w:r>
              <w:t>P1 - Fit-check prototype</w:t>
            </w:r>
          </w:p>
        </w:tc>
        <w:tc>
          <w:tcPr>
            <w:tcW w:type="dxa" w:w="2556"/>
            <w:vAlign w:val="center"/>
          </w:tcPr>
          <w:p>
            <w:r>
              <w:t>Validate geometry, clearances, and assembly sequence</w:t>
            </w:r>
          </w:p>
        </w:tc>
        <w:tc>
          <w:tcPr>
            <w:tcW w:type="dxa" w:w="2556"/>
            <w:vAlign w:val="center"/>
          </w:tcPr>
          <w:p>
            <w:r>
              <w:t>FDM printed structural parts plus low-cost shaft/bearing substitutes</w:t>
            </w:r>
          </w:p>
        </w:tc>
        <w:tc>
          <w:tcPr>
            <w:tcW w:type="dxa" w:w="2556"/>
            <w:vAlign w:val="center"/>
          </w:tcPr>
          <w:p>
            <w:r>
              <w:t>Assembles without interference; motion observed; change list captured</w:t>
            </w:r>
          </w:p>
        </w:tc>
      </w:tr>
      <w:tr>
        <w:tc>
          <w:tcPr>
            <w:tcW w:type="dxa" w:w="2556"/>
            <w:vAlign w:val="center"/>
          </w:tcPr>
          <w:p>
            <w:r>
              <w:t>P2 - Bench mechanical prototype</w:t>
            </w:r>
          </w:p>
        </w:tc>
        <w:tc>
          <w:tcPr>
            <w:tcW w:type="dxa" w:w="2556"/>
            <w:vAlign w:val="center"/>
          </w:tcPr>
          <w:p>
            <w:r>
              <w:t>Validate real bearings, shaft alignment, and structural assembly</w:t>
            </w:r>
          </w:p>
        </w:tc>
        <w:tc>
          <w:tcPr>
            <w:tcW w:type="dxa" w:w="2556"/>
            <w:vAlign w:val="center"/>
          </w:tcPr>
          <w:p>
            <w:r>
              <w:t>Machined aluminum or hybrid metal/polymer parts; commercial hardware</w:t>
            </w:r>
          </w:p>
        </w:tc>
        <w:tc>
          <w:tcPr>
            <w:tcW w:type="dxa" w:w="2556"/>
            <w:vAlign w:val="center"/>
          </w:tcPr>
          <w:p>
            <w:r>
              <w:t>Dimensional inspection passed; smooth movement; safe bench load test completed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P3 - Instrumented bench concept</w:t>
            </w:r>
          </w:p>
        </w:tc>
        <w:tc>
          <w:tcPr>
            <w:tcW w:type="dxa" w:w="2556"/>
            <w:vAlign w:val="center"/>
          </w:tcPr>
          <w:p>
            <w:r>
              <w:t>Demonstrate sensing only, not clinical function</w:t>
            </w:r>
          </w:p>
        </w:tc>
        <w:tc>
          <w:tcPr>
            <w:tcW w:type="dxa" w:w="2556"/>
            <w:vAlign w:val="center"/>
          </w:tcPr>
          <w:p>
            <w:r>
              <w:t>IMU/encoder/load sensor and data logger</w:t>
            </w:r>
          </w:p>
        </w:tc>
        <w:tc>
          <w:tcPr>
            <w:tcW w:type="dxa" w:w="2556"/>
            <w:vAlign w:val="center"/>
          </w:tcPr>
          <w:p>
            <w:r>
              <w:t>Repeatable angle/load data on a fixture</w:t>
            </w:r>
          </w:p>
        </w:tc>
      </w:tr>
      <w:tr>
        <w:tc>
          <w:tcPr>
            <w:tcW w:type="dxa" w:w="2556"/>
            <w:vAlign w:val="center"/>
          </w:tcPr>
          <w:p>
            <w:r>
              <w:t>P4 - Future biomedical research concept</w:t>
            </w:r>
          </w:p>
        </w:tc>
        <w:tc>
          <w:tcPr>
            <w:tcW w:type="dxa" w:w="2556"/>
            <w:vAlign w:val="center"/>
          </w:tcPr>
          <w:p>
            <w:r>
              <w:t>Explore controlled human-factors questions only after approvals</w:t>
            </w:r>
          </w:p>
        </w:tc>
        <w:tc>
          <w:tcPr>
            <w:tcW w:type="dxa" w:w="2556"/>
            <w:vAlign w:val="center"/>
          </w:tcPr>
          <w:p>
            <w:r>
              <w:t>Redesigned system with safety controls</w:t>
            </w:r>
          </w:p>
        </w:tc>
        <w:tc>
          <w:tcPr>
            <w:tcW w:type="dxa" w:w="2556"/>
            <w:vAlign w:val="center"/>
          </w:tcPr>
          <w:p>
            <w:r>
              <w:t>Separate review, risk assessment, and institutional approval required</w:t>
            </w:r>
          </w:p>
        </w:tc>
      </w:tr>
    </w:tbl>
    <w:p>
      <w:pPr>
        <w:pStyle w:val="Heading1"/>
      </w:pPr>
      <w:r>
        <w:t>3. P1 Build Plan</w:t>
      </w:r>
    </w:p>
    <w:p>
      <w:pPr>
        <w:pStyle w:val="ListNumber"/>
      </w:pPr>
      <w:r>
        <w:t>Export current components as STL with consistent orientation.</w:t>
      </w:r>
    </w:p>
    <w:p>
      <w:pPr>
        <w:pStyle w:val="ListNumber"/>
      </w:pPr>
      <w:r>
        <w:t>Print plates/frames using a strong, dimensionally stable material and adequate wall count.</w:t>
      </w:r>
    </w:p>
    <w:p>
      <w:pPr>
        <w:pStyle w:val="ListNumber"/>
      </w:pPr>
      <w:r>
        <w:t>Use purchased bearings only if the printed bore fit is controlled; otherwise use printed bushings for fit checks.</w:t>
      </w:r>
    </w:p>
    <w:p>
      <w:pPr>
        <w:pStyle w:val="ListNumber"/>
      </w:pPr>
      <w:r>
        <w:t>Record every interference, gap, and difficult assembly step.</w:t>
      </w:r>
    </w:p>
    <w:p>
      <w:pPr>
        <w:pStyle w:val="ListNumber"/>
      </w:pPr>
      <w:r>
        <w:t>Update CAD and drawings before proceeding to metal.</w:t>
      </w:r>
    </w:p>
    <w:p>
      <w:pPr>
        <w:pStyle w:val="Heading1"/>
      </w:pPr>
      <w:r>
        <w:t>4. P2 Bench 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</w:rPr>
              <w:t>Preliminary acceptance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Dimensional inspection</w:t>
            </w:r>
          </w:p>
        </w:tc>
        <w:tc>
          <w:tcPr>
            <w:tcW w:type="dxa" w:w="3408"/>
            <w:vAlign w:val="center"/>
          </w:tcPr>
          <w:p>
            <w:r>
              <w:t>Caliper/micrometer/bore gauges</w:t>
            </w:r>
          </w:p>
        </w:tc>
        <w:tc>
          <w:tcPr>
            <w:tcW w:type="dxa" w:w="3408"/>
            <w:vAlign w:val="center"/>
          </w:tcPr>
          <w:p>
            <w:r>
              <w:t>Critical dimensions within released tolerances</w:t>
            </w:r>
          </w:p>
        </w:tc>
      </w:tr>
      <w:tr>
        <w:tc>
          <w:tcPr>
            <w:tcW w:type="dxa" w:w="3408"/>
            <w:vAlign w:val="center"/>
          </w:tcPr>
          <w:p>
            <w:r>
              <w:t>Rotation/kinematics</w:t>
            </w:r>
          </w:p>
        </w:tc>
        <w:tc>
          <w:tcPr>
            <w:tcW w:type="dxa" w:w="3408"/>
            <w:vAlign w:val="center"/>
          </w:tcPr>
          <w:p>
            <w:r>
              <w:t>Manual movement through intended range</w:t>
            </w:r>
          </w:p>
        </w:tc>
        <w:tc>
          <w:tcPr>
            <w:tcW w:type="dxa" w:w="3408"/>
            <w:vAlign w:val="center"/>
          </w:tcPr>
          <w:p>
            <w:r>
              <w:t>No binding, scraping, or uncontrolled looseness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Static deflection</w:t>
            </w:r>
          </w:p>
        </w:tc>
        <w:tc>
          <w:tcPr>
            <w:tcW w:type="dxa" w:w="3408"/>
            <w:vAlign w:val="center"/>
          </w:tcPr>
          <w:p>
            <w:r>
              <w:t>Fixture assembly; apply incremental load below test limit</w:t>
            </w:r>
          </w:p>
        </w:tc>
        <w:tc>
          <w:tcPr>
            <w:tcW w:type="dxa" w:w="3408"/>
            <w:vAlign w:val="center"/>
          </w:tcPr>
          <w:p>
            <w:r>
              <w:t>No permanent deformation; measured deflection recorded</w:t>
            </w:r>
          </w:p>
        </w:tc>
      </w:tr>
      <w:tr>
        <w:tc>
          <w:tcPr>
            <w:tcW w:type="dxa" w:w="3408"/>
            <w:vAlign w:val="center"/>
          </w:tcPr>
          <w:p>
            <w:r>
              <w:t>Fastener retention</w:t>
            </w:r>
          </w:p>
        </w:tc>
        <w:tc>
          <w:tcPr>
            <w:tcW w:type="dxa" w:w="3408"/>
            <w:vAlign w:val="center"/>
          </w:tcPr>
          <w:p>
            <w:r>
              <w:t>Torque and witness-mark review</w:t>
            </w:r>
          </w:p>
        </w:tc>
        <w:tc>
          <w:tcPr>
            <w:tcW w:type="dxa" w:w="3408"/>
            <w:vAlign w:val="center"/>
          </w:tcPr>
          <w:p>
            <w:r>
              <w:t>No loosening during bench cycling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Post-test inspection</w:t>
            </w:r>
          </w:p>
        </w:tc>
        <w:tc>
          <w:tcPr>
            <w:tcW w:type="dxa" w:w="3408"/>
            <w:vAlign w:val="center"/>
          </w:tcPr>
          <w:p>
            <w:r>
              <w:t>Visual and dimensional comparison</w:t>
            </w:r>
          </w:p>
        </w:tc>
        <w:tc>
          <w:tcPr>
            <w:tcW w:type="dxa" w:w="3408"/>
            <w:vAlign w:val="center"/>
          </w:tcPr>
          <w:p>
            <w:r>
              <w:t>No cracks, yielding, or bearing migration</w:t>
            </w:r>
          </w:p>
        </w:tc>
      </w:tr>
    </w:tbl>
    <w:p>
      <w:pPr>
        <w:pStyle w:val="Heading1"/>
      </w:pPr>
      <w:r>
        <w:t>5. Safety Boundaries</w:t>
      </w:r>
    </w:p>
    <w:p>
      <w:pPr>
        <w:pStyle w:val="ListBullet"/>
      </w:pPr>
      <w:r>
        <w:t>No human wear or clinical evaluation in P0-P2.</w:t>
      </w:r>
    </w:p>
    <w:p>
      <w:pPr>
        <w:pStyle w:val="ListBullet"/>
      </w:pPr>
      <w:r>
        <w:t>Use guards and remote loading during bench tests.</w:t>
      </w:r>
    </w:p>
    <w:p>
      <w:pPr>
        <w:pStyle w:val="ListBullet"/>
      </w:pPr>
      <w:r>
        <w:t>Define proof-load limits before testing.</w:t>
      </w:r>
    </w:p>
    <w:p>
      <w:pPr>
        <w:pStyle w:val="ListBullet"/>
      </w:pPr>
      <w:r>
        <w:t>Stop testing upon visible damage, unusual noise, or unexpected displacement.</w:t>
      </w:r>
    </w:p>
    <w:p>
      <w:pPr>
        <w:pStyle w:val="ListBullet"/>
      </w:pPr>
      <w:r>
        <w:t>Document deviations and failed tests; do not hide them.</w:t>
      </w:r>
    </w:p>
    <w:p>
      <w:pPr>
        <w:pStyle w:val="Heading1"/>
      </w:pPr>
      <w:r>
        <w:t>6. Required Future Artifacts</w:t>
      </w:r>
    </w:p>
    <w:p>
      <w:r>
        <w:t>Prototype BOM, build traveler, inspection sheet, test protocol, raw data, photographs, deviation log, and test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educational copy | Michael Lozada-Longog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PROJECT TITAN | TITAN-PRO-001 | REV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