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56"/>
        </w:rPr>
        <w:t>PROJECT TITAN</w:t>
      </w:r>
    </w:p>
    <w:p>
      <w:pPr>
        <w:jc w:val="center"/>
      </w:pPr>
      <w:r>
        <w:rPr>
          <w:b/>
          <w:sz w:val="40"/>
        </w:rPr>
        <w:t>Requirements Traceability Matrix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Number</w:t>
            </w:r>
          </w:p>
        </w:tc>
        <w:tc>
          <w:tcPr>
            <w:tcW w:type="dxa" w:w="5112"/>
          </w:tcPr>
          <w:p>
            <w:r>
              <w:t>TITAN-RTM-001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Revision</w:t>
            </w:r>
          </w:p>
        </w:tc>
        <w:tc>
          <w:tcPr>
            <w:tcW w:type="dxa" w:w="5112"/>
          </w:tcPr>
          <w:p>
            <w:r>
              <w:t>A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Author</w:t>
            </w:r>
          </w:p>
        </w:tc>
        <w:tc>
          <w:tcPr>
            <w:tcW w:type="dxa" w:w="5112"/>
          </w:tcPr>
          <w:p>
            <w:r>
              <w:t>Michael Lozada-Longog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112"/>
          </w:tcPr>
          <w:p>
            <w:r>
              <w:t>July 2026</w:t>
            </w:r>
          </w:p>
        </w:tc>
      </w:tr>
      <w:tr>
        <w:tc>
          <w:tcPr>
            <w:tcW w:type="dxa" w:w="5112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5112"/>
          </w:tcPr>
          <w:p>
            <w:r>
              <w:t>Released - Educational Engineering Project</w:t>
            </w:r>
          </w:p>
        </w:tc>
      </w:tr>
    </w:tbl>
    <w:p/>
    <w:p>
      <w:pPr>
        <w:jc w:val="center"/>
      </w:pPr>
      <w:r>
        <w:rPr>
          <w:b/>
          <w:color w:val="C00000"/>
        </w:rPr>
        <w:t>EDUCATIONAL USE NOTICE</w:t>
      </w:r>
    </w:p>
    <w:p>
      <w:pPr>
        <w:jc w:val="center"/>
      </w:pPr>
      <w:r>
        <w:t>Project TITAN is an educational engineering design project. It is not a clinical device, regulatory submission, or product approved for human use.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Revision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</w:rPr>
              <w:t>Author</w:t>
            </w:r>
          </w:p>
        </w:tc>
      </w:tr>
      <w:tr>
        <w:tc>
          <w:tcPr>
            <w:tcW w:type="dxa" w:w="2556"/>
          </w:tcPr>
          <w:p>
            <w:r>
              <w:t>A</w:t>
            </w:r>
          </w:p>
        </w:tc>
        <w:tc>
          <w:tcPr>
            <w:tcW w:type="dxa" w:w="2556"/>
          </w:tcPr>
          <w:p>
            <w:r>
              <w:t>July 2026</w:t>
            </w:r>
          </w:p>
        </w:tc>
        <w:tc>
          <w:tcPr>
            <w:tcW w:type="dxa" w:w="2556"/>
          </w:tcPr>
          <w:p>
            <w:r>
              <w:t>Initial traceability release linking requirements to current evidence and open verification work.</w:t>
            </w:r>
          </w:p>
        </w:tc>
        <w:tc>
          <w:tcPr>
            <w:tcW w:type="dxa" w:w="2556"/>
          </w:tcPr>
          <w:p>
            <w:r>
              <w:t>Michael Lozada-Longog</w:t>
            </w:r>
          </w:p>
        </w:tc>
      </w:tr>
    </w:tbl>
    <w:p>
      <w:pPr>
        <w:pStyle w:val="Heading1"/>
      </w:pPr>
      <w:r>
        <w:t>1. Traceability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Req ID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Evidence</w:t>
            </w:r>
          </w:p>
        </w:tc>
        <w:tc>
          <w:tcPr>
            <w:tcW w:type="dxa" w:w="2045"/>
            <w:shd w:fill="17365D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FR-001</w:t>
            </w:r>
          </w:p>
        </w:tc>
        <w:tc>
          <w:tcPr>
            <w:tcW w:type="dxa" w:w="2045"/>
            <w:vAlign w:val="center"/>
          </w:tcPr>
          <w:p>
            <w:r>
              <w:t>Two-bearing shaft support</w:t>
            </w:r>
          </w:p>
        </w:tc>
        <w:tc>
          <w:tcPr>
            <w:tcW w:type="dxa" w:w="2045"/>
            <w:vAlign w:val="center"/>
          </w:tcPr>
          <w:p>
            <w:r>
              <w:t>CAD inspection</w:t>
            </w:r>
          </w:p>
        </w:tc>
        <w:tc>
          <w:tcPr>
            <w:tcW w:type="dxa" w:w="2045"/>
            <w:vAlign w:val="center"/>
          </w:tcPr>
          <w:p>
            <w:r>
              <w:t>Assembly model; 31 mm bearing-center spacing evidence</w:t>
            </w:r>
          </w:p>
        </w:tc>
        <w:tc>
          <w:tcPr>
            <w:tcW w:type="dxa" w:w="2045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FR-002</w:t>
            </w:r>
          </w:p>
        </w:tc>
        <w:tc>
          <w:tcPr>
            <w:tcW w:type="dxa" w:w="2045"/>
            <w:vAlign w:val="center"/>
          </w:tcPr>
          <w:p>
            <w:r>
              <w:t>Interference-free modular assembly</w:t>
            </w:r>
          </w:p>
        </w:tc>
        <w:tc>
          <w:tcPr>
            <w:tcW w:type="dxa" w:w="2045"/>
            <w:vAlign w:val="center"/>
          </w:tcPr>
          <w:p>
            <w:r>
              <w:t>CAD review</w:t>
            </w:r>
          </w:p>
        </w:tc>
        <w:tc>
          <w:tcPr>
            <w:tcW w:type="dxa" w:w="2045"/>
            <w:vAlign w:val="center"/>
          </w:tcPr>
          <w:p>
            <w:r>
              <w:t>Final assembled model and exploded view</w:t>
            </w:r>
          </w:p>
        </w:tc>
        <w:tc>
          <w:tcPr>
            <w:tcW w:type="dxa" w:w="2045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FR-003</w:t>
            </w:r>
          </w:p>
        </w:tc>
        <w:tc>
          <w:tcPr>
            <w:tcW w:type="dxa" w:w="2045"/>
            <w:vAlign w:val="center"/>
          </w:tcPr>
          <w:p>
            <w:r>
              <w:t>Replaceable components</w:t>
            </w:r>
          </w:p>
        </w:tc>
        <w:tc>
          <w:tcPr>
            <w:tcW w:type="dxa" w:w="2045"/>
            <w:vAlign w:val="center"/>
          </w:tcPr>
          <w:p>
            <w:r>
              <w:t>Architecture review</w:t>
            </w:r>
          </w:p>
        </w:tc>
        <w:tc>
          <w:tcPr>
            <w:tcW w:type="dxa" w:w="2045"/>
            <w:vAlign w:val="center"/>
          </w:tcPr>
          <w:p>
            <w:r>
              <w:t>Separate component instances and drawings</w:t>
            </w:r>
          </w:p>
        </w:tc>
        <w:tc>
          <w:tcPr>
            <w:tcW w:type="dxa" w:w="2045"/>
            <w:vAlign w:val="center"/>
          </w:tcPr>
          <w:p>
            <w:r>
              <w:t>Verified by design</w:t>
            </w:r>
          </w:p>
        </w:tc>
      </w:tr>
      <w:tr>
        <w:tc>
          <w:tcPr>
            <w:tcW w:type="dxa" w:w="2045"/>
            <w:vAlign w:val="center"/>
          </w:tcPr>
          <w:p>
            <w:r>
              <w:t>PR-001</w:t>
            </w:r>
          </w:p>
        </w:tc>
        <w:tc>
          <w:tcPr>
            <w:tcW w:type="dxa" w:w="2045"/>
            <w:vAlign w:val="center"/>
          </w:tcPr>
          <w:p>
            <w:r>
              <w:t>Minimum SF &gt;= 2.0</w:t>
            </w:r>
          </w:p>
        </w:tc>
        <w:tc>
          <w:tcPr>
            <w:tcW w:type="dxa" w:w="2045"/>
            <w:vAlign w:val="center"/>
          </w:tcPr>
          <w:p>
            <w:r>
              <w:t>Static FEA</w:t>
            </w:r>
          </w:p>
        </w:tc>
        <w:tc>
          <w:tcPr>
            <w:tcW w:type="dxa" w:w="2045"/>
            <w:vAlign w:val="center"/>
          </w:tcPr>
          <w:p>
            <w:r>
              <w:t>Reported minimum SF 2.377</w:t>
            </w:r>
          </w:p>
        </w:tc>
        <w:tc>
          <w:tcPr>
            <w:tcW w:type="dxa" w:w="2045"/>
            <w:vAlign w:val="center"/>
          </w:tcPr>
          <w:p>
            <w:r>
              <w:t>Verified for current study</w:t>
            </w:r>
          </w:p>
        </w:tc>
      </w:tr>
      <w:tr>
        <w:tc>
          <w:tcPr>
            <w:tcW w:type="dxa" w:w="2045"/>
            <w:vAlign w:val="center"/>
          </w:tcPr>
          <w:p>
            <w:r>
              <w:t>PR-002</w:t>
            </w:r>
          </w:p>
        </w:tc>
        <w:tc>
          <w:tcPr>
            <w:tcW w:type="dxa" w:w="2045"/>
            <w:vAlign w:val="center"/>
          </w:tcPr>
          <w:p>
            <w:r>
              <w:t>Stress below configured yield</w:t>
            </w:r>
          </w:p>
        </w:tc>
        <w:tc>
          <w:tcPr>
            <w:tcW w:type="dxa" w:w="2045"/>
            <w:vAlign w:val="center"/>
          </w:tcPr>
          <w:p>
            <w:r>
              <w:t>Static FEA + material audit</w:t>
            </w:r>
          </w:p>
        </w:tc>
        <w:tc>
          <w:tcPr>
            <w:tcW w:type="dxa" w:w="2045"/>
            <w:vAlign w:val="center"/>
          </w:tcPr>
          <w:p>
            <w:r>
              <w:t>54.947 MPa max; Fusion effective yield implied by SF is ~130.6 MPa</w:t>
            </w:r>
          </w:p>
        </w:tc>
        <w:tc>
          <w:tcPr>
            <w:tcW w:type="dxa" w:w="2045"/>
            <w:vAlign w:val="center"/>
          </w:tcPr>
          <w:p>
            <w:r>
              <w:t>Conditional - audit required</w:t>
            </w:r>
          </w:p>
        </w:tc>
      </w:tr>
      <w:tr>
        <w:tc>
          <w:tcPr>
            <w:tcW w:type="dxa" w:w="2045"/>
            <w:vAlign w:val="center"/>
          </w:tcPr>
          <w:p>
            <w:r>
              <w:t>PR-003</w:t>
            </w:r>
          </w:p>
        </w:tc>
        <w:tc>
          <w:tcPr>
            <w:tcW w:type="dxa" w:w="2045"/>
            <w:vAlign w:val="center"/>
          </w:tcPr>
          <w:p>
            <w:r>
              <w:t>Displacement &lt;= 0.005 in</w:t>
            </w:r>
          </w:p>
        </w:tc>
        <w:tc>
          <w:tcPr>
            <w:tcW w:type="dxa" w:w="2045"/>
            <w:vAlign w:val="center"/>
          </w:tcPr>
          <w:p>
            <w:r>
              <w:t>Static FEA</w:t>
            </w:r>
          </w:p>
        </w:tc>
        <w:tc>
          <w:tcPr>
            <w:tcW w:type="dxa" w:w="2045"/>
            <w:vAlign w:val="center"/>
          </w:tcPr>
          <w:p>
            <w:r>
              <w:t>0.004 in maximum</w:t>
            </w:r>
          </w:p>
        </w:tc>
        <w:tc>
          <w:tcPr>
            <w:tcW w:type="dxa" w:w="2045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MR-001</w:t>
            </w:r>
          </w:p>
        </w:tc>
        <w:tc>
          <w:tcPr>
            <w:tcW w:type="dxa" w:w="2045"/>
            <w:vAlign w:val="center"/>
          </w:tcPr>
          <w:p>
            <w:r>
              <w:t>CNC-compatible parts</w:t>
            </w:r>
          </w:p>
        </w:tc>
        <w:tc>
          <w:tcPr>
            <w:tcW w:type="dxa" w:w="2045"/>
            <w:vAlign w:val="center"/>
          </w:tcPr>
          <w:p>
            <w:r>
              <w:t>Drawing/process review</w:t>
            </w:r>
          </w:p>
        </w:tc>
        <w:tc>
          <w:tcPr>
            <w:tcW w:type="dxa" w:w="2045"/>
            <w:vAlign w:val="center"/>
          </w:tcPr>
          <w:p>
            <w:r>
              <w:t>Milling and turning plan</w:t>
            </w:r>
          </w:p>
        </w:tc>
        <w:tc>
          <w:tcPr>
            <w:tcW w:type="dxa" w:w="2045"/>
            <w:vAlign w:val="center"/>
          </w:tcPr>
          <w:p>
            <w:r>
              <w:t>Verified by review</w:t>
            </w:r>
          </w:p>
        </w:tc>
      </w:tr>
      <w:tr>
        <w:tc>
          <w:tcPr>
            <w:tcW w:type="dxa" w:w="2045"/>
            <w:vAlign w:val="center"/>
          </w:tcPr>
          <w:p>
            <w:r>
              <w:t>MR-002</w:t>
            </w:r>
          </w:p>
        </w:tc>
        <w:tc>
          <w:tcPr>
            <w:tcW w:type="dxa" w:w="2045"/>
            <w:vAlign w:val="center"/>
          </w:tcPr>
          <w:p>
            <w:r>
              <w:t>Commercial bearings/hardware</w:t>
            </w:r>
          </w:p>
        </w:tc>
        <w:tc>
          <w:tcPr>
            <w:tcW w:type="dxa" w:w="2045"/>
            <w:vAlign w:val="center"/>
          </w:tcPr>
          <w:p>
            <w:r>
              <w:t>BOM review</w:t>
            </w:r>
          </w:p>
        </w:tc>
        <w:tc>
          <w:tcPr>
            <w:tcW w:type="dxa" w:w="2045"/>
            <w:vAlign w:val="center"/>
          </w:tcPr>
          <w:p>
            <w:r>
              <w:t>Bearing geometry present; exact catalog selections open</w:t>
            </w:r>
          </w:p>
        </w:tc>
        <w:tc>
          <w:tcPr>
            <w:tcW w:type="dxa" w:w="2045"/>
            <w:vAlign w:val="center"/>
          </w:tcPr>
          <w:p>
            <w:r>
              <w:t>Partially 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DR-001</w:t>
            </w:r>
          </w:p>
        </w:tc>
        <w:tc>
          <w:tcPr>
            <w:tcW w:type="dxa" w:w="2045"/>
            <w:vAlign w:val="center"/>
          </w:tcPr>
          <w:p>
            <w:r>
              <w:t>Part drawings</w:t>
            </w:r>
          </w:p>
        </w:tc>
        <w:tc>
          <w:tcPr>
            <w:tcW w:type="dxa" w:w="2045"/>
            <w:vAlign w:val="center"/>
          </w:tcPr>
          <w:p>
            <w:r>
              <w:t>Document review</w:t>
            </w:r>
          </w:p>
        </w:tc>
        <w:tc>
          <w:tcPr>
            <w:tcW w:type="dxa" w:w="2045"/>
            <w:vAlign w:val="center"/>
          </w:tcPr>
          <w:p>
            <w:r>
              <w:t>Completed individual drawing files</w:t>
            </w:r>
          </w:p>
        </w:tc>
        <w:tc>
          <w:tcPr>
            <w:tcW w:type="dxa" w:w="2045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DR-002</w:t>
            </w:r>
          </w:p>
        </w:tc>
        <w:tc>
          <w:tcPr>
            <w:tcW w:type="dxa" w:w="2045"/>
            <w:vAlign w:val="center"/>
          </w:tcPr>
          <w:p>
            <w:r>
              <w:t>Engineering report</w:t>
            </w:r>
          </w:p>
        </w:tc>
        <w:tc>
          <w:tcPr>
            <w:tcW w:type="dxa" w:w="2045"/>
            <w:vAlign w:val="center"/>
          </w:tcPr>
          <w:p>
            <w:r>
              <w:t>Document review</w:t>
            </w:r>
          </w:p>
        </w:tc>
        <w:tc>
          <w:tcPr>
            <w:tcW w:type="dxa" w:w="2045"/>
            <w:vAlign w:val="center"/>
          </w:tcPr>
          <w:p>
            <w:r>
              <w:t>Project TITAN Engineering Design Report.pdf</w:t>
            </w:r>
          </w:p>
        </w:tc>
        <w:tc>
          <w:tcPr>
            <w:tcW w:type="dxa" w:w="2045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VR-001</w:t>
            </w:r>
          </w:p>
        </w:tc>
        <w:tc>
          <w:tcPr>
            <w:tcW w:type="dxa" w:w="2045"/>
            <w:vAlign w:val="center"/>
          </w:tcPr>
          <w:p>
            <w:r>
              <w:t>Record loads and geometry</w:t>
            </w:r>
          </w:p>
        </w:tc>
        <w:tc>
          <w:tcPr>
            <w:tcW w:type="dxa" w:w="2045"/>
            <w:vAlign w:val="center"/>
          </w:tcPr>
          <w:p>
            <w:r>
              <w:t>Evidence review</w:t>
            </w:r>
          </w:p>
        </w:tc>
        <w:tc>
          <w:tcPr>
            <w:tcW w:type="dxa" w:w="2045"/>
            <w:vAlign w:val="center"/>
          </w:tcPr>
          <w:p>
            <w:r>
              <w:t>2 x 2000 N screenshots; 6 mm thickness confirmation</w:t>
            </w:r>
          </w:p>
        </w:tc>
        <w:tc>
          <w:tcPr>
            <w:tcW w:type="dxa" w:w="2045"/>
            <w:vAlign w:val="center"/>
          </w:tcPr>
          <w:p>
            <w:r>
              <w:t>Verified</w:t>
            </w:r>
          </w:p>
        </w:tc>
      </w:tr>
      <w:tr>
        <w:tc>
          <w:tcPr>
            <w:tcW w:type="dxa" w:w="2045"/>
            <w:vAlign w:val="center"/>
          </w:tcPr>
          <w:p>
            <w:r>
              <w:t>VR-002</w:t>
            </w:r>
          </w:p>
        </w:tc>
        <w:tc>
          <w:tcPr>
            <w:tcW w:type="dxa" w:w="2045"/>
            <w:vAlign w:val="center"/>
          </w:tcPr>
          <w:p>
            <w:r>
              <w:t>Analytical sanity checks</w:t>
            </w:r>
          </w:p>
        </w:tc>
        <w:tc>
          <w:tcPr>
            <w:tcW w:type="dxa" w:w="2045"/>
            <w:vAlign w:val="center"/>
          </w:tcPr>
          <w:p>
            <w:r>
              <w:t>Calculation review</w:t>
            </w:r>
          </w:p>
        </w:tc>
        <w:tc>
          <w:tcPr>
            <w:tcW w:type="dxa" w:w="2045"/>
            <w:vAlign w:val="center"/>
          </w:tcPr>
          <w:p>
            <w:r>
              <w:t>CAL-001</w:t>
            </w:r>
          </w:p>
        </w:tc>
        <w:tc>
          <w:tcPr>
            <w:tcW w:type="dxa" w:w="2045"/>
            <w:vAlign w:val="center"/>
          </w:tcPr>
          <w:p>
            <w:r>
              <w:t>Verified with limitations</w:t>
            </w:r>
          </w:p>
        </w:tc>
      </w:tr>
      <w:tr>
        <w:tc>
          <w:tcPr>
            <w:tcW w:type="dxa" w:w="2045"/>
            <w:vAlign w:val="center"/>
          </w:tcPr>
          <w:p>
            <w:r>
              <w:t>VR-003</w:t>
            </w:r>
          </w:p>
        </w:tc>
        <w:tc>
          <w:tcPr>
            <w:tcW w:type="dxa" w:w="2045"/>
            <w:vAlign w:val="center"/>
          </w:tcPr>
          <w:p>
            <w:r>
              <w:t>Physical validation</w:t>
            </w:r>
          </w:p>
        </w:tc>
        <w:tc>
          <w:tcPr>
            <w:tcW w:type="dxa" w:w="2045"/>
            <w:vAlign w:val="center"/>
          </w:tcPr>
          <w:p>
            <w:r>
              <w:t>Prototype test</w:t>
            </w:r>
          </w:p>
        </w:tc>
        <w:tc>
          <w:tcPr>
            <w:tcW w:type="dxa" w:w="2045"/>
            <w:vAlign w:val="center"/>
          </w:tcPr>
          <w:p>
            <w:r>
              <w:t>Future test report</w:t>
            </w:r>
          </w:p>
        </w:tc>
        <w:tc>
          <w:tcPr>
            <w:tcW w:type="dxa" w:w="2045"/>
            <w:vAlign w:val="center"/>
          </w:tcPr>
          <w:p>
            <w:r>
              <w:t>Open / future</w:t>
            </w:r>
          </w:p>
        </w:tc>
      </w:tr>
    </w:tbl>
    <w:p>
      <w:pPr>
        <w:pStyle w:val="Heading1"/>
      </w:pPr>
      <w:r>
        <w:t>2. Closure Summary</w:t>
      </w:r>
    </w:p>
    <w:p>
      <w:r>
        <w:t>The current V1 package closes CAD, documentation, and static-FEA requirements. Material-model confirmation and physical validation remain open. Those open items are disclosed rather than treated as completed evidence.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Controlled educational copy | Michael Lozada-Longog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PROJECT TITAN | TITAN-RTM-001 | REV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4444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