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ENTERPRISE AI PLATFORM</w:t>
        <w:br/>
        <w:t>RANKING ENGINE</w:t>
      </w:r>
    </w:p>
    <w:p>
      <w:pPr>
        <w:jc w:val="center"/>
      </w:pPr>
      <w:r>
        <w:rPr>
          <w:b/>
          <w:sz w:val="32"/>
        </w:rPr>
        <w:t>Extremely Detailed Product Specification</w:t>
      </w:r>
    </w:p>
    <w:p>
      <w:pPr>
        <w:jc w:val="center"/>
      </w:pPr>
      <w:r>
        <w:rPr>
          <w:sz w:val="22"/>
        </w:rPr>
        <w:t>A sector-aware, evidence-weighted AI vendor ranking application that produces a ranked shortlist in under two minutes with granular backend review.</w:t>
      </w:r>
    </w:p>
    <w:p/>
    <w:tbl>
      <w:tblPr>
        <w:tblStyle w:val="TableGrid"/>
        <w:tblW w:type="auto" w:w="0"/>
        <w:jc w:val="center"/>
        <w:tblLook w:firstColumn="1" w:firstRow="1" w:lastColumn="0" w:lastRow="0" w:noHBand="0" w:noVBand="1" w:val="04A0"/>
      </w:tblPr>
      <w:tblGrid>
        <w:gridCol w:w="5328"/>
        <w:gridCol w:w="5328"/>
      </w:tblGrid>
      <w:tr>
        <w:tc>
          <w:tcPr>
            <w:tcW w:type="dxa" w:w="2304"/>
            <w:shd w:fill="1F4E79"/>
            <w:vAlign w:val="center"/>
          </w:tcPr>
          <w:p>
            <w:pPr>
              <w:spacing w:after="0" w:before="0"/>
            </w:pPr>
            <w:r/>
            <w:r>
              <w:rPr>
                <w:b/>
                <w:color w:val="FFFFFF"/>
                <w:sz w:val="18"/>
              </w:rPr>
              <w:t>Field</w:t>
            </w:r>
          </w:p>
        </w:tc>
        <w:tc>
          <w:tcPr>
            <w:tcW w:type="dxa" w:w="8208"/>
            <w:shd w:fill="1F4E79"/>
            <w:vAlign w:val="center"/>
          </w:tcPr>
          <w:p>
            <w:pPr>
              <w:spacing w:after="0" w:before="0"/>
            </w:pPr>
            <w:r/>
            <w:r>
              <w:rPr>
                <w:b/>
                <w:color w:val="FFFFFF"/>
                <w:sz w:val="18"/>
              </w:rPr>
              <w:t>Value</w:t>
            </w:r>
          </w:p>
        </w:tc>
      </w:tr>
      <w:tr>
        <w:tc>
          <w:tcPr>
            <w:tcW w:type="dxa" w:w="2304"/>
            <w:vAlign w:val="top"/>
          </w:tcPr>
          <w:p>
            <w:pPr>
              <w:spacing w:after="0" w:before="0"/>
            </w:pPr>
            <w:r/>
            <w:r>
              <w:rPr>
                <w:b w:val="0"/>
                <w:sz w:val="18"/>
              </w:rPr>
              <w:t>Product</w:t>
            </w:r>
          </w:p>
        </w:tc>
        <w:tc>
          <w:tcPr>
            <w:tcW w:type="dxa" w:w="8208"/>
            <w:vAlign w:val="top"/>
          </w:tcPr>
          <w:p>
            <w:pPr>
              <w:spacing w:after="0" w:before="0"/>
            </w:pPr>
            <w:r/>
            <w:r>
              <w:rPr>
                <w:b w:val="0"/>
                <w:sz w:val="18"/>
              </w:rPr>
              <w:t>Enterprise AI Platform Ranking Engine</w:t>
            </w:r>
          </w:p>
        </w:tc>
      </w:tr>
      <w:tr>
        <w:tc>
          <w:tcPr>
            <w:tcW w:type="dxa" w:w="2304"/>
            <w:vAlign w:val="top"/>
          </w:tcPr>
          <w:p>
            <w:pPr>
              <w:spacing w:after="0" w:before="0"/>
            </w:pPr>
            <w:r/>
            <w:r>
              <w:rPr>
                <w:b w:val="0"/>
                <w:sz w:val="18"/>
              </w:rPr>
              <w:t>Owner</w:t>
            </w:r>
          </w:p>
        </w:tc>
        <w:tc>
          <w:tcPr>
            <w:tcW w:type="dxa" w:w="8208"/>
            <w:vAlign w:val="top"/>
          </w:tcPr>
          <w:p>
            <w:pPr>
              <w:spacing w:after="0" w:before="0"/>
            </w:pPr>
            <w:r/>
            <w:r>
              <w:rPr>
                <w:b w:val="0"/>
                <w:sz w:val="18"/>
              </w:rPr>
              <w:t>AnalystGenius</w:t>
            </w:r>
          </w:p>
        </w:tc>
      </w:tr>
      <w:tr>
        <w:tc>
          <w:tcPr>
            <w:tcW w:type="dxa" w:w="2304"/>
            <w:vAlign w:val="top"/>
          </w:tcPr>
          <w:p>
            <w:pPr>
              <w:spacing w:after="0" w:before="0"/>
            </w:pPr>
            <w:r/>
            <w:r>
              <w:rPr>
                <w:b w:val="0"/>
                <w:sz w:val="18"/>
              </w:rPr>
              <w:t>Version</w:t>
            </w:r>
          </w:p>
        </w:tc>
        <w:tc>
          <w:tcPr>
            <w:tcW w:type="dxa" w:w="8208"/>
            <w:vAlign w:val="top"/>
          </w:tcPr>
          <w:p>
            <w:pPr>
              <w:spacing w:after="0" w:before="0"/>
            </w:pPr>
            <w:r/>
            <w:r>
              <w:rPr>
                <w:b w:val="0"/>
                <w:sz w:val="18"/>
              </w:rPr>
              <w:t>Product Specification v1.0</w:t>
            </w:r>
          </w:p>
        </w:tc>
      </w:tr>
      <w:tr>
        <w:tc>
          <w:tcPr>
            <w:tcW w:type="dxa" w:w="2304"/>
            <w:vAlign w:val="top"/>
          </w:tcPr>
          <w:p>
            <w:pPr>
              <w:spacing w:after="0" w:before="0"/>
            </w:pPr>
            <w:r/>
            <w:r>
              <w:rPr>
                <w:b w:val="0"/>
                <w:sz w:val="18"/>
              </w:rPr>
              <w:t>Date</w:t>
            </w:r>
          </w:p>
        </w:tc>
        <w:tc>
          <w:tcPr>
            <w:tcW w:type="dxa" w:w="8208"/>
            <w:vAlign w:val="top"/>
          </w:tcPr>
          <w:p>
            <w:pPr>
              <w:spacing w:after="0" w:before="0"/>
            </w:pPr>
            <w:r/>
            <w:r>
              <w:rPr>
                <w:b w:val="0"/>
                <w:sz w:val="18"/>
              </w:rPr>
              <w:t>6 May 2026</w:t>
            </w:r>
          </w:p>
        </w:tc>
      </w:tr>
      <w:tr>
        <w:tc>
          <w:tcPr>
            <w:tcW w:type="dxa" w:w="2304"/>
            <w:vAlign w:val="top"/>
          </w:tcPr>
          <w:p>
            <w:pPr>
              <w:spacing w:after="0" w:before="0"/>
            </w:pPr>
            <w:r/>
            <w:r>
              <w:rPr>
                <w:b w:val="0"/>
                <w:sz w:val="18"/>
              </w:rPr>
              <w:t>Status</w:t>
            </w:r>
          </w:p>
        </w:tc>
        <w:tc>
          <w:tcPr>
            <w:tcW w:type="dxa" w:w="8208"/>
            <w:vAlign w:val="top"/>
          </w:tcPr>
          <w:p>
            <w:pPr>
              <w:spacing w:after="0" w:before="0"/>
            </w:pPr>
            <w:r/>
            <w:r>
              <w:rPr>
                <w:b w:val="0"/>
                <w:sz w:val="18"/>
              </w:rPr>
              <w:t>Draft for product and engineering alignment</w:t>
            </w:r>
          </w:p>
        </w:tc>
      </w:tr>
      <w:tr>
        <w:tc>
          <w:tcPr>
            <w:tcW w:type="dxa" w:w="2304"/>
            <w:vAlign w:val="top"/>
          </w:tcPr>
          <w:p>
            <w:pPr>
              <w:spacing w:after="0" w:before="0"/>
            </w:pPr>
            <w:r/>
            <w:r>
              <w:rPr>
                <w:b w:val="0"/>
                <w:sz w:val="18"/>
              </w:rPr>
              <w:t>Source basis</w:t>
            </w:r>
          </w:p>
        </w:tc>
        <w:tc>
          <w:tcPr>
            <w:tcW w:type="dxa" w:w="8208"/>
            <w:vAlign w:val="top"/>
          </w:tcPr>
          <w:p>
            <w:pPr>
              <w:spacing w:after="0" w:before="0"/>
            </w:pPr>
            <w:r/>
            <w:r>
              <w:rPr>
                <w:b w:val="0"/>
                <w:sz w:val="18"/>
              </w:rPr>
              <w:t>Synthesised from Enterprise AI Assessment Framework v2.0 and subsequent product-model refinement.</w:t>
            </w:r>
          </w:p>
        </w:tc>
      </w:tr>
      <w:tr>
        <w:tc>
          <w:tcPr>
            <w:tcW w:type="dxa" w:w="2304"/>
            <w:vAlign w:val="top"/>
          </w:tcPr>
          <w:p>
            <w:pPr>
              <w:spacing w:after="0" w:before="0"/>
            </w:pPr>
            <w:r/>
            <w:r>
              <w:rPr>
                <w:b w:val="0"/>
                <w:sz w:val="18"/>
              </w:rPr>
              <w:t>Core decision</w:t>
            </w:r>
          </w:p>
        </w:tc>
        <w:tc>
          <w:tcPr>
            <w:tcW w:type="dxa" w:w="8208"/>
            <w:vAlign w:val="top"/>
          </w:tcPr>
          <w:p>
            <w:pPr>
              <w:spacing w:after="0" w:before="0"/>
            </w:pPr>
            <w:r/>
            <w:r>
              <w:rPr>
                <w:b w:val="0"/>
                <w:sz w:val="18"/>
              </w:rPr>
              <w:t>Use the v2.0 12-domain framework as backend methodology; expose a six-pillar ranking UX to users.</w:t>
            </w:r>
          </w:p>
        </w:tc>
      </w:tr>
    </w:tbl>
    <w:p/>
    <w:tbl>
      <w:tblPr>
        <w:tblStyle w:val="TableGrid"/>
        <w:tblW w:type="auto" w:w="0"/>
        <w:tblLook w:firstColumn="1" w:firstRow="1" w:lastColumn="0" w:lastRow="0" w:noHBand="0" w:noVBand="1" w:val="04A0"/>
      </w:tblPr>
      <w:tblGrid>
        <w:gridCol w:w="10656"/>
      </w:tblGrid>
      <w:tr>
        <w:tc>
          <w:tcPr>
            <w:tcW w:type="dxa" w:w="10656"/>
            <w:shd w:fill="FFF2CC"/>
          </w:tcPr>
          <w:p>
            <w:r>
              <w:rPr>
                <w:b/>
                <w:sz w:val="20"/>
              </w:rPr>
              <w:t>Product Thesis</w:t>
            </w:r>
            <w:r>
              <w:rPr>
                <w:sz w:val="18"/>
              </w:rPr>
              <w:br/>
              <w:t>The product should behave less like a questionnaire and more like a ranking engine: minimal user input, maximum backend inference, transparent ranked output, and deep reviewability when required.</w:t>
            </w:r>
          </w:p>
        </w:tc>
      </w:tr>
    </w:tbl>
    <w:p/>
    <w:p>
      <w:r>
        <w:br w:type="page"/>
      </w:r>
    </w:p>
    <w:p>
      <w:pPr>
        <w:pStyle w:val="Heading1"/>
      </w:pPr>
      <w:r>
        <w:t>1. Executive Summary</w:t>
      </w:r>
    </w:p>
    <w:p>
      <w:r>
        <w:t>This product specification defines a production-grade application for ranking enterprise AI platforms. The application is designed to take a small number of high-signal user inputs, apply sector-aware and risk-aware scoring, combine public/proxy/vendor/agent-derived evidence, and return a ranked vendor shortlist with confidence levels, risk flags, evidence drill-down, and recommended validation steps.</w:t>
      </w:r>
    </w:p>
    <w:p>
      <w:r>
        <w:t>The product is deliberately not a full enterprise due-diligence system in its default mode. It uses the full assessment framework in the backend, but presents a simplified executive-ready output to the user. The deeper framework remains available through advanced review, export, vendor-validation workflows, and audit packs.</w:t>
      </w:r>
    </w:p>
    <w:p>
      <w:pPr>
        <w:pStyle w:val="ListBullet"/>
      </w:pPr>
      <w:r>
        <w:t>Primary user outcome: ranked vendor shortlist in under two minutes.</w:t>
      </w:r>
    </w:p>
    <w:p>
      <w:pPr>
        <w:pStyle w:val="ListBullet"/>
      </w:pPr>
      <w:r>
        <w:t>Primary product advantage: sector-aware scoring rather than generic vendor comparison.</w:t>
      </w:r>
    </w:p>
    <w:p>
      <w:pPr>
        <w:pStyle w:val="ListBullet"/>
      </w:pPr>
      <w:r>
        <w:t>Primary methodological advantage: evidence-weighted rankings rather than vendor-claim scoring.</w:t>
      </w:r>
    </w:p>
    <w:p>
      <w:pPr>
        <w:pStyle w:val="ListBullet"/>
      </w:pPr>
      <w:r>
        <w:t>Primary defensibility layer: backend mapping to security, governance, permissioning, reliability, cost, adoption, vendor resilience, market strength, and capital dependency logic.</w:t>
      </w:r>
    </w:p>
    <w:p>
      <w:pPr>
        <w:pStyle w:val="ListBullet"/>
      </w:pPr>
      <w:r>
        <w:t>Primary commercial positioning: bridge the gap between static analyst reports and slow bespoke consulting assessments.</w:t>
      </w:r>
    </w:p>
    <w:tbl>
      <w:tblPr>
        <w:tblStyle w:val="TableGrid"/>
        <w:tblW w:type="auto" w:w="0"/>
        <w:tblLook w:firstColumn="1" w:firstRow="1" w:lastColumn="0" w:lastRow="0" w:noHBand="0" w:noVBand="1" w:val="04A0"/>
      </w:tblPr>
      <w:tblGrid>
        <w:gridCol w:w="10656"/>
      </w:tblGrid>
      <w:tr>
        <w:tc>
          <w:tcPr>
            <w:tcW w:type="dxa" w:w="10656"/>
            <w:shd w:fill="FFF2CC"/>
          </w:tcPr>
          <w:p>
            <w:r>
              <w:rPr>
                <w:b/>
                <w:sz w:val="20"/>
              </w:rPr>
              <w:t>Key Architectural Decision</w:t>
            </w:r>
            <w:r>
              <w:rPr>
                <w:sz w:val="18"/>
              </w:rPr>
              <w:br/>
              <w:t>v2.0 is the engine room. The six-pillar model is the dashboard. Everything “demoted” from first-screen UX must remain in backend scoring, advanced review, or export mode.</w:t>
            </w:r>
          </w:p>
        </w:tc>
      </w:tr>
    </w:tbl>
    <w:p/>
    <w:p>
      <w:pPr>
        <w:pStyle w:val="Heading1"/>
      </w:pPr>
      <w:r>
        <w:t>2. Target Outcomes and Success Criteria</w:t>
      </w:r>
    </w:p>
    <w:tbl>
      <w:tblPr>
        <w:tblStyle w:val="TableGrid"/>
        <w:tblW w:type="auto" w:w="0"/>
        <w:jc w:val="center"/>
        <w:tblLook w:firstColumn="1" w:firstRow="1" w:lastColumn="0" w:lastRow="0" w:noHBand="0" w:noVBand="1" w:val="04A0"/>
      </w:tblPr>
      <w:tblGrid>
        <w:gridCol w:w="3552"/>
        <w:gridCol w:w="3552"/>
        <w:gridCol w:w="3552"/>
      </w:tblGrid>
      <w:tr>
        <w:tc>
          <w:tcPr>
            <w:tcW w:type="dxa" w:w="2592"/>
            <w:shd w:fill="1F4E79"/>
            <w:vAlign w:val="center"/>
          </w:tcPr>
          <w:p>
            <w:pPr>
              <w:spacing w:after="0" w:before="0"/>
            </w:pPr>
            <w:r/>
            <w:r>
              <w:rPr>
                <w:b/>
                <w:color w:val="FFFFFF"/>
                <w:sz w:val="16"/>
              </w:rPr>
              <w:t>Target outcome</w:t>
            </w:r>
          </w:p>
        </w:tc>
        <w:tc>
          <w:tcPr>
            <w:tcW w:type="dxa" w:w="4320"/>
            <w:shd w:fill="1F4E79"/>
            <w:vAlign w:val="center"/>
          </w:tcPr>
          <w:p>
            <w:pPr>
              <w:spacing w:after="0" w:before="0"/>
            </w:pPr>
            <w:r/>
            <w:r>
              <w:rPr>
                <w:b/>
                <w:color w:val="FFFFFF"/>
                <w:sz w:val="16"/>
              </w:rPr>
              <w:t>Product requirement</w:t>
            </w:r>
          </w:p>
        </w:tc>
        <w:tc>
          <w:tcPr>
            <w:tcW w:type="dxa" w:w="3600"/>
            <w:shd w:fill="1F4E79"/>
            <w:vAlign w:val="center"/>
          </w:tcPr>
          <w:p>
            <w:pPr>
              <w:spacing w:after="0" w:before="0"/>
            </w:pPr>
            <w:r/>
            <w:r>
              <w:rPr>
                <w:b/>
                <w:color w:val="FFFFFF"/>
                <w:sz w:val="16"/>
              </w:rPr>
              <w:t>Success measure</w:t>
            </w:r>
          </w:p>
        </w:tc>
      </w:tr>
      <w:tr>
        <w:tc>
          <w:tcPr>
            <w:tcW w:type="dxa" w:w="2592"/>
            <w:vAlign w:val="top"/>
          </w:tcPr>
          <w:p>
            <w:pPr>
              <w:spacing w:after="0" w:before="0"/>
            </w:pPr>
            <w:r/>
            <w:r>
              <w:rPr>
                <w:b w:val="0"/>
                <w:sz w:val="16"/>
              </w:rPr>
              <w:t>Two-minute input</w:t>
            </w:r>
          </w:p>
        </w:tc>
        <w:tc>
          <w:tcPr>
            <w:tcW w:type="dxa" w:w="4320"/>
            <w:vAlign w:val="top"/>
          </w:tcPr>
          <w:p>
            <w:pPr>
              <w:spacing w:after="0" w:before="0"/>
            </w:pPr>
            <w:r/>
            <w:r>
              <w:rPr>
                <w:b w:val="0"/>
                <w:sz w:val="16"/>
              </w:rPr>
              <w:t>User must complete input flow in &lt;= 2 minutes.</w:t>
            </w:r>
          </w:p>
        </w:tc>
        <w:tc>
          <w:tcPr>
            <w:tcW w:type="dxa" w:w="3600"/>
            <w:vAlign w:val="top"/>
          </w:tcPr>
          <w:p>
            <w:pPr>
              <w:spacing w:after="0" w:before="0"/>
            </w:pPr>
            <w:r/>
            <w:r>
              <w:rPr>
                <w:b w:val="0"/>
                <w:sz w:val="16"/>
              </w:rPr>
              <w:t>Median completion time &lt;= 120 seconds; abandonment &lt; 20% after first screen.</w:t>
            </w:r>
          </w:p>
        </w:tc>
      </w:tr>
      <w:tr>
        <w:tc>
          <w:tcPr>
            <w:tcW w:type="dxa" w:w="2592"/>
            <w:vAlign w:val="top"/>
          </w:tcPr>
          <w:p>
            <w:pPr>
              <w:spacing w:after="0" w:before="0"/>
            </w:pPr>
            <w:r/>
            <w:r>
              <w:rPr>
                <w:b w:val="0"/>
                <w:sz w:val="16"/>
              </w:rPr>
              <w:t>Ranked outcome</w:t>
            </w:r>
          </w:p>
        </w:tc>
        <w:tc>
          <w:tcPr>
            <w:tcW w:type="dxa" w:w="4320"/>
            <w:vAlign w:val="top"/>
          </w:tcPr>
          <w:p>
            <w:pPr>
              <w:spacing w:after="0" w:before="0"/>
            </w:pPr>
            <w:r/>
            <w:r>
              <w:rPr>
                <w:b w:val="0"/>
                <w:sz w:val="16"/>
              </w:rPr>
              <w:t>App must return ranked vendors with score, confidence, rationale, and validation steps.</w:t>
            </w:r>
          </w:p>
        </w:tc>
        <w:tc>
          <w:tcPr>
            <w:tcW w:type="dxa" w:w="3600"/>
            <w:vAlign w:val="top"/>
          </w:tcPr>
          <w:p>
            <w:pPr>
              <w:spacing w:after="0" w:before="0"/>
            </w:pPr>
            <w:r/>
            <w:r>
              <w:rPr>
                <w:b w:val="0"/>
                <w:sz w:val="16"/>
              </w:rPr>
              <w:t>At least 3 ranked vendors shown where vendor universe permits.</w:t>
            </w:r>
          </w:p>
        </w:tc>
      </w:tr>
      <w:tr>
        <w:tc>
          <w:tcPr>
            <w:tcW w:type="dxa" w:w="2592"/>
            <w:vAlign w:val="top"/>
          </w:tcPr>
          <w:p>
            <w:pPr>
              <w:spacing w:after="0" w:before="0"/>
            </w:pPr>
            <w:r/>
            <w:r>
              <w:rPr>
                <w:b w:val="0"/>
                <w:sz w:val="16"/>
              </w:rPr>
              <w:t>Comprehensive criteria</w:t>
            </w:r>
          </w:p>
        </w:tc>
        <w:tc>
          <w:tcPr>
            <w:tcW w:type="dxa" w:w="4320"/>
            <w:vAlign w:val="top"/>
          </w:tcPr>
          <w:p>
            <w:pPr>
              <w:spacing w:after="0" w:before="0"/>
            </w:pPr>
            <w:r/>
            <w:r>
              <w:rPr>
                <w:b w:val="0"/>
                <w:sz w:val="16"/>
              </w:rPr>
              <w:t>Backend must preserve full framework coverage, even if simplified in UI.</w:t>
            </w:r>
          </w:p>
        </w:tc>
        <w:tc>
          <w:tcPr>
            <w:tcW w:type="dxa" w:w="3600"/>
            <w:vAlign w:val="top"/>
          </w:tcPr>
          <w:p>
            <w:pPr>
              <w:spacing w:after="0" w:before="0"/>
            </w:pPr>
            <w:r/>
            <w:r>
              <w:rPr>
                <w:b w:val="0"/>
                <w:sz w:val="16"/>
              </w:rPr>
              <w:t>All six pillars map to detailed backend domains and subfactors.</w:t>
            </w:r>
          </w:p>
        </w:tc>
      </w:tr>
      <w:tr>
        <w:tc>
          <w:tcPr>
            <w:tcW w:type="dxa" w:w="2592"/>
            <w:vAlign w:val="top"/>
          </w:tcPr>
          <w:p>
            <w:pPr>
              <w:spacing w:after="0" w:before="0"/>
            </w:pPr>
            <w:r/>
            <w:r>
              <w:rPr>
                <w:b w:val="0"/>
                <w:sz w:val="16"/>
              </w:rPr>
              <w:t>Granular review</w:t>
            </w:r>
          </w:p>
        </w:tc>
        <w:tc>
          <w:tcPr>
            <w:tcW w:type="dxa" w:w="4320"/>
            <w:vAlign w:val="top"/>
          </w:tcPr>
          <w:p>
            <w:pPr>
              <w:spacing w:after="0" w:before="0"/>
            </w:pPr>
            <w:r/>
            <w:r>
              <w:rPr>
                <w:b w:val="0"/>
                <w:sz w:val="16"/>
              </w:rPr>
              <w:t>Reviewer must be able to inspect how scores were calculated.</w:t>
            </w:r>
          </w:p>
        </w:tc>
        <w:tc>
          <w:tcPr>
            <w:tcW w:type="dxa" w:w="3600"/>
            <w:vAlign w:val="top"/>
          </w:tcPr>
          <w:p>
            <w:pPr>
              <w:spacing w:after="0" w:before="0"/>
            </w:pPr>
            <w:r/>
            <w:r>
              <w:rPr>
                <w:b w:val="0"/>
                <w:sz w:val="16"/>
              </w:rPr>
              <w:t>Every score links to subfactors, evidence type, source date, and confidence.</w:t>
            </w:r>
          </w:p>
        </w:tc>
      </w:tr>
      <w:tr>
        <w:tc>
          <w:tcPr>
            <w:tcW w:type="dxa" w:w="2592"/>
            <w:vAlign w:val="top"/>
          </w:tcPr>
          <w:p>
            <w:pPr>
              <w:spacing w:after="0" w:before="0"/>
            </w:pPr>
            <w:r/>
            <w:r>
              <w:rPr>
                <w:b w:val="0"/>
                <w:sz w:val="16"/>
              </w:rPr>
              <w:t>Evidence integrity</w:t>
            </w:r>
          </w:p>
        </w:tc>
        <w:tc>
          <w:tcPr>
            <w:tcW w:type="dxa" w:w="4320"/>
            <w:vAlign w:val="top"/>
          </w:tcPr>
          <w:p>
            <w:pPr>
              <w:spacing w:after="0" w:before="0"/>
            </w:pPr>
            <w:r/>
            <w:r>
              <w:rPr>
                <w:b w:val="0"/>
                <w:sz w:val="16"/>
              </w:rPr>
              <w:t>Vendor claims must not score the same as verified evidence.</w:t>
            </w:r>
          </w:p>
        </w:tc>
        <w:tc>
          <w:tcPr>
            <w:tcW w:type="dxa" w:w="3600"/>
            <w:vAlign w:val="top"/>
          </w:tcPr>
          <w:p>
            <w:pPr>
              <w:spacing w:after="0" w:before="0"/>
            </w:pPr>
            <w:r/>
            <w:r>
              <w:rPr>
                <w:b w:val="0"/>
                <w:sz w:val="16"/>
              </w:rPr>
              <w:t>All scored evidence classified E0-E5 with confidence modifier.</w:t>
            </w:r>
          </w:p>
        </w:tc>
      </w:tr>
      <w:tr>
        <w:tc>
          <w:tcPr>
            <w:tcW w:type="dxa" w:w="2592"/>
            <w:vAlign w:val="top"/>
          </w:tcPr>
          <w:p>
            <w:pPr>
              <w:spacing w:after="0" w:before="0"/>
            </w:pPr>
            <w:r/>
            <w:r>
              <w:rPr>
                <w:b w:val="0"/>
                <w:sz w:val="16"/>
              </w:rPr>
              <w:t>Industry differentiation</w:t>
            </w:r>
          </w:p>
        </w:tc>
        <w:tc>
          <w:tcPr>
            <w:tcW w:type="dxa" w:w="4320"/>
            <w:vAlign w:val="top"/>
          </w:tcPr>
          <w:p>
            <w:pPr>
              <w:spacing w:after="0" w:before="0"/>
            </w:pPr>
            <w:r/>
            <w:r>
              <w:rPr>
                <w:b w:val="0"/>
                <w:sz w:val="16"/>
              </w:rPr>
              <w:t>Ranking must change based on industry archetype and use case.</w:t>
            </w:r>
          </w:p>
        </w:tc>
        <w:tc>
          <w:tcPr>
            <w:tcW w:type="dxa" w:w="3600"/>
            <w:vAlign w:val="top"/>
          </w:tcPr>
          <w:p>
            <w:pPr>
              <w:spacing w:after="0" w:before="0"/>
            </w:pPr>
            <w:r/>
            <w:r>
              <w:rPr>
                <w:b w:val="0"/>
                <w:sz w:val="16"/>
              </w:rPr>
              <w:t>Industry weight profiles applied and visible in output explanation.</w:t>
            </w:r>
          </w:p>
        </w:tc>
      </w:tr>
      <w:tr>
        <w:tc>
          <w:tcPr>
            <w:tcW w:type="dxa" w:w="2592"/>
            <w:vAlign w:val="top"/>
          </w:tcPr>
          <w:p>
            <w:pPr>
              <w:spacing w:after="0" w:before="0"/>
            </w:pPr>
            <w:r/>
            <w:r>
              <w:rPr>
                <w:b w:val="0"/>
                <w:sz w:val="16"/>
              </w:rPr>
              <w:t>Production feasibility</w:t>
            </w:r>
          </w:p>
        </w:tc>
        <w:tc>
          <w:tcPr>
            <w:tcW w:type="dxa" w:w="4320"/>
            <w:vAlign w:val="top"/>
          </w:tcPr>
          <w:p>
            <w:pPr>
              <w:spacing w:after="0" w:before="0"/>
            </w:pPr>
            <w:r/>
            <w:r>
              <w:rPr>
                <w:b w:val="0"/>
                <w:sz w:val="16"/>
              </w:rPr>
              <w:t>MVP must be buildable with ordinary web app architecture and staged data sources.</w:t>
            </w:r>
          </w:p>
        </w:tc>
        <w:tc>
          <w:tcPr>
            <w:tcW w:type="dxa" w:w="3600"/>
            <w:vAlign w:val="top"/>
          </w:tcPr>
          <w:p>
            <w:pPr>
              <w:spacing w:after="0" w:before="0"/>
            </w:pPr>
            <w:r/>
            <w:r>
              <w:rPr>
                <w:b w:val="0"/>
                <w:sz w:val="16"/>
              </w:rPr>
              <w:t>No mandatory primary sourcing required for default result.</w:t>
            </w:r>
          </w:p>
        </w:tc>
      </w:tr>
      <w:tr>
        <w:tc>
          <w:tcPr>
            <w:tcW w:type="dxa" w:w="2592"/>
            <w:vAlign w:val="top"/>
          </w:tcPr>
          <w:p>
            <w:pPr>
              <w:spacing w:after="0" w:before="0"/>
            </w:pPr>
            <w:r/>
            <w:r>
              <w:rPr>
                <w:b w:val="0"/>
                <w:sz w:val="16"/>
              </w:rPr>
              <w:t>Commercial trust</w:t>
            </w:r>
          </w:p>
        </w:tc>
        <w:tc>
          <w:tcPr>
            <w:tcW w:type="dxa" w:w="4320"/>
            <w:vAlign w:val="top"/>
          </w:tcPr>
          <w:p>
            <w:pPr>
              <w:spacing w:after="0" w:before="0"/>
            </w:pPr>
            <w:r/>
            <w:r>
              <w:rPr>
                <w:b w:val="0"/>
                <w:sz w:val="16"/>
              </w:rPr>
              <w:t>Output must avoid overclaiming and show uncertainty.</w:t>
            </w:r>
          </w:p>
        </w:tc>
        <w:tc>
          <w:tcPr>
            <w:tcW w:type="dxa" w:w="3600"/>
            <w:vAlign w:val="top"/>
          </w:tcPr>
          <w:p>
            <w:pPr>
              <w:spacing w:after="0" w:before="0"/>
            </w:pPr>
            <w:r/>
            <w:r>
              <w:rPr>
                <w:b w:val="0"/>
                <w:sz w:val="16"/>
              </w:rPr>
              <w:t>Confidence score, missing evidence, and validation steps shown for every vendor.</w:t>
            </w:r>
          </w:p>
        </w:tc>
      </w:tr>
    </w:tbl>
    <w:p/>
    <w:p>
      <w:pPr>
        <w:pStyle w:val="Heading1"/>
      </w:pPr>
      <w:r>
        <w:t>3. Product Non-Goals</w:t>
      </w:r>
    </w:p>
    <w:p>
      <w:pPr>
        <w:pStyle w:val="ListBullet"/>
      </w:pPr>
      <w:r>
        <w:t>The product is not a legal compliance certification tool.</w:t>
      </w:r>
    </w:p>
    <w:p>
      <w:pPr>
        <w:pStyle w:val="ListBullet"/>
      </w:pPr>
      <w:r>
        <w:t>The product is not a substitute for procurement, security, legal, privacy, or contract review.</w:t>
      </w:r>
    </w:p>
    <w:p>
      <w:pPr>
        <w:pStyle w:val="ListBullet"/>
      </w:pPr>
      <w:r>
        <w:t>The product is not intended to prove buyer-specific ROI without pilot telemetry.</w:t>
      </w:r>
    </w:p>
    <w:p>
      <w:pPr>
        <w:pStyle w:val="ListBullet"/>
      </w:pPr>
      <w:r>
        <w:t>The product is not intended to fully validate factuality on private enterprise data in the default flow.</w:t>
      </w:r>
    </w:p>
    <w:p>
      <w:pPr>
        <w:pStyle w:val="ListBullet"/>
      </w:pPr>
      <w:r>
        <w:t>The product should not make definitive claims that a vendor is objectively best across all contexts.</w:t>
      </w:r>
    </w:p>
    <w:p>
      <w:pPr>
        <w:pStyle w:val="ListBullet"/>
      </w:pPr>
      <w:r>
        <w:t>The product should not expose the full 12-domain assessment as the default user experience.</w:t>
      </w:r>
    </w:p>
    <w:p>
      <w:pPr>
        <w:pStyle w:val="Heading1"/>
      </w:pPr>
      <w:r>
        <w:t>4. Source Basis and Methodology Backbone</w:t>
      </w:r>
    </w:p>
    <w:p>
      <w:r>
        <w:t>The product uses the Enterprise AI Assessment Framework v2.0 as the methodology backbone. That framework defines 12 assessment domains, score definitions, decision thresholds, practical tests, pass/fail criteria, automatic fail conditions, and regulatory/standards mappings. It also includes industry overlays and capital-resilience thinking. The application should not remove this depth; it should operationalise it behind a lighter UX.</w:t>
      </w:r>
    </w:p>
    <w:tbl>
      <w:tblPr>
        <w:tblStyle w:val="TableGrid"/>
        <w:tblW w:type="auto" w:w="0"/>
        <w:jc w:val="center"/>
        <w:tblLook w:firstColumn="1" w:firstRow="1" w:lastColumn="0" w:lastRow="0" w:noHBand="0" w:noVBand="1" w:val="04A0"/>
      </w:tblPr>
      <w:tblGrid>
        <w:gridCol w:w="3552"/>
        <w:gridCol w:w="3552"/>
        <w:gridCol w:w="3552"/>
      </w:tblGrid>
      <w:tr>
        <w:tc>
          <w:tcPr>
            <w:tcW w:type="dxa" w:w="3024"/>
            <w:shd w:fill="1F4E79"/>
            <w:vAlign w:val="center"/>
          </w:tcPr>
          <w:p>
            <w:pPr>
              <w:spacing w:after="0" w:before="0"/>
            </w:pPr>
            <w:r/>
            <w:r>
              <w:rPr>
                <w:b/>
                <w:color w:val="FFFFFF"/>
                <w:sz w:val="16"/>
              </w:rPr>
              <w:t>Methodology asset</w:t>
            </w:r>
          </w:p>
        </w:tc>
        <w:tc>
          <w:tcPr>
            <w:tcW w:type="dxa" w:w="4320"/>
            <w:shd w:fill="1F4E79"/>
            <w:vAlign w:val="center"/>
          </w:tcPr>
          <w:p>
            <w:pPr>
              <w:spacing w:after="0" w:before="0"/>
            </w:pPr>
            <w:r/>
            <w:r>
              <w:rPr>
                <w:b/>
                <w:color w:val="FFFFFF"/>
                <w:sz w:val="16"/>
              </w:rPr>
              <w:t>Backend use</w:t>
            </w:r>
          </w:p>
        </w:tc>
        <w:tc>
          <w:tcPr>
            <w:tcW w:type="dxa" w:w="3456"/>
            <w:shd w:fill="1F4E79"/>
            <w:vAlign w:val="center"/>
          </w:tcPr>
          <w:p>
            <w:pPr>
              <w:spacing w:after="0" w:before="0"/>
            </w:pPr>
            <w:r/>
            <w:r>
              <w:rPr>
                <w:b/>
                <w:color w:val="FFFFFF"/>
                <w:sz w:val="16"/>
              </w:rPr>
              <w:t>User-facing use</w:t>
            </w:r>
          </w:p>
        </w:tc>
      </w:tr>
      <w:tr>
        <w:tc>
          <w:tcPr>
            <w:tcW w:type="dxa" w:w="3024"/>
            <w:vAlign w:val="top"/>
          </w:tcPr>
          <w:p>
            <w:pPr>
              <w:spacing w:after="0" w:before="0"/>
            </w:pPr>
            <w:r/>
            <w:r>
              <w:rPr>
                <w:b w:val="0"/>
                <w:sz w:val="16"/>
              </w:rPr>
              <w:t>12-domain framework</w:t>
            </w:r>
          </w:p>
        </w:tc>
        <w:tc>
          <w:tcPr>
            <w:tcW w:type="dxa" w:w="4320"/>
            <w:vAlign w:val="top"/>
          </w:tcPr>
          <w:p>
            <w:pPr>
              <w:spacing w:after="0" w:before="0"/>
            </w:pPr>
            <w:r/>
            <w:r>
              <w:rPr>
                <w:b w:val="0"/>
                <w:sz w:val="16"/>
              </w:rPr>
              <w:t>Detailed scoring subfactors and advanced review.</w:t>
            </w:r>
          </w:p>
        </w:tc>
        <w:tc>
          <w:tcPr>
            <w:tcW w:type="dxa" w:w="3456"/>
            <w:vAlign w:val="top"/>
          </w:tcPr>
          <w:p>
            <w:pPr>
              <w:spacing w:after="0" w:before="0"/>
            </w:pPr>
            <w:r/>
            <w:r>
              <w:rPr>
                <w:b w:val="0"/>
                <w:sz w:val="16"/>
              </w:rPr>
              <w:t>Compressed into six pillars.</w:t>
            </w:r>
          </w:p>
        </w:tc>
      </w:tr>
      <w:tr>
        <w:tc>
          <w:tcPr>
            <w:tcW w:type="dxa" w:w="3024"/>
            <w:vAlign w:val="top"/>
          </w:tcPr>
          <w:p>
            <w:pPr>
              <w:spacing w:after="0" w:before="0"/>
            </w:pPr>
            <w:r/>
            <w:r>
              <w:rPr>
                <w:b w:val="0"/>
                <w:sz w:val="16"/>
              </w:rPr>
              <w:t>0-5 scoring model</w:t>
            </w:r>
          </w:p>
        </w:tc>
        <w:tc>
          <w:tcPr>
            <w:tcW w:type="dxa" w:w="4320"/>
            <w:vAlign w:val="top"/>
          </w:tcPr>
          <w:p>
            <w:pPr>
              <w:spacing w:after="0" w:before="0"/>
            </w:pPr>
            <w:r/>
            <w:r>
              <w:rPr>
                <w:b w:val="0"/>
                <w:sz w:val="16"/>
              </w:rPr>
              <w:t>Capability scoring baseline.</w:t>
            </w:r>
          </w:p>
        </w:tc>
        <w:tc>
          <w:tcPr>
            <w:tcW w:type="dxa" w:w="3456"/>
            <w:vAlign w:val="top"/>
          </w:tcPr>
          <w:p>
            <w:pPr>
              <w:spacing w:after="0" w:before="0"/>
            </w:pPr>
            <w:r/>
            <w:r>
              <w:rPr>
                <w:b w:val="0"/>
                <w:sz w:val="16"/>
              </w:rPr>
              <w:t>Translated into 0-100 pillar scores.</w:t>
            </w:r>
          </w:p>
        </w:tc>
      </w:tr>
      <w:tr>
        <w:tc>
          <w:tcPr>
            <w:tcW w:type="dxa" w:w="3024"/>
            <w:vAlign w:val="top"/>
          </w:tcPr>
          <w:p>
            <w:pPr>
              <w:spacing w:after="0" w:before="0"/>
            </w:pPr>
            <w:r/>
            <w:r>
              <w:rPr>
                <w:b w:val="0"/>
                <w:sz w:val="16"/>
              </w:rPr>
              <w:t>Decision thresholds</w:t>
            </w:r>
          </w:p>
        </w:tc>
        <w:tc>
          <w:tcPr>
            <w:tcW w:type="dxa" w:w="4320"/>
            <w:vAlign w:val="top"/>
          </w:tcPr>
          <w:p>
            <w:pPr>
              <w:spacing w:after="0" w:before="0"/>
            </w:pPr>
            <w:r/>
            <w:r>
              <w:rPr>
                <w:b w:val="0"/>
                <w:sz w:val="16"/>
              </w:rPr>
              <w:t>Risk/recommendation bands.</w:t>
            </w:r>
          </w:p>
        </w:tc>
        <w:tc>
          <w:tcPr>
            <w:tcW w:type="dxa" w:w="3456"/>
            <w:vAlign w:val="top"/>
          </w:tcPr>
          <w:p>
            <w:pPr>
              <w:spacing w:after="0" w:before="0"/>
            </w:pPr>
            <w:r/>
            <w:r>
              <w:rPr>
                <w:b w:val="0"/>
                <w:sz w:val="16"/>
              </w:rPr>
              <w:t>Shown as recommendation status: Reject, Pilot, Controlled, Enterprise-scale.</w:t>
            </w:r>
          </w:p>
        </w:tc>
      </w:tr>
      <w:tr>
        <w:tc>
          <w:tcPr>
            <w:tcW w:type="dxa" w:w="3024"/>
            <w:vAlign w:val="top"/>
          </w:tcPr>
          <w:p>
            <w:pPr>
              <w:spacing w:after="0" w:before="0"/>
            </w:pPr>
            <w:r/>
            <w:r>
              <w:rPr>
                <w:b w:val="0"/>
                <w:sz w:val="16"/>
              </w:rPr>
              <w:t>Automatic fail conditions</w:t>
            </w:r>
          </w:p>
        </w:tc>
        <w:tc>
          <w:tcPr>
            <w:tcW w:type="dxa" w:w="4320"/>
            <w:vAlign w:val="top"/>
          </w:tcPr>
          <w:p>
            <w:pPr>
              <w:spacing w:after="0" w:before="0"/>
            </w:pPr>
            <w:r/>
            <w:r>
              <w:rPr>
                <w:b w:val="0"/>
                <w:sz w:val="16"/>
              </w:rPr>
              <w:t>Risk engine blockers and penalties.</w:t>
            </w:r>
          </w:p>
        </w:tc>
        <w:tc>
          <w:tcPr>
            <w:tcW w:type="dxa" w:w="3456"/>
            <w:vAlign w:val="top"/>
          </w:tcPr>
          <w:p>
            <w:pPr>
              <w:spacing w:after="0" w:before="0"/>
            </w:pPr>
            <w:r/>
            <w:r>
              <w:rPr>
                <w:b w:val="0"/>
                <w:sz w:val="16"/>
              </w:rPr>
              <w:t>Shown as simplified red/amber risk flags.</w:t>
            </w:r>
          </w:p>
        </w:tc>
      </w:tr>
      <w:tr>
        <w:tc>
          <w:tcPr>
            <w:tcW w:type="dxa" w:w="3024"/>
            <w:vAlign w:val="top"/>
          </w:tcPr>
          <w:p>
            <w:pPr>
              <w:spacing w:after="0" w:before="0"/>
            </w:pPr>
            <w:r/>
            <w:r>
              <w:rPr>
                <w:b w:val="0"/>
                <w:sz w:val="16"/>
              </w:rPr>
              <w:t>Evidence pack</w:t>
            </w:r>
          </w:p>
        </w:tc>
        <w:tc>
          <w:tcPr>
            <w:tcW w:type="dxa" w:w="4320"/>
            <w:vAlign w:val="top"/>
          </w:tcPr>
          <w:p>
            <w:pPr>
              <w:spacing w:after="0" w:before="0"/>
            </w:pPr>
            <w:r/>
            <w:r>
              <w:rPr>
                <w:b w:val="0"/>
                <w:sz w:val="16"/>
              </w:rPr>
              <w:t>Evidence schema and vendor validation checklist.</w:t>
            </w:r>
          </w:p>
        </w:tc>
        <w:tc>
          <w:tcPr>
            <w:tcW w:type="dxa" w:w="3456"/>
            <w:vAlign w:val="top"/>
          </w:tcPr>
          <w:p>
            <w:pPr>
              <w:spacing w:after="0" w:before="0"/>
            </w:pPr>
            <w:r/>
            <w:r>
              <w:rPr>
                <w:b w:val="0"/>
                <w:sz w:val="16"/>
              </w:rPr>
              <w:t>Shown as missing evidence and recommended next steps.</w:t>
            </w:r>
          </w:p>
        </w:tc>
      </w:tr>
      <w:tr>
        <w:tc>
          <w:tcPr>
            <w:tcW w:type="dxa" w:w="3024"/>
            <w:vAlign w:val="top"/>
          </w:tcPr>
          <w:p>
            <w:pPr>
              <w:spacing w:after="0" w:before="0"/>
            </w:pPr>
            <w:r/>
            <w:r>
              <w:rPr>
                <w:b w:val="0"/>
                <w:sz w:val="16"/>
              </w:rPr>
              <w:t>Regulatory mappings</w:t>
            </w:r>
          </w:p>
        </w:tc>
        <w:tc>
          <w:tcPr>
            <w:tcW w:type="dxa" w:w="4320"/>
            <w:vAlign w:val="top"/>
          </w:tcPr>
          <w:p>
            <w:pPr>
              <w:spacing w:after="0" w:before="0"/>
            </w:pPr>
            <w:r/>
            <w:r>
              <w:rPr>
                <w:b w:val="0"/>
                <w:sz w:val="16"/>
              </w:rPr>
              <w:t>Compliance crosswalk and enterprise export pack.</w:t>
            </w:r>
          </w:p>
        </w:tc>
        <w:tc>
          <w:tcPr>
            <w:tcW w:type="dxa" w:w="3456"/>
            <w:vAlign w:val="top"/>
          </w:tcPr>
          <w:p>
            <w:pPr>
              <w:spacing w:after="0" w:before="0"/>
            </w:pPr>
            <w:r/>
            <w:r>
              <w:rPr>
                <w:b w:val="0"/>
                <w:sz w:val="16"/>
              </w:rPr>
              <w:t>Hidden from default UX; exposed in advanced/export.</w:t>
            </w:r>
          </w:p>
        </w:tc>
      </w:tr>
      <w:tr>
        <w:tc>
          <w:tcPr>
            <w:tcW w:type="dxa" w:w="3024"/>
            <w:vAlign w:val="top"/>
          </w:tcPr>
          <w:p>
            <w:pPr>
              <w:spacing w:after="0" w:before="0"/>
            </w:pPr>
            <w:r/>
            <w:r>
              <w:rPr>
                <w:b w:val="0"/>
                <w:sz w:val="16"/>
              </w:rPr>
              <w:t>Industry overlays</w:t>
            </w:r>
          </w:p>
        </w:tc>
        <w:tc>
          <w:tcPr>
            <w:tcW w:type="dxa" w:w="4320"/>
            <w:vAlign w:val="top"/>
          </w:tcPr>
          <w:p>
            <w:pPr>
              <w:spacing w:after="0" w:before="0"/>
            </w:pPr>
            <w:r/>
            <w:r>
              <w:rPr>
                <w:b w:val="0"/>
                <w:sz w:val="16"/>
              </w:rPr>
              <w:t>Dynamic weights, blockers, and confidence modifiers.</w:t>
            </w:r>
          </w:p>
        </w:tc>
        <w:tc>
          <w:tcPr>
            <w:tcW w:type="dxa" w:w="3456"/>
            <w:vAlign w:val="top"/>
          </w:tcPr>
          <w:p>
            <w:pPr>
              <w:spacing w:after="0" w:before="0"/>
            </w:pPr>
            <w:r/>
            <w:r>
              <w:rPr>
                <w:b w:val="0"/>
                <w:sz w:val="16"/>
              </w:rPr>
              <w:t>Used in ranking rationale.</w:t>
            </w:r>
          </w:p>
        </w:tc>
      </w:tr>
      <w:tr>
        <w:tc>
          <w:tcPr>
            <w:tcW w:type="dxa" w:w="3024"/>
            <w:vAlign w:val="top"/>
          </w:tcPr>
          <w:p>
            <w:pPr>
              <w:spacing w:after="0" w:before="0"/>
            </w:pPr>
            <w:r/>
            <w:r>
              <w:rPr>
                <w:b w:val="0"/>
                <w:sz w:val="16"/>
              </w:rPr>
              <w:t>Capital resilience domain</w:t>
            </w:r>
          </w:p>
        </w:tc>
        <w:tc>
          <w:tcPr>
            <w:tcW w:type="dxa" w:w="4320"/>
            <w:vAlign w:val="top"/>
          </w:tcPr>
          <w:p>
            <w:pPr>
              <w:spacing w:after="0" w:before="0"/>
            </w:pPr>
            <w:r/>
            <w:r>
              <w:rPr>
                <w:b w:val="0"/>
                <w:sz w:val="16"/>
              </w:rPr>
              <w:t>Vendor-resilience scoring and infrastructure dependency risk.</w:t>
            </w:r>
          </w:p>
        </w:tc>
        <w:tc>
          <w:tcPr>
            <w:tcW w:type="dxa" w:w="3456"/>
            <w:vAlign w:val="top"/>
          </w:tcPr>
          <w:p>
            <w:pPr>
              <w:spacing w:after="0" w:before="0"/>
            </w:pPr>
            <w:r/>
            <w:r>
              <w:rPr>
                <w:b w:val="0"/>
                <w:sz w:val="16"/>
              </w:rPr>
              <w:t>Shown in Vendor Resilience pillar.</w:t>
            </w:r>
          </w:p>
        </w:tc>
      </w:tr>
    </w:tbl>
    <w:p/>
    <w:p>
      <w:pPr>
        <w:pStyle w:val="Heading1"/>
      </w:pPr>
      <w:r>
        <w:t>5. Primary Personas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160"/>
            <w:shd w:fill="1F4E79"/>
            <w:vAlign w:val="center"/>
          </w:tcPr>
          <w:p>
            <w:pPr>
              <w:spacing w:after="0" w:before="0"/>
            </w:pPr>
            <w:r/>
            <w:r>
              <w:rPr>
                <w:b/>
                <w:color w:val="FFFFFF"/>
                <w:sz w:val="16"/>
              </w:rPr>
              <w:t>Persona</w:t>
            </w:r>
          </w:p>
        </w:tc>
        <w:tc>
          <w:tcPr>
            <w:tcW w:type="dxa" w:w="2880"/>
            <w:shd w:fill="1F4E79"/>
            <w:vAlign w:val="center"/>
          </w:tcPr>
          <w:p>
            <w:pPr>
              <w:spacing w:after="0" w:before="0"/>
            </w:pPr>
            <w:r/>
            <w:r>
              <w:rPr>
                <w:b/>
                <w:color w:val="FFFFFF"/>
                <w:sz w:val="16"/>
              </w:rPr>
              <w:t>Primary goal</w:t>
            </w:r>
          </w:p>
        </w:tc>
        <w:tc>
          <w:tcPr>
            <w:tcW w:type="dxa" w:w="3456"/>
            <w:shd w:fill="1F4E79"/>
            <w:vAlign w:val="center"/>
          </w:tcPr>
          <w:p>
            <w:pPr>
              <w:spacing w:after="0" w:before="0"/>
            </w:pPr>
            <w:r/>
            <w:r>
              <w:rPr>
                <w:b/>
                <w:color w:val="FFFFFF"/>
                <w:sz w:val="16"/>
              </w:rPr>
              <w:t>Needs</w:t>
            </w:r>
          </w:p>
        </w:tc>
        <w:tc>
          <w:tcPr>
            <w:tcW w:type="dxa" w:w="2736"/>
            <w:shd w:fill="1F4E79"/>
            <w:vAlign w:val="center"/>
          </w:tcPr>
          <w:p>
            <w:pPr>
              <w:spacing w:after="0" w:before="0"/>
            </w:pPr>
            <w:r/>
            <w:r>
              <w:rPr>
                <w:b/>
                <w:color w:val="FFFFFF"/>
                <w:sz w:val="16"/>
              </w:rPr>
              <w:t>Product value</w:t>
            </w:r>
          </w:p>
        </w:tc>
      </w:tr>
      <w:tr>
        <w:tc>
          <w:tcPr>
            <w:tcW w:type="dxa" w:w="2160"/>
            <w:vAlign w:val="top"/>
          </w:tcPr>
          <w:p>
            <w:pPr>
              <w:spacing w:after="0" w:before="0"/>
            </w:pPr>
            <w:r/>
            <w:r>
              <w:rPr>
                <w:b w:val="0"/>
                <w:sz w:val="16"/>
              </w:rPr>
              <w:t>CEO / COO / Board sponsor</w:t>
            </w:r>
          </w:p>
        </w:tc>
        <w:tc>
          <w:tcPr>
            <w:tcW w:type="dxa" w:w="2880"/>
            <w:vAlign w:val="top"/>
          </w:tcPr>
          <w:p>
            <w:pPr>
              <w:spacing w:after="0" w:before="0"/>
            </w:pPr>
            <w:r/>
            <w:r>
              <w:rPr>
                <w:b w:val="0"/>
                <w:sz w:val="16"/>
              </w:rPr>
              <w:t>Decide which AI platforms deserve serious consideration.</w:t>
            </w:r>
          </w:p>
        </w:tc>
        <w:tc>
          <w:tcPr>
            <w:tcW w:type="dxa" w:w="3456"/>
            <w:vAlign w:val="top"/>
          </w:tcPr>
          <w:p>
            <w:pPr>
              <w:spacing w:after="0" w:before="0"/>
            </w:pPr>
            <w:r/>
            <w:r>
              <w:rPr>
                <w:b w:val="0"/>
                <w:sz w:val="16"/>
              </w:rPr>
              <w:t>Fast answer, confidence, risk summary, defensible rationale.</w:t>
            </w:r>
          </w:p>
        </w:tc>
        <w:tc>
          <w:tcPr>
            <w:tcW w:type="dxa" w:w="2736"/>
            <w:vAlign w:val="top"/>
          </w:tcPr>
          <w:p>
            <w:pPr>
              <w:spacing w:after="0" w:before="0"/>
            </w:pPr>
            <w:r/>
            <w:r>
              <w:rPr>
                <w:b w:val="0"/>
                <w:sz w:val="16"/>
              </w:rPr>
              <w:t>Ranked shortlist and executive scorecard.</w:t>
            </w:r>
          </w:p>
        </w:tc>
      </w:tr>
      <w:tr>
        <w:tc>
          <w:tcPr>
            <w:tcW w:type="dxa" w:w="2160"/>
            <w:vAlign w:val="top"/>
          </w:tcPr>
          <w:p>
            <w:pPr>
              <w:spacing w:after="0" w:before="0"/>
            </w:pPr>
            <w:r/>
            <w:r>
              <w:rPr>
                <w:b w:val="0"/>
                <w:sz w:val="16"/>
              </w:rPr>
              <w:t>CIO / CTO / CDO</w:t>
            </w:r>
          </w:p>
        </w:tc>
        <w:tc>
          <w:tcPr>
            <w:tcW w:type="dxa" w:w="2880"/>
            <w:vAlign w:val="top"/>
          </w:tcPr>
          <w:p>
            <w:pPr>
              <w:spacing w:after="0" w:before="0"/>
            </w:pPr>
            <w:r/>
            <w:r>
              <w:rPr>
                <w:b w:val="0"/>
                <w:sz w:val="16"/>
              </w:rPr>
              <w:t>Assess fit with enterprise architecture and data strategy.</w:t>
            </w:r>
          </w:p>
        </w:tc>
        <w:tc>
          <w:tcPr>
            <w:tcW w:type="dxa" w:w="3456"/>
            <w:vAlign w:val="top"/>
          </w:tcPr>
          <w:p>
            <w:pPr>
              <w:spacing w:after="0" w:before="0"/>
            </w:pPr>
            <w:r/>
            <w:r>
              <w:rPr>
                <w:b w:val="0"/>
                <w:sz w:val="16"/>
              </w:rPr>
              <w:t>Integration, security, scalability, model portability, observability.</w:t>
            </w:r>
          </w:p>
        </w:tc>
        <w:tc>
          <w:tcPr>
            <w:tcW w:type="dxa" w:w="2736"/>
            <w:vAlign w:val="top"/>
          </w:tcPr>
          <w:p>
            <w:pPr>
              <w:spacing w:after="0" w:before="0"/>
            </w:pPr>
            <w:r/>
            <w:r>
              <w:rPr>
                <w:b w:val="0"/>
                <w:sz w:val="16"/>
              </w:rPr>
              <w:t>Drill-down into Enterprise Control and Integration &amp; Operations.</w:t>
            </w:r>
          </w:p>
        </w:tc>
      </w:tr>
      <w:tr>
        <w:tc>
          <w:tcPr>
            <w:tcW w:type="dxa" w:w="2160"/>
            <w:vAlign w:val="top"/>
          </w:tcPr>
          <w:p>
            <w:pPr>
              <w:spacing w:after="0" w:before="0"/>
            </w:pPr>
            <w:r/>
            <w:r>
              <w:rPr>
                <w:b w:val="0"/>
                <w:sz w:val="16"/>
              </w:rPr>
              <w:t>CISO / Security architect</w:t>
            </w:r>
          </w:p>
        </w:tc>
        <w:tc>
          <w:tcPr>
            <w:tcW w:type="dxa" w:w="2880"/>
            <w:vAlign w:val="top"/>
          </w:tcPr>
          <w:p>
            <w:pPr>
              <w:spacing w:after="0" w:before="0"/>
            </w:pPr>
            <w:r/>
            <w:r>
              <w:rPr>
                <w:b w:val="0"/>
                <w:sz w:val="16"/>
              </w:rPr>
              <w:t>Identify unsafe platforms before procurement advances.</w:t>
            </w:r>
          </w:p>
        </w:tc>
        <w:tc>
          <w:tcPr>
            <w:tcW w:type="dxa" w:w="3456"/>
            <w:vAlign w:val="top"/>
          </w:tcPr>
          <w:p>
            <w:pPr>
              <w:spacing w:after="0" w:before="0"/>
            </w:pPr>
            <w:r/>
            <w:r>
              <w:rPr>
                <w:b w:val="0"/>
                <w:sz w:val="16"/>
              </w:rPr>
              <w:t>Permissioning, data flow, subprocessors, threat resilience, auditability.</w:t>
            </w:r>
          </w:p>
        </w:tc>
        <w:tc>
          <w:tcPr>
            <w:tcW w:type="dxa" w:w="2736"/>
            <w:vAlign w:val="top"/>
          </w:tcPr>
          <w:p>
            <w:pPr>
              <w:spacing w:after="0" w:before="0"/>
            </w:pPr>
            <w:r/>
            <w:r>
              <w:rPr>
                <w:b w:val="0"/>
                <w:sz w:val="16"/>
              </w:rPr>
              <w:t>Risk flags, evidence sources, advanced security detail.</w:t>
            </w:r>
          </w:p>
        </w:tc>
      </w:tr>
      <w:tr>
        <w:tc>
          <w:tcPr>
            <w:tcW w:type="dxa" w:w="2160"/>
            <w:vAlign w:val="top"/>
          </w:tcPr>
          <w:p>
            <w:pPr>
              <w:spacing w:after="0" w:before="0"/>
            </w:pPr>
            <w:r/>
            <w:r>
              <w:rPr>
                <w:b w:val="0"/>
                <w:sz w:val="16"/>
              </w:rPr>
              <w:t>Procurement / Vendor management</w:t>
            </w:r>
          </w:p>
        </w:tc>
        <w:tc>
          <w:tcPr>
            <w:tcW w:type="dxa" w:w="2880"/>
            <w:vAlign w:val="top"/>
          </w:tcPr>
          <w:p>
            <w:pPr>
              <w:spacing w:after="0" w:before="0"/>
            </w:pPr>
            <w:r/>
            <w:r>
              <w:rPr>
                <w:b w:val="0"/>
                <w:sz w:val="16"/>
              </w:rPr>
              <w:t>Compare vendors quickly and identify validation asks.</w:t>
            </w:r>
          </w:p>
        </w:tc>
        <w:tc>
          <w:tcPr>
            <w:tcW w:type="dxa" w:w="3456"/>
            <w:vAlign w:val="top"/>
          </w:tcPr>
          <w:p>
            <w:pPr>
              <w:spacing w:after="0" w:before="0"/>
            </w:pPr>
            <w:r/>
            <w:r>
              <w:rPr>
                <w:b w:val="0"/>
                <w:sz w:val="16"/>
              </w:rPr>
              <w:t>Evidence pack, risk gaps, commercial resilience, exit risk.</w:t>
            </w:r>
          </w:p>
        </w:tc>
        <w:tc>
          <w:tcPr>
            <w:tcW w:type="dxa" w:w="2736"/>
            <w:vAlign w:val="top"/>
          </w:tcPr>
          <w:p>
            <w:pPr>
              <w:spacing w:after="0" w:before="0"/>
            </w:pPr>
            <w:r/>
            <w:r>
              <w:rPr>
                <w:b w:val="0"/>
                <w:sz w:val="16"/>
              </w:rPr>
              <w:t>Vendor comparison and missing-evidence checklist.</w:t>
            </w:r>
          </w:p>
        </w:tc>
      </w:tr>
      <w:tr>
        <w:tc>
          <w:tcPr>
            <w:tcW w:type="dxa" w:w="2160"/>
            <w:vAlign w:val="top"/>
          </w:tcPr>
          <w:p>
            <w:pPr>
              <w:spacing w:after="0" w:before="0"/>
            </w:pPr>
            <w:r/>
            <w:r>
              <w:rPr>
                <w:b w:val="0"/>
                <w:sz w:val="16"/>
              </w:rPr>
              <w:t>AI governance / Risk / Legal</w:t>
            </w:r>
          </w:p>
        </w:tc>
        <w:tc>
          <w:tcPr>
            <w:tcW w:type="dxa" w:w="2880"/>
            <w:vAlign w:val="top"/>
          </w:tcPr>
          <w:p>
            <w:pPr>
              <w:spacing w:after="0" w:before="0"/>
            </w:pPr>
            <w:r/>
            <w:r>
              <w:rPr>
                <w:b w:val="0"/>
                <w:sz w:val="16"/>
              </w:rPr>
              <w:t>Ensure deployment aligns with governance and regulatory expectations.</w:t>
            </w:r>
          </w:p>
        </w:tc>
        <w:tc>
          <w:tcPr>
            <w:tcW w:type="dxa" w:w="3456"/>
            <w:vAlign w:val="top"/>
          </w:tcPr>
          <w:p>
            <w:pPr>
              <w:spacing w:after="0" w:before="0"/>
            </w:pPr>
            <w:r/>
            <w:r>
              <w:rPr>
                <w:b w:val="0"/>
                <w:sz w:val="16"/>
              </w:rPr>
              <w:t>Use-case risk, auditability, human oversight, standards mapping.</w:t>
            </w:r>
          </w:p>
        </w:tc>
        <w:tc>
          <w:tcPr>
            <w:tcW w:type="dxa" w:w="2736"/>
            <w:vAlign w:val="top"/>
          </w:tcPr>
          <w:p>
            <w:pPr>
              <w:spacing w:after="0" w:before="0"/>
            </w:pPr>
            <w:r/>
            <w:r>
              <w:rPr>
                <w:b w:val="0"/>
                <w:sz w:val="16"/>
              </w:rPr>
              <w:t>Advanced compliance export and risk register.</w:t>
            </w:r>
          </w:p>
        </w:tc>
      </w:tr>
      <w:tr>
        <w:tc>
          <w:tcPr>
            <w:tcW w:type="dxa" w:w="2160"/>
            <w:vAlign w:val="top"/>
          </w:tcPr>
          <w:p>
            <w:pPr>
              <w:spacing w:after="0" w:before="0"/>
            </w:pPr>
            <w:r/>
            <w:r>
              <w:rPr>
                <w:b w:val="0"/>
                <w:sz w:val="16"/>
              </w:rPr>
              <w:t>Business unit lead</w:t>
            </w:r>
          </w:p>
        </w:tc>
        <w:tc>
          <w:tcPr>
            <w:tcW w:type="dxa" w:w="2880"/>
            <w:vAlign w:val="top"/>
          </w:tcPr>
          <w:p>
            <w:pPr>
              <w:spacing w:after="0" w:before="0"/>
            </w:pPr>
            <w:r/>
            <w:r>
              <w:rPr>
                <w:b w:val="0"/>
                <w:sz w:val="16"/>
              </w:rPr>
              <w:t>Find practical platforms for specific workflows.</w:t>
            </w:r>
          </w:p>
        </w:tc>
        <w:tc>
          <w:tcPr>
            <w:tcW w:type="dxa" w:w="3456"/>
            <w:vAlign w:val="top"/>
          </w:tcPr>
          <w:p>
            <w:pPr>
              <w:spacing w:after="0" w:before="0"/>
            </w:pPr>
            <w:r/>
            <w:r>
              <w:rPr>
                <w:b w:val="0"/>
                <w:sz w:val="16"/>
              </w:rPr>
              <w:t>Use-case fit, adoption likelihood, business value, ecosystem fit.</w:t>
            </w:r>
          </w:p>
        </w:tc>
        <w:tc>
          <w:tcPr>
            <w:tcW w:type="dxa" w:w="2736"/>
            <w:vAlign w:val="top"/>
          </w:tcPr>
          <w:p>
            <w:pPr>
              <w:spacing w:after="0" w:before="0"/>
            </w:pPr>
            <w:r/>
            <w:r>
              <w:rPr>
                <w:b w:val="0"/>
                <w:sz w:val="16"/>
              </w:rPr>
              <w:t>Business Fit score and recommended validation tasks.</w:t>
            </w:r>
          </w:p>
        </w:tc>
      </w:tr>
    </w:tbl>
    <w:p/>
    <w:p>
      <w:pPr>
        <w:pStyle w:val="Heading1"/>
      </w:pPr>
      <w:r>
        <w:t>6. End-to-End User Journey</w:t>
      </w:r>
    </w:p>
    <w:p>
      <w:pPr>
        <w:pStyle w:val="ListNumber"/>
      </w:pPr>
      <w:r>
        <w:t>Landing page explains the product promise: answer 10 questions, receive ranked AI platform shortlist with evidence-backed scoring.</w:t>
      </w:r>
    </w:p>
    <w:p>
      <w:pPr>
        <w:pStyle w:val="ListNumber"/>
      </w:pPr>
      <w:r>
        <w:t>User selects industry archetype and optionally region/jurisdiction.</w:t>
      </w:r>
    </w:p>
    <w:p>
      <w:pPr>
        <w:pStyle w:val="ListNumber"/>
      </w:pPr>
      <w:r>
        <w:t>User selects organisation size and enterprise maturity stage.</w:t>
      </w:r>
    </w:p>
    <w:p>
      <w:pPr>
        <w:pStyle w:val="ListNumber"/>
      </w:pPr>
      <w:r>
        <w:t>User selects primary AI objective and one or more use cases.</w:t>
      </w:r>
    </w:p>
    <w:p>
      <w:pPr>
        <w:pStyle w:val="ListNumber"/>
      </w:pPr>
      <w:r>
        <w:t>User sets risk profile, data sensitivity, autonomy appetite, deployment preference, budget sensitivity, and current ecosystem.</w:t>
      </w:r>
    </w:p>
    <w:p>
      <w:pPr>
        <w:pStyle w:val="ListNumber"/>
      </w:pPr>
      <w:r>
        <w:t>User chooses vendors to compare or asks the system to recommend a shortlist.</w:t>
      </w:r>
    </w:p>
    <w:p>
      <w:pPr>
        <w:pStyle w:val="ListNumber"/>
      </w:pPr>
      <w:r>
        <w:t>App retrieves vendor intelligence profiles and applies dynamic weighting.</w:t>
      </w:r>
    </w:p>
    <w:p>
      <w:pPr>
        <w:pStyle w:val="ListNumber"/>
      </w:pPr>
      <w:r>
        <w:t>Scoring engine calculates pillar scores, confidence scores, risk penalties, missing-evidence penalties, and sector adoption fit.</w:t>
      </w:r>
    </w:p>
    <w:p>
      <w:pPr>
        <w:pStyle w:val="ListNumber"/>
      </w:pPr>
      <w:r>
        <w:t>User receives ranked shortlist with explanation, risk flags, confidence, missing evidence, and next validation steps.</w:t>
      </w:r>
    </w:p>
    <w:p>
      <w:pPr>
        <w:pStyle w:val="ListNumber"/>
      </w:pPr>
      <w:r>
        <w:t>User can open advanced drill-down for each score, export a board pack, or start a deeper vendor-validation workflow.</w:t>
      </w:r>
    </w:p>
    <w:p>
      <w:pPr>
        <w:pStyle w:val="Heading1"/>
      </w:pPr>
      <w:r>
        <w:t>7. Two-Minute Input Flow Specification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648"/>
            <w:shd w:fill="1F4E79"/>
            <w:vAlign w:val="center"/>
          </w:tcPr>
          <w:p>
            <w:pPr>
              <w:spacing w:after="0" w:before="0"/>
            </w:pPr>
            <w:r/>
            <w:r>
              <w:rPr>
                <w:b/>
                <w:color w:val="FFFFFF"/>
                <w:sz w:val="14"/>
              </w:rPr>
              <w:t>Step</w:t>
            </w:r>
          </w:p>
        </w:tc>
        <w:tc>
          <w:tcPr>
            <w:tcW w:type="dxa" w:w="2232"/>
            <w:shd w:fill="1F4E79"/>
            <w:vAlign w:val="center"/>
          </w:tcPr>
          <w:p>
            <w:pPr>
              <w:spacing w:after="0" w:before="0"/>
            </w:pPr>
            <w:r/>
            <w:r>
              <w:rPr>
                <w:b/>
                <w:color w:val="FFFFFF"/>
                <w:sz w:val="14"/>
              </w:rPr>
              <w:t>Input</w:t>
            </w:r>
          </w:p>
        </w:tc>
        <w:tc>
          <w:tcPr>
            <w:tcW w:type="dxa" w:w="2016"/>
            <w:shd w:fill="1F4E79"/>
            <w:vAlign w:val="center"/>
          </w:tcPr>
          <w:p>
            <w:pPr>
              <w:spacing w:after="0" w:before="0"/>
            </w:pPr>
            <w:r/>
            <w:r>
              <w:rPr>
                <w:b/>
                <w:color w:val="FFFFFF"/>
                <w:sz w:val="14"/>
              </w:rPr>
              <w:t>Control type</w:t>
            </w:r>
          </w:p>
        </w:tc>
        <w:tc>
          <w:tcPr>
            <w:tcW w:type="dxa" w:w="1152"/>
            <w:shd w:fill="1F4E79"/>
            <w:vAlign w:val="center"/>
          </w:tcPr>
          <w:p>
            <w:pPr>
              <w:spacing w:after="0" w:before="0"/>
            </w:pPr>
            <w:r/>
            <w:r>
              <w:rPr>
                <w:b/>
                <w:color w:val="FFFFFF"/>
                <w:sz w:val="14"/>
              </w:rPr>
              <w:t>Required?</w:t>
            </w:r>
          </w:p>
        </w:tc>
        <w:tc>
          <w:tcPr>
            <w:tcW w:type="dxa" w:w="4608"/>
            <w:shd w:fill="1F4E79"/>
            <w:vAlign w:val="center"/>
          </w:tcPr>
          <w:p>
            <w:pPr>
              <w:spacing w:after="0" w:before="0"/>
            </w:pPr>
            <w:r/>
            <w:r>
              <w:rPr>
                <w:b/>
                <w:color w:val="FFFFFF"/>
                <w:sz w:val="14"/>
              </w:rPr>
              <w:t>Backend effect</w:t>
            </w:r>
          </w:p>
        </w:tc>
      </w:tr>
      <w:tr>
        <w:tc>
          <w:tcPr>
            <w:tcW w:type="dxa" w:w="648"/>
            <w:vAlign w:val="top"/>
          </w:tcPr>
          <w:p>
            <w:pPr>
              <w:spacing w:after="0" w:before="0"/>
            </w:pPr>
            <w:r/>
            <w:r>
              <w:rPr>
                <w:b w:val="0"/>
                <w:sz w:val="14"/>
              </w:rPr>
              <w:t>1</w:t>
            </w:r>
          </w:p>
        </w:tc>
        <w:tc>
          <w:tcPr>
            <w:tcW w:type="dxa" w:w="2232"/>
            <w:vAlign w:val="top"/>
          </w:tcPr>
          <w:p>
            <w:pPr>
              <w:spacing w:after="0" w:before="0"/>
            </w:pPr>
            <w:r/>
            <w:r>
              <w:rPr>
                <w:b w:val="0"/>
                <w:sz w:val="14"/>
              </w:rPr>
              <w:t>Industry archetype</w:t>
            </w:r>
          </w:p>
        </w:tc>
        <w:tc>
          <w:tcPr>
            <w:tcW w:type="dxa" w:w="2016"/>
            <w:vAlign w:val="top"/>
          </w:tcPr>
          <w:p>
            <w:pPr>
              <w:spacing w:after="0" w:before="0"/>
            </w:pPr>
            <w:r/>
            <w:r>
              <w:rPr>
                <w:b w:val="0"/>
                <w:sz w:val="14"/>
              </w:rPr>
              <w:t>Dropdown/search</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Applies industry weights, blockers, adoption maturity, evidence strictness.</w:t>
            </w:r>
          </w:p>
        </w:tc>
      </w:tr>
      <w:tr>
        <w:tc>
          <w:tcPr>
            <w:tcW w:type="dxa" w:w="648"/>
            <w:vAlign w:val="top"/>
          </w:tcPr>
          <w:p>
            <w:pPr>
              <w:spacing w:after="0" w:before="0"/>
            </w:pPr>
            <w:r/>
            <w:r>
              <w:rPr>
                <w:b w:val="0"/>
                <w:sz w:val="14"/>
              </w:rPr>
              <w:t>2</w:t>
            </w:r>
          </w:p>
        </w:tc>
        <w:tc>
          <w:tcPr>
            <w:tcW w:type="dxa" w:w="2232"/>
            <w:vAlign w:val="top"/>
          </w:tcPr>
          <w:p>
            <w:pPr>
              <w:spacing w:after="0" w:before="0"/>
            </w:pPr>
            <w:r/>
            <w:r>
              <w:rPr>
                <w:b w:val="0"/>
                <w:sz w:val="14"/>
              </w:rPr>
              <w:t>Region/jurisdiction</w:t>
            </w:r>
          </w:p>
        </w:tc>
        <w:tc>
          <w:tcPr>
            <w:tcW w:type="dxa" w:w="2016"/>
            <w:vAlign w:val="top"/>
          </w:tcPr>
          <w:p>
            <w:pPr>
              <w:spacing w:after="0" w:before="0"/>
            </w:pPr>
            <w:r/>
            <w:r>
              <w:rPr>
                <w:b w:val="0"/>
                <w:sz w:val="14"/>
              </w:rPr>
              <w:t>Dropdown/multi-select</w:t>
            </w:r>
          </w:p>
        </w:tc>
        <w:tc>
          <w:tcPr>
            <w:tcW w:type="dxa" w:w="1152"/>
            <w:vAlign w:val="top"/>
          </w:tcPr>
          <w:p>
            <w:pPr>
              <w:spacing w:after="0" w:before="0"/>
            </w:pPr>
            <w:r/>
            <w:r>
              <w:rPr>
                <w:b w:val="0"/>
                <w:sz w:val="14"/>
              </w:rPr>
              <w:t>Optional MVP; important v2</w:t>
            </w:r>
          </w:p>
        </w:tc>
        <w:tc>
          <w:tcPr>
            <w:tcW w:type="dxa" w:w="4608"/>
            <w:vAlign w:val="top"/>
          </w:tcPr>
          <w:p>
            <w:pPr>
              <w:spacing w:after="0" w:before="0"/>
            </w:pPr>
            <w:r/>
            <w:r>
              <w:rPr>
                <w:b w:val="0"/>
                <w:sz w:val="14"/>
              </w:rPr>
              <w:t>Adds EU/UK/US/regional privacy and regulatory modifiers.</w:t>
            </w:r>
          </w:p>
        </w:tc>
      </w:tr>
      <w:tr>
        <w:tc>
          <w:tcPr>
            <w:tcW w:type="dxa" w:w="648"/>
            <w:vAlign w:val="top"/>
          </w:tcPr>
          <w:p>
            <w:pPr>
              <w:spacing w:after="0" w:before="0"/>
            </w:pPr>
            <w:r/>
            <w:r>
              <w:rPr>
                <w:b w:val="0"/>
                <w:sz w:val="14"/>
              </w:rPr>
              <w:t>3</w:t>
            </w:r>
          </w:p>
        </w:tc>
        <w:tc>
          <w:tcPr>
            <w:tcW w:type="dxa" w:w="2232"/>
            <w:vAlign w:val="top"/>
          </w:tcPr>
          <w:p>
            <w:pPr>
              <w:spacing w:after="0" w:before="0"/>
            </w:pPr>
            <w:r/>
            <w:r>
              <w:rPr>
                <w:b w:val="0"/>
                <w:sz w:val="14"/>
              </w:rPr>
              <w:t>Organisation size</w:t>
            </w:r>
          </w:p>
        </w:tc>
        <w:tc>
          <w:tcPr>
            <w:tcW w:type="dxa" w:w="2016"/>
            <w:vAlign w:val="top"/>
          </w:tcPr>
          <w:p>
            <w:pPr>
              <w:spacing w:after="0" w:before="0"/>
            </w:pPr>
            <w:r/>
            <w:r>
              <w:rPr>
                <w:b w:val="0"/>
                <w:sz w:val="14"/>
              </w:rPr>
              <w:t>Dropdown</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Adjusts scale, control, integration, and vendor maturity expectations.</w:t>
            </w:r>
          </w:p>
        </w:tc>
      </w:tr>
      <w:tr>
        <w:tc>
          <w:tcPr>
            <w:tcW w:type="dxa" w:w="648"/>
            <w:vAlign w:val="top"/>
          </w:tcPr>
          <w:p>
            <w:pPr>
              <w:spacing w:after="0" w:before="0"/>
            </w:pPr>
            <w:r/>
            <w:r>
              <w:rPr>
                <w:b w:val="0"/>
                <w:sz w:val="14"/>
              </w:rPr>
              <w:t>4</w:t>
            </w:r>
          </w:p>
        </w:tc>
        <w:tc>
          <w:tcPr>
            <w:tcW w:type="dxa" w:w="2232"/>
            <w:vAlign w:val="top"/>
          </w:tcPr>
          <w:p>
            <w:pPr>
              <w:spacing w:after="0" w:before="0"/>
            </w:pPr>
            <w:r/>
            <w:r>
              <w:rPr>
                <w:b w:val="0"/>
                <w:sz w:val="14"/>
              </w:rPr>
              <w:t>AI maturity stage</w:t>
            </w:r>
          </w:p>
        </w:tc>
        <w:tc>
          <w:tcPr>
            <w:tcW w:type="dxa" w:w="2016"/>
            <w:vAlign w:val="top"/>
          </w:tcPr>
          <w:p>
            <w:pPr>
              <w:spacing w:after="0" w:before="0"/>
            </w:pPr>
            <w:r/>
            <w:r>
              <w:rPr>
                <w:b w:val="0"/>
                <w:sz w:val="14"/>
              </w:rPr>
              <w:t>Dropdown</w:t>
            </w:r>
          </w:p>
        </w:tc>
        <w:tc>
          <w:tcPr>
            <w:tcW w:type="dxa" w:w="1152"/>
            <w:vAlign w:val="top"/>
          </w:tcPr>
          <w:p>
            <w:pPr>
              <w:spacing w:after="0" w:before="0"/>
            </w:pPr>
            <w:r/>
            <w:r>
              <w:rPr>
                <w:b w:val="0"/>
                <w:sz w:val="14"/>
              </w:rPr>
              <w:t>Optional MVP</w:t>
            </w:r>
          </w:p>
        </w:tc>
        <w:tc>
          <w:tcPr>
            <w:tcW w:type="dxa" w:w="4608"/>
            <w:vAlign w:val="top"/>
          </w:tcPr>
          <w:p>
            <w:pPr>
              <w:spacing w:after="0" w:before="0"/>
            </w:pPr>
            <w:r/>
            <w:r>
              <w:rPr>
                <w:b w:val="0"/>
                <w:sz w:val="14"/>
              </w:rPr>
              <w:t>Adjusts urgency and validation recommendations.</w:t>
            </w:r>
          </w:p>
        </w:tc>
      </w:tr>
      <w:tr>
        <w:tc>
          <w:tcPr>
            <w:tcW w:type="dxa" w:w="648"/>
            <w:vAlign w:val="top"/>
          </w:tcPr>
          <w:p>
            <w:pPr>
              <w:spacing w:after="0" w:before="0"/>
            </w:pPr>
            <w:r/>
            <w:r>
              <w:rPr>
                <w:b w:val="0"/>
                <w:sz w:val="14"/>
              </w:rPr>
              <w:t>5</w:t>
            </w:r>
          </w:p>
        </w:tc>
        <w:tc>
          <w:tcPr>
            <w:tcW w:type="dxa" w:w="2232"/>
            <w:vAlign w:val="top"/>
          </w:tcPr>
          <w:p>
            <w:pPr>
              <w:spacing w:after="0" w:before="0"/>
            </w:pPr>
            <w:r/>
            <w:r>
              <w:rPr>
                <w:b w:val="0"/>
                <w:sz w:val="14"/>
              </w:rPr>
              <w:t>Primary objective</w:t>
            </w:r>
          </w:p>
        </w:tc>
        <w:tc>
          <w:tcPr>
            <w:tcW w:type="dxa" w:w="2016"/>
            <w:vAlign w:val="top"/>
          </w:tcPr>
          <w:p>
            <w:pPr>
              <w:spacing w:after="0" w:before="0"/>
            </w:pPr>
            <w:r/>
            <w:r>
              <w:rPr>
                <w:b w:val="0"/>
                <w:sz w:val="14"/>
              </w:rPr>
              <w:t>Multi-select</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Adjusts Business Fit and Market Strength interpretation.</w:t>
            </w:r>
          </w:p>
        </w:tc>
      </w:tr>
      <w:tr>
        <w:tc>
          <w:tcPr>
            <w:tcW w:type="dxa" w:w="648"/>
            <w:vAlign w:val="top"/>
          </w:tcPr>
          <w:p>
            <w:pPr>
              <w:spacing w:after="0" w:before="0"/>
            </w:pPr>
            <w:r/>
            <w:r>
              <w:rPr>
                <w:b w:val="0"/>
                <w:sz w:val="14"/>
              </w:rPr>
              <w:t>6</w:t>
            </w:r>
          </w:p>
        </w:tc>
        <w:tc>
          <w:tcPr>
            <w:tcW w:type="dxa" w:w="2232"/>
            <w:vAlign w:val="top"/>
          </w:tcPr>
          <w:p>
            <w:pPr>
              <w:spacing w:after="0" w:before="0"/>
            </w:pPr>
            <w:r/>
            <w:r>
              <w:rPr>
                <w:b w:val="0"/>
                <w:sz w:val="14"/>
              </w:rPr>
              <w:t>Main use case(s)</w:t>
            </w:r>
          </w:p>
        </w:tc>
        <w:tc>
          <w:tcPr>
            <w:tcW w:type="dxa" w:w="2016"/>
            <w:vAlign w:val="top"/>
          </w:tcPr>
          <w:p>
            <w:pPr>
              <w:spacing w:after="0" w:before="0"/>
            </w:pPr>
            <w:r/>
            <w:r>
              <w:rPr>
                <w:b w:val="0"/>
                <w:sz w:val="14"/>
              </w:rPr>
              <w:t>Multi-select</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Maps to risk tier, vendor capability fit, reliability needs.</w:t>
            </w:r>
          </w:p>
        </w:tc>
      </w:tr>
      <w:tr>
        <w:tc>
          <w:tcPr>
            <w:tcW w:type="dxa" w:w="648"/>
            <w:vAlign w:val="top"/>
          </w:tcPr>
          <w:p>
            <w:pPr>
              <w:spacing w:after="0" w:before="0"/>
            </w:pPr>
            <w:r/>
            <w:r>
              <w:rPr>
                <w:b w:val="0"/>
                <w:sz w:val="14"/>
              </w:rPr>
              <w:t>7</w:t>
            </w:r>
          </w:p>
        </w:tc>
        <w:tc>
          <w:tcPr>
            <w:tcW w:type="dxa" w:w="2232"/>
            <w:vAlign w:val="top"/>
          </w:tcPr>
          <w:p>
            <w:pPr>
              <w:spacing w:after="0" w:before="0"/>
            </w:pPr>
            <w:r/>
            <w:r>
              <w:rPr>
                <w:b w:val="0"/>
                <w:sz w:val="14"/>
              </w:rPr>
              <w:t>Data sensitivity</w:t>
            </w:r>
          </w:p>
        </w:tc>
        <w:tc>
          <w:tcPr>
            <w:tcW w:type="dxa" w:w="2016"/>
            <w:vAlign w:val="top"/>
          </w:tcPr>
          <w:p>
            <w:pPr>
              <w:spacing w:after="0" w:before="0"/>
            </w:pPr>
            <w:r/>
            <w:r>
              <w:rPr>
                <w:b w:val="0"/>
                <w:sz w:val="14"/>
              </w:rPr>
              <w:t>Slider 1-5</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Adjusts Enterprise Control weight and blocker severity.</w:t>
            </w:r>
          </w:p>
        </w:tc>
      </w:tr>
      <w:tr>
        <w:tc>
          <w:tcPr>
            <w:tcW w:type="dxa" w:w="648"/>
            <w:vAlign w:val="top"/>
          </w:tcPr>
          <w:p>
            <w:pPr>
              <w:spacing w:after="0" w:before="0"/>
            </w:pPr>
            <w:r/>
            <w:r>
              <w:rPr>
                <w:b w:val="0"/>
                <w:sz w:val="14"/>
              </w:rPr>
              <w:t>8</w:t>
            </w:r>
          </w:p>
        </w:tc>
        <w:tc>
          <w:tcPr>
            <w:tcW w:type="dxa" w:w="2232"/>
            <w:vAlign w:val="top"/>
          </w:tcPr>
          <w:p>
            <w:pPr>
              <w:spacing w:after="0" w:before="0"/>
            </w:pPr>
            <w:r/>
            <w:r>
              <w:rPr>
                <w:b w:val="0"/>
                <w:sz w:val="14"/>
              </w:rPr>
              <w:t>Risk tolerance</w:t>
            </w:r>
          </w:p>
        </w:tc>
        <w:tc>
          <w:tcPr>
            <w:tcW w:type="dxa" w:w="2016"/>
            <w:vAlign w:val="top"/>
          </w:tcPr>
          <w:p>
            <w:pPr>
              <w:spacing w:after="0" w:before="0"/>
            </w:pPr>
            <w:r/>
            <w:r>
              <w:rPr>
                <w:b w:val="0"/>
                <w:sz w:val="14"/>
              </w:rPr>
              <w:t>Slider 1-5</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Adjusts penalty thresholds and recommendations.</w:t>
            </w:r>
          </w:p>
        </w:tc>
      </w:tr>
      <w:tr>
        <w:tc>
          <w:tcPr>
            <w:tcW w:type="dxa" w:w="648"/>
            <w:vAlign w:val="top"/>
          </w:tcPr>
          <w:p>
            <w:pPr>
              <w:spacing w:after="0" w:before="0"/>
            </w:pPr>
            <w:r/>
            <w:r>
              <w:rPr>
                <w:b w:val="0"/>
                <w:sz w:val="14"/>
              </w:rPr>
              <w:t>9</w:t>
            </w:r>
          </w:p>
        </w:tc>
        <w:tc>
          <w:tcPr>
            <w:tcW w:type="dxa" w:w="2232"/>
            <w:vAlign w:val="top"/>
          </w:tcPr>
          <w:p>
            <w:pPr>
              <w:spacing w:after="0" w:before="0"/>
            </w:pPr>
            <w:r/>
            <w:r>
              <w:rPr>
                <w:b w:val="0"/>
                <w:sz w:val="14"/>
              </w:rPr>
              <w:t>Autonomy appetite</w:t>
            </w:r>
          </w:p>
        </w:tc>
        <w:tc>
          <w:tcPr>
            <w:tcW w:type="dxa" w:w="2016"/>
            <w:vAlign w:val="top"/>
          </w:tcPr>
          <w:p>
            <w:pPr>
              <w:spacing w:after="0" w:before="0"/>
            </w:pPr>
            <w:r/>
            <w:r>
              <w:rPr>
                <w:b w:val="0"/>
                <w:sz w:val="14"/>
              </w:rPr>
              <w:t>Dropdown</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Adjusts Agentic/autonomy controls and risk penalties.</w:t>
            </w:r>
          </w:p>
        </w:tc>
      </w:tr>
      <w:tr>
        <w:tc>
          <w:tcPr>
            <w:tcW w:type="dxa" w:w="648"/>
            <w:vAlign w:val="top"/>
          </w:tcPr>
          <w:p>
            <w:pPr>
              <w:spacing w:after="0" w:before="0"/>
            </w:pPr>
            <w:r/>
            <w:r>
              <w:rPr>
                <w:b w:val="0"/>
                <w:sz w:val="14"/>
              </w:rPr>
              <w:t>10</w:t>
            </w:r>
          </w:p>
        </w:tc>
        <w:tc>
          <w:tcPr>
            <w:tcW w:type="dxa" w:w="2232"/>
            <w:vAlign w:val="top"/>
          </w:tcPr>
          <w:p>
            <w:pPr>
              <w:spacing w:after="0" w:before="0"/>
            </w:pPr>
            <w:r/>
            <w:r>
              <w:rPr>
                <w:b w:val="0"/>
                <w:sz w:val="14"/>
              </w:rPr>
              <w:t>Existing ecosystem</w:t>
            </w:r>
          </w:p>
        </w:tc>
        <w:tc>
          <w:tcPr>
            <w:tcW w:type="dxa" w:w="2016"/>
            <w:vAlign w:val="top"/>
          </w:tcPr>
          <w:p>
            <w:pPr>
              <w:spacing w:after="0" w:before="0"/>
            </w:pPr>
            <w:r/>
            <w:r>
              <w:rPr>
                <w:b w:val="0"/>
                <w:sz w:val="14"/>
              </w:rPr>
              <w:t>Multi-select</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Adds integration fit bonus/penalty.</w:t>
            </w:r>
          </w:p>
        </w:tc>
      </w:tr>
      <w:tr>
        <w:tc>
          <w:tcPr>
            <w:tcW w:type="dxa" w:w="648"/>
            <w:vAlign w:val="top"/>
          </w:tcPr>
          <w:p>
            <w:pPr>
              <w:spacing w:after="0" w:before="0"/>
            </w:pPr>
            <w:r/>
            <w:r>
              <w:rPr>
                <w:b w:val="0"/>
                <w:sz w:val="14"/>
              </w:rPr>
              <w:t>11</w:t>
            </w:r>
          </w:p>
        </w:tc>
        <w:tc>
          <w:tcPr>
            <w:tcW w:type="dxa" w:w="2232"/>
            <w:vAlign w:val="top"/>
          </w:tcPr>
          <w:p>
            <w:pPr>
              <w:spacing w:after="0" w:before="0"/>
            </w:pPr>
            <w:r/>
            <w:r>
              <w:rPr>
                <w:b w:val="0"/>
                <w:sz w:val="14"/>
              </w:rPr>
              <w:t>Deployment preference</w:t>
            </w:r>
          </w:p>
        </w:tc>
        <w:tc>
          <w:tcPr>
            <w:tcW w:type="dxa" w:w="2016"/>
            <w:vAlign w:val="top"/>
          </w:tcPr>
          <w:p>
            <w:pPr>
              <w:spacing w:after="0" w:before="0"/>
            </w:pPr>
            <w:r/>
            <w:r>
              <w:rPr>
                <w:b w:val="0"/>
                <w:sz w:val="14"/>
              </w:rPr>
              <w:t>Dropdown</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Adjusts SaaS/VPC/on-prem/sovereign fit.</w:t>
            </w:r>
          </w:p>
        </w:tc>
      </w:tr>
      <w:tr>
        <w:tc>
          <w:tcPr>
            <w:tcW w:type="dxa" w:w="648"/>
            <w:vAlign w:val="top"/>
          </w:tcPr>
          <w:p>
            <w:pPr>
              <w:spacing w:after="0" w:before="0"/>
            </w:pPr>
            <w:r/>
            <w:r>
              <w:rPr>
                <w:b w:val="0"/>
                <w:sz w:val="14"/>
              </w:rPr>
              <w:t>12</w:t>
            </w:r>
          </w:p>
        </w:tc>
        <w:tc>
          <w:tcPr>
            <w:tcW w:type="dxa" w:w="2232"/>
            <w:vAlign w:val="top"/>
          </w:tcPr>
          <w:p>
            <w:pPr>
              <w:spacing w:after="0" w:before="0"/>
            </w:pPr>
            <w:r/>
            <w:r>
              <w:rPr>
                <w:b w:val="0"/>
                <w:sz w:val="14"/>
              </w:rPr>
              <w:t>Budget sensitivity</w:t>
            </w:r>
          </w:p>
        </w:tc>
        <w:tc>
          <w:tcPr>
            <w:tcW w:type="dxa" w:w="2016"/>
            <w:vAlign w:val="top"/>
          </w:tcPr>
          <w:p>
            <w:pPr>
              <w:spacing w:after="0" w:before="0"/>
            </w:pPr>
            <w:r/>
            <w:r>
              <w:rPr>
                <w:b w:val="0"/>
                <w:sz w:val="14"/>
              </w:rPr>
              <w:t>Slider 1-5</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Adjusts Cost/TCO weighting and tolerance.</w:t>
            </w:r>
          </w:p>
        </w:tc>
      </w:tr>
      <w:tr>
        <w:tc>
          <w:tcPr>
            <w:tcW w:type="dxa" w:w="648"/>
            <w:vAlign w:val="top"/>
          </w:tcPr>
          <w:p>
            <w:pPr>
              <w:spacing w:after="0" w:before="0"/>
            </w:pPr>
            <w:r/>
            <w:r>
              <w:rPr>
                <w:b w:val="0"/>
                <w:sz w:val="14"/>
              </w:rPr>
              <w:t>13</w:t>
            </w:r>
          </w:p>
        </w:tc>
        <w:tc>
          <w:tcPr>
            <w:tcW w:type="dxa" w:w="2232"/>
            <w:vAlign w:val="top"/>
          </w:tcPr>
          <w:p>
            <w:pPr>
              <w:spacing w:after="0" w:before="0"/>
            </w:pPr>
            <w:r/>
            <w:r>
              <w:rPr>
                <w:b w:val="0"/>
                <w:sz w:val="14"/>
              </w:rPr>
              <w:t>Vendor selection</w:t>
            </w:r>
          </w:p>
        </w:tc>
        <w:tc>
          <w:tcPr>
            <w:tcW w:type="dxa" w:w="2016"/>
            <w:vAlign w:val="top"/>
          </w:tcPr>
          <w:p>
            <w:pPr>
              <w:spacing w:after="0" w:before="0"/>
            </w:pPr>
            <w:r/>
            <w:r>
              <w:rPr>
                <w:b w:val="0"/>
                <w:sz w:val="14"/>
              </w:rPr>
              <w:t>Select vendors or recommend</w:t>
            </w:r>
          </w:p>
        </w:tc>
        <w:tc>
          <w:tcPr>
            <w:tcW w:type="dxa" w:w="1152"/>
            <w:vAlign w:val="top"/>
          </w:tcPr>
          <w:p>
            <w:pPr>
              <w:spacing w:after="0" w:before="0"/>
            </w:pPr>
            <w:r/>
            <w:r>
              <w:rPr>
                <w:b w:val="0"/>
                <w:sz w:val="14"/>
              </w:rPr>
              <w:t>Yes</w:t>
            </w:r>
          </w:p>
        </w:tc>
        <w:tc>
          <w:tcPr>
            <w:tcW w:type="dxa" w:w="4608"/>
            <w:vAlign w:val="top"/>
          </w:tcPr>
          <w:p>
            <w:pPr>
              <w:spacing w:after="0" w:before="0"/>
            </w:pPr>
            <w:r/>
            <w:r>
              <w:rPr>
                <w:b w:val="0"/>
                <w:sz w:val="14"/>
              </w:rPr>
              <w:t>Defines comparison set.</w:t>
            </w:r>
          </w:p>
        </w:tc>
      </w:tr>
    </w:tbl>
    <w:p/>
    <w:tbl>
      <w:tblPr>
        <w:tblStyle w:val="TableGrid"/>
        <w:tblW w:type="auto" w:w="0"/>
        <w:tblLook w:firstColumn="1" w:firstRow="1" w:lastColumn="0" w:lastRow="0" w:noHBand="0" w:noVBand="1" w:val="04A0"/>
      </w:tblPr>
      <w:tblGrid>
        <w:gridCol w:w="10656"/>
      </w:tblGrid>
      <w:tr>
        <w:tc>
          <w:tcPr>
            <w:tcW w:type="dxa" w:w="10656"/>
            <w:shd w:fill="FFF2CC"/>
          </w:tcPr>
          <w:p>
            <w:r>
              <w:rPr>
                <w:b/>
                <w:sz w:val="20"/>
              </w:rPr>
              <w:t>MVP Input Rule</w:t>
            </w:r>
            <w:r>
              <w:rPr>
                <w:sz w:val="18"/>
              </w:rPr>
              <w:br/>
              <w:t>The MVP should not ask users to manually score vendors. The user supplies context; the backend supplies vendor scoring.</w:t>
            </w:r>
          </w:p>
        </w:tc>
      </w:tr>
    </w:tbl>
    <w:p/>
    <w:p>
      <w:pPr>
        <w:pStyle w:val="Heading1"/>
      </w:pPr>
      <w:r>
        <w:t>8. Six-Pillar Product Model</w:t>
      </w:r>
    </w:p>
    <w:p>
      <w:pPr>
        <w:pStyle w:val="Heading2"/>
      </w:pPr>
      <w:r>
        <w:t>8.x Business Fit</w:t>
      </w:r>
    </w:p>
    <w:p>
      <w:r>
        <w:t>Default weight: 15%</w:t>
      </w:r>
    </w:p>
    <w:p>
      <w:r>
        <w:t>Determines how well the vendor matches the user's industry, use case, objective, workflow, organisation size, maturity stage, and adoption context.</w:t>
      </w:r>
    </w:p>
    <w:tbl>
      <w:tblPr>
        <w:tblStyle w:val="TableGrid"/>
        <w:tblW w:type="auto" w:w="0"/>
        <w:jc w:val="center"/>
        <w:tblLook w:firstColumn="1" w:firstRow="1" w:lastColumn="0" w:lastRow="0" w:noHBand="0" w:noVBand="1" w:val="04A0"/>
      </w:tblPr>
      <w:tblGrid>
        <w:gridCol w:w="5328"/>
        <w:gridCol w:w="5328"/>
      </w:tblGrid>
      <w:tr>
        <w:tc>
          <w:tcPr>
            <w:tcW w:type="dxa" w:w="5040"/>
            <w:shd w:fill="1F4E79"/>
            <w:vAlign w:val="center"/>
          </w:tcPr>
          <w:p>
            <w:pPr>
              <w:spacing w:after="0" w:before="0"/>
            </w:pPr>
            <w:r/>
            <w:r>
              <w:rPr>
                <w:b/>
                <w:color w:val="FFFFFF"/>
                <w:sz w:val="16"/>
              </w:rPr>
              <w:t>Backend mapping</w:t>
            </w:r>
          </w:p>
        </w:tc>
        <w:tc>
          <w:tcPr>
            <w:tcW w:type="dxa" w:w="5472"/>
            <w:shd w:fill="1F4E79"/>
            <w:vAlign w:val="center"/>
          </w:tcPr>
          <w:p>
            <w:pPr>
              <w:spacing w:after="0" w:before="0"/>
            </w:pPr>
            <w:r/>
            <w:r>
              <w:rPr>
                <w:b/>
                <w:color w:val="FFFFFF"/>
                <w:sz w:val="16"/>
              </w:rPr>
              <w:t>Evidence/proxy signals</w:t>
            </w:r>
          </w:p>
        </w:tc>
      </w:tr>
      <w:tr>
        <w:tc>
          <w:tcPr>
            <w:tcW w:type="dxa" w:w="5040"/>
            <w:vAlign w:val="top"/>
          </w:tcPr>
          <w:p>
            <w:pPr>
              <w:spacing w:after="0" w:before="0"/>
            </w:pPr>
            <w:r/>
            <w:r>
              <w:rPr>
                <w:b w:val="0"/>
                <w:sz w:val="16"/>
              </w:rPr>
              <w:t>Strategic value, Use-case fit, Workflow relevance, Industry fit, Ecosystem relevance, Workforce adoption likelihood, Industry AI adoption maturity</w:t>
            </w:r>
          </w:p>
        </w:tc>
        <w:tc>
          <w:tcPr>
            <w:tcW w:type="dxa" w:w="5472"/>
            <w:vAlign w:val="top"/>
          </w:tcPr>
          <w:p>
            <w:pPr>
              <w:spacing w:after="0" w:before="0"/>
            </w:pPr>
            <w:r/>
            <w:r>
              <w:rPr>
                <w:b w:val="0"/>
                <w:sz w:val="16"/>
              </w:rPr>
              <w:t>Use-case coverage, Sector-specific proof, Pilot-to-production relevance, Workflow depth, User adoption proxy</w:t>
            </w:r>
          </w:p>
        </w:tc>
      </w:tr>
    </w:tbl>
    <w:p/>
    <w:p>
      <w:pPr>
        <w:pStyle w:val="Heading2"/>
      </w:pPr>
      <w:r>
        <w:t>8.x Enterprise Control</w:t>
      </w:r>
    </w:p>
    <w:p>
      <w:r>
        <w:t>Default weight: 25%</w:t>
      </w:r>
    </w:p>
    <w:p>
      <w:r>
        <w:t>Determines whether the platform can be safely governed inside an enterprise environment.</w:t>
      </w:r>
    </w:p>
    <w:tbl>
      <w:tblPr>
        <w:tblStyle w:val="TableGrid"/>
        <w:tblW w:type="auto" w:w="0"/>
        <w:jc w:val="center"/>
        <w:tblLook w:firstColumn="1" w:firstRow="1" w:lastColumn="0" w:lastRow="0" w:noHBand="0" w:noVBand="1" w:val="04A0"/>
      </w:tblPr>
      <w:tblGrid>
        <w:gridCol w:w="5328"/>
        <w:gridCol w:w="5328"/>
      </w:tblGrid>
      <w:tr>
        <w:tc>
          <w:tcPr>
            <w:tcW w:type="dxa" w:w="5040"/>
            <w:shd w:fill="1F4E79"/>
            <w:vAlign w:val="center"/>
          </w:tcPr>
          <w:p>
            <w:pPr>
              <w:spacing w:after="0" w:before="0"/>
            </w:pPr>
            <w:r/>
            <w:r>
              <w:rPr>
                <w:b/>
                <w:color w:val="FFFFFF"/>
                <w:sz w:val="16"/>
              </w:rPr>
              <w:t>Backend mapping</w:t>
            </w:r>
          </w:p>
        </w:tc>
        <w:tc>
          <w:tcPr>
            <w:tcW w:type="dxa" w:w="5472"/>
            <w:shd w:fill="1F4E79"/>
            <w:vAlign w:val="center"/>
          </w:tcPr>
          <w:p>
            <w:pPr>
              <w:spacing w:after="0" w:before="0"/>
            </w:pPr>
            <w:r/>
            <w:r>
              <w:rPr>
                <w:b/>
                <w:color w:val="FFFFFF"/>
                <w:sz w:val="16"/>
              </w:rPr>
              <w:t>Evidence/proxy signals</w:t>
            </w:r>
          </w:p>
        </w:tc>
      </w:tr>
      <w:tr>
        <w:tc>
          <w:tcPr>
            <w:tcW w:type="dxa" w:w="5040"/>
            <w:vAlign w:val="top"/>
          </w:tcPr>
          <w:p>
            <w:pPr>
              <w:spacing w:after="0" w:before="0"/>
            </w:pPr>
            <w:r/>
            <w:r>
              <w:rPr>
                <w:b w:val="0"/>
                <w:sz w:val="16"/>
              </w:rPr>
              <w:t>Data security, Privacy, Retention, Subprocessors, Identity, Permissioning, Governance, Auditability, Compliance</w:t>
            </w:r>
          </w:p>
        </w:tc>
        <w:tc>
          <w:tcPr>
            <w:tcW w:type="dxa" w:w="5472"/>
            <w:vAlign w:val="top"/>
          </w:tcPr>
          <w:p>
            <w:pPr>
              <w:spacing w:after="0" w:before="0"/>
            </w:pPr>
            <w:r/>
            <w:r>
              <w:rPr>
                <w:b w:val="0"/>
                <w:sz w:val="16"/>
              </w:rPr>
              <w:t>Training-data policy, SSO/SCIM, Source-permission inheritance, Audit logs, Data residency, Policy enforcement</w:t>
            </w:r>
          </w:p>
        </w:tc>
      </w:tr>
    </w:tbl>
    <w:p/>
    <w:p>
      <w:pPr>
        <w:pStyle w:val="Heading2"/>
      </w:pPr>
      <w:r>
        <w:t>8.x Reliability &amp; Safety</w:t>
      </w:r>
    </w:p>
    <w:p>
      <w:r>
        <w:t>Default weight: 15%</w:t>
      </w:r>
    </w:p>
    <w:p>
      <w:r>
        <w:t>Determines whether the platform produces grounded, accurate, safe, repeatable, and appropriately uncertain outputs.</w:t>
      </w:r>
    </w:p>
    <w:tbl>
      <w:tblPr>
        <w:tblStyle w:val="TableGrid"/>
        <w:tblW w:type="auto" w:w="0"/>
        <w:jc w:val="center"/>
        <w:tblLook w:firstColumn="1" w:firstRow="1" w:lastColumn="0" w:lastRow="0" w:noHBand="0" w:noVBand="1" w:val="04A0"/>
      </w:tblPr>
      <w:tblGrid>
        <w:gridCol w:w="5328"/>
        <w:gridCol w:w="5328"/>
      </w:tblGrid>
      <w:tr>
        <w:tc>
          <w:tcPr>
            <w:tcW w:type="dxa" w:w="5040"/>
            <w:shd w:fill="1F4E79"/>
            <w:vAlign w:val="center"/>
          </w:tcPr>
          <w:p>
            <w:pPr>
              <w:spacing w:after="0" w:before="0"/>
            </w:pPr>
            <w:r/>
            <w:r>
              <w:rPr>
                <w:b/>
                <w:color w:val="FFFFFF"/>
                <w:sz w:val="16"/>
              </w:rPr>
              <w:t>Backend mapping</w:t>
            </w:r>
          </w:p>
        </w:tc>
        <w:tc>
          <w:tcPr>
            <w:tcW w:type="dxa" w:w="5472"/>
            <w:shd w:fill="1F4E79"/>
            <w:vAlign w:val="center"/>
          </w:tcPr>
          <w:p>
            <w:pPr>
              <w:spacing w:after="0" w:before="0"/>
            </w:pPr>
            <w:r/>
            <w:r>
              <w:rPr>
                <w:b/>
                <w:color w:val="FFFFFF"/>
                <w:sz w:val="16"/>
              </w:rPr>
              <w:t>Evidence/proxy signals</w:t>
            </w:r>
          </w:p>
        </w:tc>
      </w:tr>
      <w:tr>
        <w:tc>
          <w:tcPr>
            <w:tcW w:type="dxa" w:w="5040"/>
            <w:vAlign w:val="top"/>
          </w:tcPr>
          <w:p>
            <w:pPr>
              <w:spacing w:after="0" w:before="0"/>
            </w:pPr>
            <w:r/>
            <w:r>
              <w:rPr>
                <w:b w:val="0"/>
                <w:sz w:val="16"/>
              </w:rPr>
              <w:t>Factuality, Hallucination control, Citation quality, Conflict handling, Threat resilience, Red-team response</w:t>
            </w:r>
          </w:p>
        </w:tc>
        <w:tc>
          <w:tcPr>
            <w:tcW w:type="dxa" w:w="5472"/>
            <w:vAlign w:val="top"/>
          </w:tcPr>
          <w:p>
            <w:pPr>
              <w:spacing w:after="0" w:before="0"/>
            </w:pPr>
            <w:r/>
            <w:r>
              <w:rPr>
                <w:b w:val="0"/>
                <w:sz w:val="16"/>
              </w:rPr>
              <w:t>Baseline factuality, Citation validity, Refusal of unsupported answers, Prompt-injection resistance, Adversarial behaviour</w:t>
            </w:r>
          </w:p>
        </w:tc>
      </w:tr>
    </w:tbl>
    <w:p/>
    <w:p>
      <w:pPr>
        <w:pStyle w:val="Heading2"/>
      </w:pPr>
      <w:r>
        <w:t>8.x Integration &amp; Operations</w:t>
      </w:r>
    </w:p>
    <w:p>
      <w:r>
        <w:t>Default weight: 15%</w:t>
      </w:r>
    </w:p>
    <w:p>
      <w:r>
        <w:t>Determines whether the platform can fit into the buyer's existing systems and operate predictably at scale.</w:t>
      </w:r>
    </w:p>
    <w:tbl>
      <w:tblPr>
        <w:tblStyle w:val="TableGrid"/>
        <w:tblW w:type="auto" w:w="0"/>
        <w:jc w:val="center"/>
        <w:tblLook w:firstColumn="1" w:firstRow="1" w:lastColumn="0" w:lastRow="0" w:noHBand="0" w:noVBand="1" w:val="04A0"/>
      </w:tblPr>
      <w:tblGrid>
        <w:gridCol w:w="5328"/>
        <w:gridCol w:w="5328"/>
      </w:tblGrid>
      <w:tr>
        <w:tc>
          <w:tcPr>
            <w:tcW w:type="dxa" w:w="5040"/>
            <w:shd w:fill="1F4E79"/>
            <w:vAlign w:val="center"/>
          </w:tcPr>
          <w:p>
            <w:pPr>
              <w:spacing w:after="0" w:before="0"/>
            </w:pPr>
            <w:r/>
            <w:r>
              <w:rPr>
                <w:b/>
                <w:color w:val="FFFFFF"/>
                <w:sz w:val="16"/>
              </w:rPr>
              <w:t>Backend mapping</w:t>
            </w:r>
          </w:p>
        </w:tc>
        <w:tc>
          <w:tcPr>
            <w:tcW w:type="dxa" w:w="5472"/>
            <w:shd w:fill="1F4E79"/>
            <w:vAlign w:val="center"/>
          </w:tcPr>
          <w:p>
            <w:pPr>
              <w:spacing w:after="0" w:before="0"/>
            </w:pPr>
            <w:r/>
            <w:r>
              <w:rPr>
                <w:b/>
                <w:color w:val="FFFFFF"/>
                <w:sz w:val="16"/>
              </w:rPr>
              <w:t>Evidence/proxy signals</w:t>
            </w:r>
          </w:p>
        </w:tc>
      </w:tr>
      <w:tr>
        <w:tc>
          <w:tcPr>
            <w:tcW w:type="dxa" w:w="5040"/>
            <w:vAlign w:val="top"/>
          </w:tcPr>
          <w:p>
            <w:pPr>
              <w:spacing w:after="0" w:before="0"/>
            </w:pPr>
            <w:r/>
            <w:r>
              <w:rPr>
                <w:b w:val="0"/>
                <w:sz w:val="16"/>
              </w:rPr>
              <w:t>Connectors, API quality, Architecture fit, Model portability, Agentic controls, Cost at scale, FinOps, Observability</w:t>
            </w:r>
          </w:p>
        </w:tc>
        <w:tc>
          <w:tcPr>
            <w:tcW w:type="dxa" w:w="5472"/>
            <w:vAlign w:val="top"/>
          </w:tcPr>
          <w:p>
            <w:pPr>
              <w:spacing w:after="0" w:before="0"/>
            </w:pPr>
            <w:r/>
            <w:r>
              <w:rPr>
                <w:b w:val="0"/>
                <w:sz w:val="16"/>
              </w:rPr>
              <w:t>Connector breadth, API maturity, Cost risk, 3x usage sensitivity, Latency/availability signals, Sandbox support</w:t>
            </w:r>
          </w:p>
        </w:tc>
      </w:tr>
    </w:tbl>
    <w:p/>
    <w:p>
      <w:pPr>
        <w:pStyle w:val="Heading2"/>
      </w:pPr>
      <w:r>
        <w:t>8.x Vendor Resilience</w:t>
      </w:r>
    </w:p>
    <w:p>
      <w:r>
        <w:t>Default weight: 15%</w:t>
      </w:r>
    </w:p>
    <w:p>
      <w:r>
        <w:t>Determines whether the vendor can survive, scale, support, and honour the relationship over time.</w:t>
      </w:r>
    </w:p>
    <w:tbl>
      <w:tblPr>
        <w:tblStyle w:val="TableGrid"/>
        <w:tblW w:type="auto" w:w="0"/>
        <w:jc w:val="center"/>
        <w:tblLook w:firstColumn="1" w:firstRow="1" w:lastColumn="0" w:lastRow="0" w:noHBand="0" w:noVBand="1" w:val="04A0"/>
      </w:tblPr>
      <w:tblGrid>
        <w:gridCol w:w="5328"/>
        <w:gridCol w:w="5328"/>
      </w:tblGrid>
      <w:tr>
        <w:tc>
          <w:tcPr>
            <w:tcW w:type="dxa" w:w="5040"/>
            <w:shd w:fill="1F4E79"/>
            <w:vAlign w:val="center"/>
          </w:tcPr>
          <w:p>
            <w:pPr>
              <w:spacing w:after="0" w:before="0"/>
            </w:pPr>
            <w:r/>
            <w:r>
              <w:rPr>
                <w:b/>
                <w:color w:val="FFFFFF"/>
                <w:sz w:val="16"/>
              </w:rPr>
              <w:t>Backend mapping</w:t>
            </w:r>
          </w:p>
        </w:tc>
        <w:tc>
          <w:tcPr>
            <w:tcW w:type="dxa" w:w="5472"/>
            <w:shd w:fill="1F4E79"/>
            <w:vAlign w:val="center"/>
          </w:tcPr>
          <w:p>
            <w:pPr>
              <w:spacing w:after="0" w:before="0"/>
            </w:pPr>
            <w:r/>
            <w:r>
              <w:rPr>
                <w:b/>
                <w:color w:val="FFFFFF"/>
                <w:sz w:val="16"/>
              </w:rPr>
              <w:t>Evidence/proxy signals</w:t>
            </w:r>
          </w:p>
        </w:tc>
      </w:tr>
      <w:tr>
        <w:tc>
          <w:tcPr>
            <w:tcW w:type="dxa" w:w="5040"/>
            <w:vAlign w:val="top"/>
          </w:tcPr>
          <w:p>
            <w:pPr>
              <w:spacing w:after="0" w:before="0"/>
            </w:pPr>
            <w:r/>
            <w:r>
              <w:rPr>
                <w:b w:val="0"/>
                <w:sz w:val="16"/>
              </w:rPr>
              <w:t>Vendor maturity, Lock-in, Exitability, Capital resilience, Infrastructure dependency, Investor/IPO/acquisition risk</w:t>
            </w:r>
          </w:p>
        </w:tc>
        <w:tc>
          <w:tcPr>
            <w:tcW w:type="dxa" w:w="5472"/>
            <w:vAlign w:val="top"/>
          </w:tcPr>
          <w:p>
            <w:pPr>
              <w:spacing w:after="0" w:before="0"/>
            </w:pPr>
            <w:r/>
            <w:r>
              <w:rPr>
                <w:b w:val="0"/>
                <w:sz w:val="16"/>
              </w:rPr>
              <w:t>Funding/runway proxy, Model/cloud/GPU dependency, Export support, SLA/support maturity, Strategic partner concentration</w:t>
            </w:r>
          </w:p>
        </w:tc>
      </w:tr>
    </w:tbl>
    <w:p/>
    <w:p>
      <w:pPr>
        <w:pStyle w:val="Heading2"/>
      </w:pPr>
      <w:r>
        <w:t>8.x Market Strength</w:t>
      </w:r>
    </w:p>
    <w:p>
      <w:r>
        <w:t>Default weight: 15%</w:t>
      </w:r>
    </w:p>
    <w:p>
      <w:r>
        <w:t>Determines whether the vendor is competitively relevant, adopted, differentiated, and strategically credible.</w:t>
      </w:r>
    </w:p>
    <w:tbl>
      <w:tblPr>
        <w:tblStyle w:val="TableGrid"/>
        <w:tblW w:type="auto" w:w="0"/>
        <w:jc w:val="center"/>
        <w:tblLook w:firstColumn="1" w:firstRow="1" w:lastColumn="0" w:lastRow="0" w:noHBand="0" w:noVBand="1" w:val="04A0"/>
      </w:tblPr>
      <w:tblGrid>
        <w:gridCol w:w="5328"/>
        <w:gridCol w:w="5328"/>
      </w:tblGrid>
      <w:tr>
        <w:tc>
          <w:tcPr>
            <w:tcW w:type="dxa" w:w="5040"/>
            <w:shd w:fill="1F4E79"/>
            <w:vAlign w:val="center"/>
          </w:tcPr>
          <w:p>
            <w:pPr>
              <w:spacing w:after="0" w:before="0"/>
            </w:pPr>
            <w:r/>
            <w:r>
              <w:rPr>
                <w:b/>
                <w:color w:val="FFFFFF"/>
                <w:sz w:val="16"/>
              </w:rPr>
              <w:t>Backend mapping</w:t>
            </w:r>
          </w:p>
        </w:tc>
        <w:tc>
          <w:tcPr>
            <w:tcW w:type="dxa" w:w="5472"/>
            <w:shd w:fill="1F4E79"/>
            <w:vAlign w:val="center"/>
          </w:tcPr>
          <w:p>
            <w:pPr>
              <w:spacing w:after="0" w:before="0"/>
            </w:pPr>
            <w:r/>
            <w:r>
              <w:rPr>
                <w:b/>
                <w:color w:val="FFFFFF"/>
                <w:sz w:val="16"/>
              </w:rPr>
              <w:t>Evidence/proxy signals</w:t>
            </w:r>
          </w:p>
        </w:tc>
      </w:tr>
      <w:tr>
        <w:tc>
          <w:tcPr>
            <w:tcW w:type="dxa" w:w="5040"/>
            <w:vAlign w:val="top"/>
          </w:tcPr>
          <w:p>
            <w:pPr>
              <w:spacing w:after="0" w:before="0"/>
            </w:pPr>
            <w:r/>
            <w:r>
              <w:rPr>
                <w:b w:val="0"/>
                <w:sz w:val="16"/>
              </w:rPr>
              <w:t>Market share, Vendor adoption by industry, Market momentum, Deployment depth, Strategy, Differentiation, Ecosystem traction</w:t>
            </w:r>
          </w:p>
        </w:tc>
        <w:tc>
          <w:tcPr>
            <w:tcW w:type="dxa" w:w="5472"/>
            <w:vAlign w:val="top"/>
          </w:tcPr>
          <w:p>
            <w:pPr>
              <w:spacing w:after="0" w:before="0"/>
            </w:pPr>
            <w:r/>
            <w:r>
              <w:rPr>
                <w:b w:val="0"/>
                <w:sz w:val="16"/>
              </w:rPr>
              <w:t>Category share, Sector customer evidence, Review/community/job signals, Roadmap credibility, Partner ecosystem</w:t>
            </w:r>
          </w:p>
        </w:tc>
      </w:tr>
    </w:tbl>
    <w:p/>
    <w:p>
      <w:pPr>
        <w:pStyle w:val="Heading1"/>
      </w:pPr>
      <w:r>
        <w:t>9. Backend Domain Mapping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880"/>
            <w:shd w:fill="1F4E79"/>
            <w:vAlign w:val="center"/>
          </w:tcPr>
          <w:p>
            <w:pPr>
              <w:spacing w:after="0" w:before="0"/>
            </w:pPr>
            <w:r/>
            <w:r>
              <w:rPr>
                <w:b/>
                <w:color w:val="FFFFFF"/>
                <w:sz w:val="14"/>
              </w:rPr>
              <w:t>Backend domain</w:t>
            </w:r>
          </w:p>
        </w:tc>
        <w:tc>
          <w:tcPr>
            <w:tcW w:type="dxa" w:w="1944"/>
            <w:shd w:fill="1F4E79"/>
            <w:vAlign w:val="center"/>
          </w:tcPr>
          <w:p>
            <w:pPr>
              <w:spacing w:after="0" w:before="0"/>
            </w:pPr>
            <w:r/>
            <w:r>
              <w:rPr>
                <w:b/>
                <w:color w:val="FFFFFF"/>
                <w:sz w:val="14"/>
              </w:rPr>
              <w:t>Primary pillar</w:t>
            </w:r>
          </w:p>
        </w:tc>
        <w:tc>
          <w:tcPr>
            <w:tcW w:type="dxa" w:w="1944"/>
            <w:shd w:fill="1F4E79"/>
            <w:vAlign w:val="center"/>
          </w:tcPr>
          <w:p>
            <w:pPr>
              <w:spacing w:after="0" w:before="0"/>
            </w:pPr>
            <w:r/>
            <w:r>
              <w:rPr>
                <w:b/>
                <w:color w:val="FFFFFF"/>
                <w:sz w:val="14"/>
              </w:rPr>
              <w:t>Secondary pillar</w:t>
            </w:r>
          </w:p>
        </w:tc>
        <w:tc>
          <w:tcPr>
            <w:tcW w:type="dxa" w:w="4464"/>
            <w:shd w:fill="1F4E79"/>
            <w:vAlign w:val="center"/>
          </w:tcPr>
          <w:p>
            <w:pPr>
              <w:spacing w:after="0" w:before="0"/>
            </w:pPr>
            <w:r/>
            <w:r>
              <w:rPr>
                <w:b/>
                <w:color w:val="FFFFFF"/>
                <w:sz w:val="14"/>
              </w:rPr>
              <w:t>Role in scoring</w:t>
            </w:r>
          </w:p>
        </w:tc>
      </w:tr>
      <w:tr>
        <w:tc>
          <w:tcPr>
            <w:tcW w:type="dxa" w:w="2880"/>
            <w:vAlign w:val="top"/>
          </w:tcPr>
          <w:p>
            <w:pPr>
              <w:spacing w:after="0" w:before="0"/>
            </w:pPr>
            <w:r/>
            <w:r>
              <w:rPr>
                <w:b w:val="0"/>
                <w:sz w:val="14"/>
              </w:rPr>
              <w:t>Strategic Value &amp; Use-Case Fit</w:t>
            </w:r>
          </w:p>
        </w:tc>
        <w:tc>
          <w:tcPr>
            <w:tcW w:type="dxa" w:w="1944"/>
            <w:vAlign w:val="top"/>
          </w:tcPr>
          <w:p>
            <w:pPr>
              <w:spacing w:after="0" w:before="0"/>
            </w:pPr>
            <w:r/>
            <w:r>
              <w:rPr>
                <w:b w:val="0"/>
                <w:sz w:val="14"/>
              </w:rPr>
              <w:t>Business Fit</w:t>
            </w:r>
          </w:p>
        </w:tc>
        <w:tc>
          <w:tcPr>
            <w:tcW w:type="dxa" w:w="1944"/>
            <w:vAlign w:val="top"/>
          </w:tcPr>
          <w:p>
            <w:pPr>
              <w:spacing w:after="0" w:before="0"/>
            </w:pPr>
            <w:r/>
            <w:r>
              <w:rPr>
                <w:b w:val="0"/>
                <w:sz w:val="14"/>
              </w:rPr>
              <w:t>Market Strength</w:t>
            </w:r>
          </w:p>
        </w:tc>
        <w:tc>
          <w:tcPr>
            <w:tcW w:type="dxa" w:w="4464"/>
            <w:vAlign w:val="top"/>
          </w:tcPr>
          <w:p>
            <w:pPr>
              <w:spacing w:after="0" w:before="0"/>
            </w:pPr>
            <w:r/>
            <w:r>
              <w:rPr>
                <w:b w:val="0"/>
                <w:sz w:val="14"/>
              </w:rPr>
              <w:t>Determines whether vendor capabilities align to the selected AI objective and use case.</w:t>
            </w:r>
          </w:p>
        </w:tc>
      </w:tr>
      <w:tr>
        <w:tc>
          <w:tcPr>
            <w:tcW w:type="dxa" w:w="2880"/>
            <w:vAlign w:val="top"/>
          </w:tcPr>
          <w:p>
            <w:pPr>
              <w:spacing w:after="0" w:before="0"/>
            </w:pPr>
            <w:r/>
            <w:r>
              <w:rPr>
                <w:b w:val="0"/>
                <w:sz w:val="14"/>
              </w:rPr>
              <w:t>Data Security, Privacy &amp; Retention</w:t>
            </w:r>
          </w:p>
        </w:tc>
        <w:tc>
          <w:tcPr>
            <w:tcW w:type="dxa" w:w="1944"/>
            <w:vAlign w:val="top"/>
          </w:tcPr>
          <w:p>
            <w:pPr>
              <w:spacing w:after="0" w:before="0"/>
            </w:pPr>
            <w:r/>
            <w:r>
              <w:rPr>
                <w:b w:val="0"/>
                <w:sz w:val="14"/>
              </w:rPr>
              <w:t>Enterprise Control</w:t>
            </w:r>
          </w:p>
        </w:tc>
        <w:tc>
          <w:tcPr>
            <w:tcW w:type="dxa" w:w="1944"/>
            <w:vAlign w:val="top"/>
          </w:tcPr>
          <w:p>
            <w:pPr>
              <w:spacing w:after="0" w:before="0"/>
            </w:pPr>
            <w:r/>
            <w:r>
              <w:rPr>
                <w:b w:val="0"/>
                <w:sz w:val="14"/>
              </w:rPr>
              <w:t>Vendor Resilience</w:t>
            </w:r>
          </w:p>
        </w:tc>
        <w:tc>
          <w:tcPr>
            <w:tcW w:type="dxa" w:w="4464"/>
            <w:vAlign w:val="top"/>
          </w:tcPr>
          <w:p>
            <w:pPr>
              <w:spacing w:after="0" w:before="0"/>
            </w:pPr>
            <w:r/>
            <w:r>
              <w:rPr>
                <w:b w:val="0"/>
                <w:sz w:val="14"/>
              </w:rPr>
              <w:t>Scores training use, retention, deletion, residency, subprocessors, DLP, and policy controls.</w:t>
            </w:r>
          </w:p>
        </w:tc>
      </w:tr>
      <w:tr>
        <w:tc>
          <w:tcPr>
            <w:tcW w:type="dxa" w:w="2880"/>
            <w:vAlign w:val="top"/>
          </w:tcPr>
          <w:p>
            <w:pPr>
              <w:spacing w:after="0" w:before="0"/>
            </w:pPr>
            <w:r/>
            <w:r>
              <w:rPr>
                <w:b w:val="0"/>
                <w:sz w:val="14"/>
              </w:rPr>
              <w:t>Identity, Permissioning &amp; Access Control</w:t>
            </w:r>
          </w:p>
        </w:tc>
        <w:tc>
          <w:tcPr>
            <w:tcW w:type="dxa" w:w="1944"/>
            <w:vAlign w:val="top"/>
          </w:tcPr>
          <w:p>
            <w:pPr>
              <w:spacing w:after="0" w:before="0"/>
            </w:pPr>
            <w:r/>
            <w:r>
              <w:rPr>
                <w:b w:val="0"/>
                <w:sz w:val="14"/>
              </w:rPr>
              <w:t>Enterprise Control</w:t>
            </w:r>
          </w:p>
        </w:tc>
        <w:tc>
          <w:tcPr>
            <w:tcW w:type="dxa" w:w="1944"/>
            <w:vAlign w:val="top"/>
          </w:tcPr>
          <w:p>
            <w:pPr>
              <w:spacing w:after="0" w:before="0"/>
            </w:pPr>
            <w:r/>
            <w:r>
              <w:rPr>
                <w:b w:val="0"/>
                <w:sz w:val="14"/>
              </w:rPr>
              <w:t>Integration &amp; Operations</w:t>
            </w:r>
          </w:p>
        </w:tc>
        <w:tc>
          <w:tcPr>
            <w:tcW w:type="dxa" w:w="4464"/>
            <w:vAlign w:val="top"/>
          </w:tcPr>
          <w:p>
            <w:pPr>
              <w:spacing w:after="0" w:before="0"/>
            </w:pPr>
            <w:r/>
            <w:r>
              <w:rPr>
                <w:b w:val="0"/>
                <w:sz w:val="14"/>
              </w:rPr>
              <w:t>Scores SSO, SCIM, RBAC/ABAC, source-permission inheritance, and permission-laundering risk.</w:t>
            </w:r>
          </w:p>
        </w:tc>
      </w:tr>
      <w:tr>
        <w:tc>
          <w:tcPr>
            <w:tcW w:type="dxa" w:w="2880"/>
            <w:vAlign w:val="top"/>
          </w:tcPr>
          <w:p>
            <w:pPr>
              <w:spacing w:after="0" w:before="0"/>
            </w:pPr>
            <w:r/>
            <w:r>
              <w:rPr>
                <w:b w:val="0"/>
                <w:sz w:val="14"/>
              </w:rPr>
              <w:t>Model Reliability, Factuality &amp; Hallucination</w:t>
            </w:r>
          </w:p>
        </w:tc>
        <w:tc>
          <w:tcPr>
            <w:tcW w:type="dxa" w:w="1944"/>
            <w:vAlign w:val="top"/>
          </w:tcPr>
          <w:p>
            <w:pPr>
              <w:spacing w:after="0" w:before="0"/>
            </w:pPr>
            <w:r/>
            <w:r>
              <w:rPr>
                <w:b w:val="0"/>
                <w:sz w:val="14"/>
              </w:rPr>
              <w:t>Reliability &amp; Safety</w:t>
            </w:r>
          </w:p>
        </w:tc>
        <w:tc>
          <w:tcPr>
            <w:tcW w:type="dxa" w:w="1944"/>
            <w:vAlign w:val="top"/>
          </w:tcPr>
          <w:p>
            <w:pPr>
              <w:spacing w:after="0" w:before="0"/>
            </w:pPr>
            <w:r/>
            <w:r>
              <w:rPr>
                <w:b w:val="0"/>
                <w:sz w:val="14"/>
              </w:rPr>
              <w:t>Business Fit</w:t>
            </w:r>
          </w:p>
        </w:tc>
        <w:tc>
          <w:tcPr>
            <w:tcW w:type="dxa" w:w="4464"/>
            <w:vAlign w:val="top"/>
          </w:tcPr>
          <w:p>
            <w:pPr>
              <w:spacing w:after="0" w:before="0"/>
            </w:pPr>
            <w:r/>
            <w:r>
              <w:rPr>
                <w:b w:val="0"/>
                <w:sz w:val="14"/>
              </w:rPr>
              <w:t>Scores baseline factuality, citation behaviour, uncertainty, conflict handling, numerical reliability.</w:t>
            </w:r>
          </w:p>
        </w:tc>
      </w:tr>
      <w:tr>
        <w:tc>
          <w:tcPr>
            <w:tcW w:type="dxa" w:w="2880"/>
            <w:vAlign w:val="top"/>
          </w:tcPr>
          <w:p>
            <w:pPr>
              <w:spacing w:after="0" w:before="0"/>
            </w:pPr>
            <w:r/>
            <w:r>
              <w:rPr>
                <w:b w:val="0"/>
                <w:sz w:val="14"/>
              </w:rPr>
              <w:t>Governance, Compliance &amp; Auditability</w:t>
            </w:r>
          </w:p>
        </w:tc>
        <w:tc>
          <w:tcPr>
            <w:tcW w:type="dxa" w:w="1944"/>
            <w:vAlign w:val="top"/>
          </w:tcPr>
          <w:p>
            <w:pPr>
              <w:spacing w:after="0" w:before="0"/>
            </w:pPr>
            <w:r/>
            <w:r>
              <w:rPr>
                <w:b w:val="0"/>
                <w:sz w:val="14"/>
              </w:rPr>
              <w:t>Enterprise Control</w:t>
            </w:r>
          </w:p>
        </w:tc>
        <w:tc>
          <w:tcPr>
            <w:tcW w:type="dxa" w:w="1944"/>
            <w:vAlign w:val="top"/>
          </w:tcPr>
          <w:p>
            <w:pPr>
              <w:spacing w:after="0" w:before="0"/>
            </w:pPr>
            <w:r/>
            <w:r>
              <w:rPr>
                <w:b w:val="0"/>
                <w:sz w:val="14"/>
              </w:rPr>
              <w:t>Reliability &amp; Safety</w:t>
            </w:r>
          </w:p>
        </w:tc>
        <w:tc>
          <w:tcPr>
            <w:tcW w:type="dxa" w:w="4464"/>
            <w:vAlign w:val="top"/>
          </w:tcPr>
          <w:p>
            <w:pPr>
              <w:spacing w:after="0" w:before="0"/>
            </w:pPr>
            <w:r/>
            <w:r>
              <w:rPr>
                <w:b w:val="0"/>
                <w:sz w:val="14"/>
              </w:rPr>
              <w:t>Scores inventory, risk-tiering, decision reconstructability, human oversight, regulatory support.</w:t>
            </w:r>
          </w:p>
        </w:tc>
      </w:tr>
      <w:tr>
        <w:tc>
          <w:tcPr>
            <w:tcW w:type="dxa" w:w="2880"/>
            <w:vAlign w:val="top"/>
          </w:tcPr>
          <w:p>
            <w:pPr>
              <w:spacing w:after="0" w:before="0"/>
            </w:pPr>
            <w:r/>
            <w:r>
              <w:rPr>
                <w:b w:val="0"/>
                <w:sz w:val="14"/>
              </w:rPr>
              <w:t>Security Architecture &amp; Threat Resilience</w:t>
            </w:r>
          </w:p>
        </w:tc>
        <w:tc>
          <w:tcPr>
            <w:tcW w:type="dxa" w:w="1944"/>
            <w:vAlign w:val="top"/>
          </w:tcPr>
          <w:p>
            <w:pPr>
              <w:spacing w:after="0" w:before="0"/>
            </w:pPr>
            <w:r/>
            <w:r>
              <w:rPr>
                <w:b w:val="0"/>
                <w:sz w:val="14"/>
              </w:rPr>
              <w:t>Reliability &amp; Safety</w:t>
            </w:r>
          </w:p>
        </w:tc>
        <w:tc>
          <w:tcPr>
            <w:tcW w:type="dxa" w:w="1944"/>
            <w:vAlign w:val="top"/>
          </w:tcPr>
          <w:p>
            <w:pPr>
              <w:spacing w:after="0" w:before="0"/>
            </w:pPr>
            <w:r/>
            <w:r>
              <w:rPr>
                <w:b w:val="0"/>
                <w:sz w:val="14"/>
              </w:rPr>
              <w:t>Enterprise Control</w:t>
            </w:r>
          </w:p>
        </w:tc>
        <w:tc>
          <w:tcPr>
            <w:tcW w:type="dxa" w:w="4464"/>
            <w:vAlign w:val="top"/>
          </w:tcPr>
          <w:p>
            <w:pPr>
              <w:spacing w:after="0" w:before="0"/>
            </w:pPr>
            <w:r/>
            <w:r>
              <w:rPr>
                <w:b w:val="0"/>
                <w:sz w:val="14"/>
              </w:rPr>
              <w:t>Scores prompt injection defence, data exfiltration controls, API security, pen-test evidence, incident response.</w:t>
            </w:r>
          </w:p>
        </w:tc>
      </w:tr>
      <w:tr>
        <w:tc>
          <w:tcPr>
            <w:tcW w:type="dxa" w:w="2880"/>
            <w:vAlign w:val="top"/>
          </w:tcPr>
          <w:p>
            <w:pPr>
              <w:spacing w:after="0" w:before="0"/>
            </w:pPr>
            <w:r/>
            <w:r>
              <w:rPr>
                <w:b w:val="0"/>
                <w:sz w:val="14"/>
              </w:rPr>
              <w:t>Integration &amp; Architecture Fit</w:t>
            </w:r>
          </w:p>
        </w:tc>
        <w:tc>
          <w:tcPr>
            <w:tcW w:type="dxa" w:w="1944"/>
            <w:vAlign w:val="top"/>
          </w:tcPr>
          <w:p>
            <w:pPr>
              <w:spacing w:after="0" w:before="0"/>
            </w:pPr>
            <w:r/>
            <w:r>
              <w:rPr>
                <w:b w:val="0"/>
                <w:sz w:val="14"/>
              </w:rPr>
              <w:t>Integration &amp; Operations</w:t>
            </w:r>
          </w:p>
        </w:tc>
        <w:tc>
          <w:tcPr>
            <w:tcW w:type="dxa" w:w="1944"/>
            <w:vAlign w:val="top"/>
          </w:tcPr>
          <w:p>
            <w:pPr>
              <w:spacing w:after="0" w:before="0"/>
            </w:pPr>
            <w:r/>
            <w:r>
              <w:rPr>
                <w:b w:val="0"/>
                <w:sz w:val="14"/>
              </w:rPr>
              <w:t>Business Fit</w:t>
            </w:r>
          </w:p>
        </w:tc>
        <w:tc>
          <w:tcPr>
            <w:tcW w:type="dxa" w:w="4464"/>
            <w:vAlign w:val="top"/>
          </w:tcPr>
          <w:p>
            <w:pPr>
              <w:spacing w:after="0" w:before="0"/>
            </w:pPr>
            <w:r/>
            <w:r>
              <w:rPr>
                <w:b w:val="0"/>
                <w:sz w:val="14"/>
              </w:rPr>
              <w:t>Scores connectors, APIs, sandboxing, model portability, graceful degradation, async support.</w:t>
            </w:r>
          </w:p>
        </w:tc>
      </w:tr>
      <w:tr>
        <w:tc>
          <w:tcPr>
            <w:tcW w:type="dxa" w:w="2880"/>
            <w:vAlign w:val="top"/>
          </w:tcPr>
          <w:p>
            <w:pPr>
              <w:spacing w:after="0" w:before="0"/>
            </w:pPr>
            <w:r/>
            <w:r>
              <w:rPr>
                <w:b w:val="0"/>
                <w:sz w:val="14"/>
              </w:rPr>
              <w:t>Agentic Capability &amp; Autonomy Controls</w:t>
            </w:r>
          </w:p>
        </w:tc>
        <w:tc>
          <w:tcPr>
            <w:tcW w:type="dxa" w:w="1944"/>
            <w:vAlign w:val="top"/>
          </w:tcPr>
          <w:p>
            <w:pPr>
              <w:spacing w:after="0" w:before="0"/>
            </w:pPr>
            <w:r/>
            <w:r>
              <w:rPr>
                <w:b w:val="0"/>
                <w:sz w:val="14"/>
              </w:rPr>
              <w:t>Integration &amp; Operations</w:t>
            </w:r>
          </w:p>
        </w:tc>
        <w:tc>
          <w:tcPr>
            <w:tcW w:type="dxa" w:w="1944"/>
            <w:vAlign w:val="top"/>
          </w:tcPr>
          <w:p>
            <w:pPr>
              <w:spacing w:after="0" w:before="0"/>
            </w:pPr>
            <w:r/>
            <w:r>
              <w:rPr>
                <w:b w:val="0"/>
                <w:sz w:val="14"/>
              </w:rPr>
              <w:t>Reliability &amp; Safety</w:t>
            </w:r>
          </w:p>
        </w:tc>
        <w:tc>
          <w:tcPr>
            <w:tcW w:type="dxa" w:w="4464"/>
            <w:vAlign w:val="top"/>
          </w:tcPr>
          <w:p>
            <w:pPr>
              <w:spacing w:after="0" w:before="0"/>
            </w:pPr>
            <w:r/>
            <w:r>
              <w:rPr>
                <w:b w:val="0"/>
                <w:sz w:val="14"/>
              </w:rPr>
              <w:t>Scores approval gates, tool scoping, action logs, reversibility, simulation mode, kill switch.</w:t>
            </w:r>
          </w:p>
        </w:tc>
      </w:tr>
      <w:tr>
        <w:tc>
          <w:tcPr>
            <w:tcW w:type="dxa" w:w="2880"/>
            <w:vAlign w:val="top"/>
          </w:tcPr>
          <w:p>
            <w:pPr>
              <w:spacing w:after="0" w:before="0"/>
            </w:pPr>
            <w:r/>
            <w:r>
              <w:rPr>
                <w:b w:val="0"/>
                <w:sz w:val="14"/>
              </w:rPr>
              <w:t>Cost, TCO &amp; FinOps</w:t>
            </w:r>
          </w:p>
        </w:tc>
        <w:tc>
          <w:tcPr>
            <w:tcW w:type="dxa" w:w="1944"/>
            <w:vAlign w:val="top"/>
          </w:tcPr>
          <w:p>
            <w:pPr>
              <w:spacing w:after="0" w:before="0"/>
            </w:pPr>
            <w:r/>
            <w:r>
              <w:rPr>
                <w:b w:val="0"/>
                <w:sz w:val="14"/>
              </w:rPr>
              <w:t>Integration &amp; Operations</w:t>
            </w:r>
          </w:p>
        </w:tc>
        <w:tc>
          <w:tcPr>
            <w:tcW w:type="dxa" w:w="1944"/>
            <w:vAlign w:val="top"/>
          </w:tcPr>
          <w:p>
            <w:pPr>
              <w:spacing w:after="0" w:before="0"/>
            </w:pPr>
            <w:r/>
            <w:r>
              <w:rPr>
                <w:b w:val="0"/>
                <w:sz w:val="14"/>
              </w:rPr>
              <w:t>Vendor Resilience</w:t>
            </w:r>
          </w:p>
        </w:tc>
        <w:tc>
          <w:tcPr>
            <w:tcW w:type="dxa" w:w="4464"/>
            <w:vAlign w:val="top"/>
          </w:tcPr>
          <w:p>
            <w:pPr>
              <w:spacing w:after="0" w:before="0"/>
            </w:pPr>
            <w:r/>
            <w:r>
              <w:rPr>
                <w:b w:val="0"/>
                <w:sz w:val="14"/>
              </w:rPr>
              <w:t>Scores pricing clarity, usage volatility, unit economics, caps, chargeback, 3x usage risk.</w:t>
            </w:r>
          </w:p>
        </w:tc>
      </w:tr>
      <w:tr>
        <w:tc>
          <w:tcPr>
            <w:tcW w:type="dxa" w:w="2880"/>
            <w:vAlign w:val="top"/>
          </w:tcPr>
          <w:p>
            <w:pPr>
              <w:spacing w:after="0" w:before="0"/>
            </w:pPr>
            <w:r/>
            <w:r>
              <w:rPr>
                <w:b w:val="0"/>
                <w:sz w:val="14"/>
              </w:rPr>
              <w:t>Workforce Adoption &amp; Change Management</w:t>
            </w:r>
          </w:p>
        </w:tc>
        <w:tc>
          <w:tcPr>
            <w:tcW w:type="dxa" w:w="1944"/>
            <w:vAlign w:val="top"/>
          </w:tcPr>
          <w:p>
            <w:pPr>
              <w:spacing w:after="0" w:before="0"/>
            </w:pPr>
            <w:r/>
            <w:r>
              <w:rPr>
                <w:b w:val="0"/>
                <w:sz w:val="14"/>
              </w:rPr>
              <w:t>Business Fit</w:t>
            </w:r>
          </w:p>
        </w:tc>
        <w:tc>
          <w:tcPr>
            <w:tcW w:type="dxa" w:w="1944"/>
            <w:vAlign w:val="top"/>
          </w:tcPr>
          <w:p>
            <w:pPr>
              <w:spacing w:after="0" w:before="0"/>
            </w:pPr>
            <w:r/>
            <w:r>
              <w:rPr>
                <w:b w:val="0"/>
                <w:sz w:val="14"/>
              </w:rPr>
              <w:t>Market Strength</w:t>
            </w:r>
          </w:p>
        </w:tc>
        <w:tc>
          <w:tcPr>
            <w:tcW w:type="dxa" w:w="4464"/>
            <w:vAlign w:val="top"/>
          </w:tcPr>
          <w:p>
            <w:pPr>
              <w:spacing w:after="0" w:before="0"/>
            </w:pPr>
            <w:r/>
            <w:r>
              <w:rPr>
                <w:b w:val="0"/>
                <w:sz w:val="14"/>
              </w:rPr>
              <w:t>Scores training, acceptable-use policy, adoption support, user friction, overtrust/undertrust risk.</w:t>
            </w:r>
          </w:p>
        </w:tc>
      </w:tr>
      <w:tr>
        <w:tc>
          <w:tcPr>
            <w:tcW w:type="dxa" w:w="2880"/>
            <w:vAlign w:val="top"/>
          </w:tcPr>
          <w:p>
            <w:pPr>
              <w:spacing w:after="0" w:before="0"/>
            </w:pPr>
            <w:r/>
            <w:r>
              <w:rPr>
                <w:b w:val="0"/>
                <w:sz w:val="14"/>
              </w:rPr>
              <w:t>Vendor Maturity, Lock-In &amp; Exit</w:t>
            </w:r>
          </w:p>
        </w:tc>
        <w:tc>
          <w:tcPr>
            <w:tcW w:type="dxa" w:w="1944"/>
            <w:vAlign w:val="top"/>
          </w:tcPr>
          <w:p>
            <w:pPr>
              <w:spacing w:after="0" w:before="0"/>
            </w:pPr>
            <w:r/>
            <w:r>
              <w:rPr>
                <w:b w:val="0"/>
                <w:sz w:val="14"/>
              </w:rPr>
              <w:t>Vendor Resilience</w:t>
            </w:r>
          </w:p>
        </w:tc>
        <w:tc>
          <w:tcPr>
            <w:tcW w:type="dxa" w:w="1944"/>
            <w:vAlign w:val="top"/>
          </w:tcPr>
          <w:p>
            <w:pPr>
              <w:spacing w:after="0" w:before="0"/>
            </w:pPr>
            <w:r/>
            <w:r>
              <w:rPr>
                <w:b w:val="0"/>
                <w:sz w:val="14"/>
              </w:rPr>
              <w:t>Integration &amp; Operations</w:t>
            </w:r>
          </w:p>
        </w:tc>
        <w:tc>
          <w:tcPr>
            <w:tcW w:type="dxa" w:w="4464"/>
            <w:vAlign w:val="top"/>
          </w:tcPr>
          <w:p>
            <w:pPr>
              <w:spacing w:after="0" w:before="0"/>
            </w:pPr>
            <w:r/>
            <w:r>
              <w:rPr>
                <w:b w:val="0"/>
                <w:sz w:val="14"/>
              </w:rPr>
              <w:t>Scores platform depth, model portability, exportability, migration support, deprecation policy.</w:t>
            </w:r>
          </w:p>
        </w:tc>
      </w:tr>
      <w:tr>
        <w:tc>
          <w:tcPr>
            <w:tcW w:type="dxa" w:w="2880"/>
            <w:vAlign w:val="top"/>
          </w:tcPr>
          <w:p>
            <w:pPr>
              <w:spacing w:after="0" w:before="0"/>
            </w:pPr>
            <w:r/>
            <w:r>
              <w:rPr>
                <w:b w:val="0"/>
                <w:sz w:val="14"/>
              </w:rPr>
              <w:t>Capital Resilience &amp; Strategic Dependency</w:t>
            </w:r>
          </w:p>
        </w:tc>
        <w:tc>
          <w:tcPr>
            <w:tcW w:type="dxa" w:w="1944"/>
            <w:vAlign w:val="top"/>
          </w:tcPr>
          <w:p>
            <w:pPr>
              <w:spacing w:after="0" w:before="0"/>
            </w:pPr>
            <w:r/>
            <w:r>
              <w:rPr>
                <w:b w:val="0"/>
                <w:sz w:val="14"/>
              </w:rPr>
              <w:t>Vendor Resilience</w:t>
            </w:r>
          </w:p>
        </w:tc>
        <w:tc>
          <w:tcPr>
            <w:tcW w:type="dxa" w:w="1944"/>
            <w:vAlign w:val="top"/>
          </w:tcPr>
          <w:p>
            <w:pPr>
              <w:spacing w:after="0" w:before="0"/>
            </w:pPr>
            <w:r/>
            <w:r>
              <w:rPr>
                <w:b w:val="0"/>
                <w:sz w:val="14"/>
              </w:rPr>
              <w:t>Market Strength</w:t>
            </w:r>
          </w:p>
        </w:tc>
        <w:tc>
          <w:tcPr>
            <w:tcW w:type="dxa" w:w="4464"/>
            <w:vAlign w:val="top"/>
          </w:tcPr>
          <w:p>
            <w:pPr>
              <w:spacing w:after="0" w:before="0"/>
            </w:pPr>
            <w:r/>
            <w:r>
              <w:rPr>
                <w:b w:val="0"/>
                <w:sz w:val="14"/>
              </w:rPr>
              <w:t>Scores runway proxy, investor conflict, infrastructure dependency, IPO/acquisition disruption, customer concentration.</w:t>
            </w:r>
          </w:p>
        </w:tc>
      </w:tr>
      <w:tr>
        <w:tc>
          <w:tcPr>
            <w:tcW w:type="dxa" w:w="2880"/>
            <w:vAlign w:val="top"/>
          </w:tcPr>
          <w:p>
            <w:pPr>
              <w:spacing w:after="0" w:before="0"/>
            </w:pPr>
            <w:r/>
            <w:r>
              <w:rPr>
                <w:b w:val="0"/>
                <w:sz w:val="14"/>
              </w:rPr>
              <w:t>Market Position, Adoption &amp; Vendor Strategy</w:t>
            </w:r>
          </w:p>
        </w:tc>
        <w:tc>
          <w:tcPr>
            <w:tcW w:type="dxa" w:w="1944"/>
            <w:vAlign w:val="top"/>
          </w:tcPr>
          <w:p>
            <w:pPr>
              <w:spacing w:after="0" w:before="0"/>
            </w:pPr>
            <w:r/>
            <w:r>
              <w:rPr>
                <w:b w:val="0"/>
                <w:sz w:val="14"/>
              </w:rPr>
              <w:t>Market Strength</w:t>
            </w:r>
          </w:p>
        </w:tc>
        <w:tc>
          <w:tcPr>
            <w:tcW w:type="dxa" w:w="1944"/>
            <w:vAlign w:val="top"/>
          </w:tcPr>
          <w:p>
            <w:pPr>
              <w:spacing w:after="0" w:before="0"/>
            </w:pPr>
            <w:r/>
            <w:r>
              <w:rPr>
                <w:b w:val="0"/>
                <w:sz w:val="14"/>
              </w:rPr>
              <w:t>Business Fit</w:t>
            </w:r>
          </w:p>
        </w:tc>
        <w:tc>
          <w:tcPr>
            <w:tcW w:type="dxa" w:w="4464"/>
            <w:vAlign w:val="top"/>
          </w:tcPr>
          <w:p>
            <w:pPr>
              <w:spacing w:after="0" w:before="0"/>
            </w:pPr>
            <w:r/>
            <w:r>
              <w:rPr>
                <w:b w:val="0"/>
                <w:sz w:val="14"/>
              </w:rPr>
              <w:t>Scores category share, sector adoption, deployment depth, market momentum, roadmap credibility, differentiation.</w:t>
            </w:r>
          </w:p>
        </w:tc>
      </w:tr>
    </w:tbl>
    <w:p/>
    <w:p>
      <w:pPr>
        <w:pStyle w:val="Heading1"/>
      </w:pPr>
      <w:r>
        <w:t>10. Industry Differentiation Specification</w:t>
      </w:r>
    </w:p>
    <w:p>
      <w:r>
        <w:t>Industry is a primary context variable. It changes weightings, blockers, evidence standards, confidence penalties, and output explanations. The same vendor may rank differently for a bank, hospital, law firm, SaaS company, public sector body, or manufacturer.</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1F4E79"/>
            <w:vAlign w:val="center"/>
          </w:tcPr>
          <w:p>
            <w:pPr>
              <w:spacing w:after="0" w:before="0"/>
            </w:pPr>
            <w:r/>
            <w:r>
              <w:rPr>
                <w:b/>
                <w:color w:val="FFFFFF"/>
                <w:sz w:val="14"/>
              </w:rPr>
              <w:t>Industry archetype</w:t>
            </w:r>
          </w:p>
        </w:tc>
        <w:tc>
          <w:tcPr>
            <w:tcW w:type="dxa" w:w="3168"/>
            <w:shd w:fill="1F4E79"/>
            <w:vAlign w:val="center"/>
          </w:tcPr>
          <w:p>
            <w:pPr>
              <w:spacing w:after="0" w:before="0"/>
            </w:pPr>
            <w:r/>
            <w:r>
              <w:rPr>
                <w:b/>
                <w:color w:val="FFFFFF"/>
                <w:sz w:val="14"/>
              </w:rPr>
              <w:t>Default weight profile</w:t>
            </w:r>
          </w:p>
        </w:tc>
        <w:tc>
          <w:tcPr>
            <w:tcW w:type="dxa" w:w="5184"/>
            <w:shd w:fill="1F4E79"/>
            <w:vAlign w:val="center"/>
          </w:tcPr>
          <w:p>
            <w:pPr>
              <w:spacing w:after="0" w:before="0"/>
            </w:pPr>
            <w:r/>
            <w:r>
              <w:rPr>
                <w:b/>
                <w:color w:val="FFFFFF"/>
                <w:sz w:val="14"/>
              </w:rPr>
              <w:t>Fatal or severe blockers</w:t>
            </w:r>
          </w:p>
        </w:tc>
      </w:tr>
      <w:tr>
        <w:tc>
          <w:tcPr>
            <w:tcW w:type="dxa" w:w="2448"/>
            <w:vAlign w:val="top"/>
          </w:tcPr>
          <w:p>
            <w:pPr>
              <w:spacing w:after="0" w:before="0"/>
            </w:pPr>
            <w:r/>
            <w:r>
              <w:rPr>
                <w:b w:val="0"/>
                <w:sz w:val="14"/>
              </w:rPr>
              <w:t>Regulated financial enterprise</w:t>
            </w:r>
          </w:p>
        </w:tc>
        <w:tc>
          <w:tcPr>
            <w:tcW w:type="dxa" w:w="3168"/>
            <w:vAlign w:val="top"/>
          </w:tcPr>
          <w:p>
            <w:pPr>
              <w:spacing w:after="0" w:before="0"/>
            </w:pPr>
            <w:r/>
            <w:r>
              <w:rPr>
                <w:b w:val="0"/>
                <w:sz w:val="14"/>
              </w:rPr>
              <w:t>Business 10 / Control 35 / Reliability 20 / Ops 10 / Resilience 15 / Market 10</w:t>
            </w:r>
          </w:p>
        </w:tc>
        <w:tc>
          <w:tcPr>
            <w:tcW w:type="dxa" w:w="5184"/>
            <w:vAlign w:val="top"/>
          </w:tcPr>
          <w:p>
            <w:pPr>
              <w:spacing w:after="0" w:before="0"/>
            </w:pPr>
            <w:r/>
            <w:r>
              <w:rPr>
                <w:b w:val="0"/>
                <w:sz w:val="14"/>
              </w:rPr>
              <w:t>Weak auditability; weak permissioning; poor data residency; no model/version tracking; weak operational resilience; no exit plan.</w:t>
            </w:r>
          </w:p>
        </w:tc>
      </w:tr>
      <w:tr>
        <w:tc>
          <w:tcPr>
            <w:tcW w:type="dxa" w:w="2448"/>
            <w:vAlign w:val="top"/>
          </w:tcPr>
          <w:p>
            <w:pPr>
              <w:spacing w:after="0" w:before="0"/>
            </w:pPr>
            <w:r/>
            <w:r>
              <w:rPr>
                <w:b w:val="0"/>
                <w:sz w:val="14"/>
              </w:rPr>
              <w:t>Health &amp; life sciences</w:t>
            </w:r>
          </w:p>
        </w:tc>
        <w:tc>
          <w:tcPr>
            <w:tcW w:type="dxa" w:w="3168"/>
            <w:vAlign w:val="top"/>
          </w:tcPr>
          <w:p>
            <w:pPr>
              <w:spacing w:after="0" w:before="0"/>
            </w:pPr>
            <w:r/>
            <w:r>
              <w:rPr>
                <w:b w:val="0"/>
                <w:sz w:val="14"/>
              </w:rPr>
              <w:t>Business 10 / Control 30 / Reliability 25 / Ops 10 / Resilience 15 / Market 10</w:t>
            </w:r>
          </w:p>
        </w:tc>
        <w:tc>
          <w:tcPr>
            <w:tcW w:type="dxa" w:w="5184"/>
            <w:vAlign w:val="top"/>
          </w:tcPr>
          <w:p>
            <w:pPr>
              <w:spacing w:after="0" w:before="0"/>
            </w:pPr>
            <w:r/>
            <w:r>
              <w:rPr>
                <w:b w:val="0"/>
                <w:sz w:val="14"/>
              </w:rPr>
              <w:t>Unsupported clinical claims; weak PHI/privacy controls; no human oversight for patient-impacting workflows; weak traceability.</w:t>
            </w:r>
          </w:p>
        </w:tc>
      </w:tr>
      <w:tr>
        <w:tc>
          <w:tcPr>
            <w:tcW w:type="dxa" w:w="2448"/>
            <w:vAlign w:val="top"/>
          </w:tcPr>
          <w:p>
            <w:pPr>
              <w:spacing w:after="0" w:before="0"/>
            </w:pPr>
            <w:r/>
            <w:r>
              <w:rPr>
                <w:b w:val="0"/>
                <w:sz w:val="14"/>
              </w:rPr>
              <w:t>Legal &amp; professional advisory</w:t>
            </w:r>
          </w:p>
        </w:tc>
        <w:tc>
          <w:tcPr>
            <w:tcW w:type="dxa" w:w="3168"/>
            <w:vAlign w:val="top"/>
          </w:tcPr>
          <w:p>
            <w:pPr>
              <w:spacing w:after="0" w:before="0"/>
            </w:pPr>
            <w:r/>
            <w:r>
              <w:rPr>
                <w:b w:val="0"/>
                <w:sz w:val="14"/>
              </w:rPr>
              <w:t>Business 15 / Control 30 / Reliability 20 / Ops 10 / Resilience 10 / Market 15</w:t>
            </w:r>
          </w:p>
        </w:tc>
        <w:tc>
          <w:tcPr>
            <w:tcW w:type="dxa" w:w="5184"/>
            <w:vAlign w:val="top"/>
          </w:tcPr>
          <w:p>
            <w:pPr>
              <w:spacing w:after="0" w:before="0"/>
            </w:pPr>
            <w:r/>
            <w:r>
              <w:rPr>
                <w:b w:val="0"/>
                <w:sz w:val="14"/>
              </w:rPr>
              <w:t>Hallucinated citations; poor privilege controls; no matter/client permissioning; unclear training policy.</w:t>
            </w:r>
          </w:p>
        </w:tc>
      </w:tr>
      <w:tr>
        <w:tc>
          <w:tcPr>
            <w:tcW w:type="dxa" w:w="2448"/>
            <w:vAlign w:val="top"/>
          </w:tcPr>
          <w:p>
            <w:pPr>
              <w:spacing w:after="0" w:before="0"/>
            </w:pPr>
            <w:r/>
            <w:r>
              <w:rPr>
                <w:b w:val="0"/>
                <w:sz w:val="14"/>
              </w:rPr>
              <w:t>Public sector &amp; education</w:t>
            </w:r>
          </w:p>
        </w:tc>
        <w:tc>
          <w:tcPr>
            <w:tcW w:type="dxa" w:w="3168"/>
            <w:vAlign w:val="top"/>
          </w:tcPr>
          <w:p>
            <w:pPr>
              <w:spacing w:after="0" w:before="0"/>
            </w:pPr>
            <w:r/>
            <w:r>
              <w:rPr>
                <w:b w:val="0"/>
                <w:sz w:val="14"/>
              </w:rPr>
              <w:t>Business 10 / Control 35 / Reliability 15 / Ops 10 / Resilience 15 / Market 15</w:t>
            </w:r>
          </w:p>
        </w:tc>
        <w:tc>
          <w:tcPr>
            <w:tcW w:type="dxa" w:w="5184"/>
            <w:vAlign w:val="top"/>
          </w:tcPr>
          <w:p>
            <w:pPr>
              <w:spacing w:after="0" w:before="0"/>
            </w:pPr>
            <w:r/>
            <w:r>
              <w:rPr>
                <w:b w:val="0"/>
                <w:sz w:val="14"/>
              </w:rPr>
              <w:t>Weak transparency; poor records retention; unclear residency; weak accessibility; no public accountability trail.</w:t>
            </w:r>
          </w:p>
        </w:tc>
      </w:tr>
      <w:tr>
        <w:tc>
          <w:tcPr>
            <w:tcW w:type="dxa" w:w="2448"/>
            <w:vAlign w:val="top"/>
          </w:tcPr>
          <w:p>
            <w:pPr>
              <w:spacing w:after="0" w:before="0"/>
            </w:pPr>
            <w:r/>
            <w:r>
              <w:rPr>
                <w:b w:val="0"/>
                <w:sz w:val="14"/>
              </w:rPr>
              <w:t>Critical infrastructure &amp; defence</w:t>
            </w:r>
          </w:p>
        </w:tc>
        <w:tc>
          <w:tcPr>
            <w:tcW w:type="dxa" w:w="3168"/>
            <w:vAlign w:val="top"/>
          </w:tcPr>
          <w:p>
            <w:pPr>
              <w:spacing w:after="0" w:before="0"/>
            </w:pPr>
            <w:r/>
            <w:r>
              <w:rPr>
                <w:b w:val="0"/>
                <w:sz w:val="14"/>
              </w:rPr>
              <w:t>Business 5 / Control 40 / Reliability 20 / Ops 10 / Resilience 20 / Market 5</w:t>
            </w:r>
          </w:p>
        </w:tc>
        <w:tc>
          <w:tcPr>
            <w:tcW w:type="dxa" w:w="5184"/>
            <w:vAlign w:val="top"/>
          </w:tcPr>
          <w:p>
            <w:pPr>
              <w:spacing w:after="0" w:before="0"/>
            </w:pPr>
            <w:r/>
            <w:r>
              <w:rPr>
                <w:b w:val="0"/>
                <w:sz w:val="14"/>
              </w:rPr>
              <w:t>Single cloud/model dependency; foreign jurisdiction conflict; no sovereign/private option; weak supply-chain transparency.</w:t>
            </w:r>
          </w:p>
        </w:tc>
      </w:tr>
      <w:tr>
        <w:tc>
          <w:tcPr>
            <w:tcW w:type="dxa" w:w="2448"/>
            <w:vAlign w:val="top"/>
          </w:tcPr>
          <w:p>
            <w:pPr>
              <w:spacing w:after="0" w:before="0"/>
            </w:pPr>
            <w:r/>
            <w:r>
              <w:rPr>
                <w:b w:val="0"/>
                <w:sz w:val="14"/>
              </w:rPr>
              <w:t>Enterprise software &amp; digital product</w:t>
            </w:r>
          </w:p>
        </w:tc>
        <w:tc>
          <w:tcPr>
            <w:tcW w:type="dxa" w:w="3168"/>
            <w:vAlign w:val="top"/>
          </w:tcPr>
          <w:p>
            <w:pPr>
              <w:spacing w:after="0" w:before="0"/>
            </w:pPr>
            <w:r/>
            <w:r>
              <w:rPr>
                <w:b w:val="0"/>
                <w:sz w:val="14"/>
              </w:rPr>
              <w:t>Business 20 / Control 15 / Reliability 15 / Ops 20 / Resilience 10 / Market 20</w:t>
            </w:r>
          </w:p>
        </w:tc>
        <w:tc>
          <w:tcPr>
            <w:tcW w:type="dxa" w:w="5184"/>
            <w:vAlign w:val="top"/>
          </w:tcPr>
          <w:p>
            <w:pPr>
              <w:spacing w:after="0" w:before="0"/>
            </w:pPr>
            <w:r/>
            <w:r>
              <w:rPr>
                <w:b w:val="0"/>
                <w:sz w:val="14"/>
              </w:rPr>
              <w:t>Poor APIs/SDKs; no model portability; weak uptime/rate limits; weak customer-facing AI safety.</w:t>
            </w:r>
          </w:p>
        </w:tc>
      </w:tr>
      <w:tr>
        <w:tc>
          <w:tcPr>
            <w:tcW w:type="dxa" w:w="2448"/>
            <w:vAlign w:val="top"/>
          </w:tcPr>
          <w:p>
            <w:pPr>
              <w:spacing w:after="0" w:before="0"/>
            </w:pPr>
            <w:r/>
            <w:r>
              <w:rPr>
                <w:b w:val="0"/>
                <w:sz w:val="14"/>
              </w:rPr>
              <w:t>Industrial &amp; physical operations</w:t>
            </w:r>
          </w:p>
        </w:tc>
        <w:tc>
          <w:tcPr>
            <w:tcW w:type="dxa" w:w="3168"/>
            <w:vAlign w:val="top"/>
          </w:tcPr>
          <w:p>
            <w:pPr>
              <w:spacing w:after="0" w:before="0"/>
            </w:pPr>
            <w:r/>
            <w:r>
              <w:rPr>
                <w:b w:val="0"/>
                <w:sz w:val="14"/>
              </w:rPr>
              <w:t>Business 15 / Control 25 / Reliability 20 / Ops 20 / Resilience 15 / Market 5</w:t>
            </w:r>
          </w:p>
        </w:tc>
        <w:tc>
          <w:tcPr>
            <w:tcW w:type="dxa" w:w="5184"/>
            <w:vAlign w:val="top"/>
          </w:tcPr>
          <w:p>
            <w:pPr>
              <w:spacing w:after="0" w:before="0"/>
            </w:pPr>
            <w:r/>
            <w:r>
              <w:rPr>
                <w:b w:val="0"/>
                <w:sz w:val="14"/>
              </w:rPr>
              <w:t>Unreliable operational-system integration; weak offline/edge support; poor safety validation.</w:t>
            </w:r>
          </w:p>
        </w:tc>
      </w:tr>
      <w:tr>
        <w:tc>
          <w:tcPr>
            <w:tcW w:type="dxa" w:w="2448"/>
            <w:vAlign w:val="top"/>
          </w:tcPr>
          <w:p>
            <w:pPr>
              <w:spacing w:after="0" w:before="0"/>
            </w:pPr>
            <w:r/>
            <w:r>
              <w:rPr>
                <w:b w:val="0"/>
                <w:sz w:val="14"/>
              </w:rPr>
              <w:t>Commercial enterprise</w:t>
            </w:r>
          </w:p>
        </w:tc>
        <w:tc>
          <w:tcPr>
            <w:tcW w:type="dxa" w:w="3168"/>
            <w:vAlign w:val="top"/>
          </w:tcPr>
          <w:p>
            <w:pPr>
              <w:spacing w:after="0" w:before="0"/>
            </w:pPr>
            <w:r/>
            <w:r>
              <w:rPr>
                <w:b w:val="0"/>
                <w:sz w:val="14"/>
              </w:rPr>
              <w:t>Business 20 / Control 20 / Reliability 15 / Ops 15 / Resilience 10 / Market 20</w:t>
            </w:r>
          </w:p>
        </w:tc>
        <w:tc>
          <w:tcPr>
            <w:tcW w:type="dxa" w:w="5184"/>
            <w:vAlign w:val="top"/>
          </w:tcPr>
          <w:p>
            <w:pPr>
              <w:spacing w:after="0" w:before="0"/>
            </w:pPr>
            <w:r/>
            <w:r>
              <w:rPr>
                <w:b w:val="0"/>
                <w:sz w:val="14"/>
              </w:rPr>
              <w:t>Weak customer-data controls; poor brand safety; weak cost predictability; poor adoption UX.</w:t>
            </w:r>
          </w:p>
        </w:tc>
      </w:tr>
    </w:tbl>
    <w:p/>
    <w:p>
      <w:pPr>
        <w:pStyle w:val="Heading1"/>
      </w:pPr>
      <w:r>
        <w:t>11. Industry AI Adoption Percentage and Vendor Adoption Logic</w:t>
      </w:r>
    </w:p>
    <w:p>
      <w:r>
        <w:t>The product must distinguish industry-level AI maturity from vendor-specific adoption in that industry. High general AI adoption does not prove a vendor is good. Vendor sector adoption does not override weak security or reliability. Adoption is a context and confidence modifier, not a quality substitute.</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F4E79"/>
            <w:vAlign w:val="center"/>
          </w:tcPr>
          <w:p>
            <w:pPr>
              <w:spacing w:after="0" w:before="0"/>
            </w:pPr>
            <w:r/>
            <w:r>
              <w:rPr>
                <w:b/>
                <w:color w:val="FFFFFF"/>
                <w:sz w:val="16"/>
              </w:rPr>
              <w:t>Metric</w:t>
            </w:r>
          </w:p>
        </w:tc>
        <w:tc>
          <w:tcPr>
            <w:tcW w:type="dxa" w:w="4032"/>
            <w:shd w:fill="1F4E79"/>
            <w:vAlign w:val="center"/>
          </w:tcPr>
          <w:p>
            <w:pPr>
              <w:spacing w:after="0" w:before="0"/>
            </w:pPr>
            <w:r/>
            <w:r>
              <w:rPr>
                <w:b/>
                <w:color w:val="FFFFFF"/>
                <w:sz w:val="16"/>
              </w:rPr>
              <w:t>Definition</w:t>
            </w:r>
          </w:p>
        </w:tc>
        <w:tc>
          <w:tcPr>
            <w:tcW w:type="dxa" w:w="3744"/>
            <w:shd w:fill="1F4E79"/>
            <w:vAlign w:val="center"/>
          </w:tcPr>
          <w:p>
            <w:pPr>
              <w:spacing w:after="0" w:before="0"/>
            </w:pPr>
            <w:r/>
            <w:r>
              <w:rPr>
                <w:b/>
                <w:color w:val="FFFFFF"/>
                <w:sz w:val="16"/>
              </w:rPr>
              <w:t>Use in scoring</w:t>
            </w:r>
          </w:p>
        </w:tc>
      </w:tr>
      <w:tr>
        <w:tc>
          <w:tcPr>
            <w:tcW w:type="dxa" w:w="2880"/>
            <w:vAlign w:val="top"/>
          </w:tcPr>
          <w:p>
            <w:pPr>
              <w:spacing w:after="0" w:before="0"/>
            </w:pPr>
            <w:r/>
            <w:r>
              <w:rPr>
                <w:b w:val="0"/>
                <w:sz w:val="16"/>
              </w:rPr>
              <w:t>Industry experimentation adoption %</w:t>
            </w:r>
          </w:p>
        </w:tc>
        <w:tc>
          <w:tcPr>
            <w:tcW w:type="dxa" w:w="4032"/>
            <w:vAlign w:val="top"/>
          </w:tcPr>
          <w:p>
            <w:pPr>
              <w:spacing w:after="0" w:before="0"/>
            </w:pPr>
            <w:r/>
            <w:r>
              <w:rPr>
                <w:b w:val="0"/>
                <w:sz w:val="16"/>
              </w:rPr>
              <w:t>Share of organisations trialling or experimenting with AI.</w:t>
            </w:r>
          </w:p>
        </w:tc>
        <w:tc>
          <w:tcPr>
            <w:tcW w:type="dxa" w:w="3744"/>
            <w:vAlign w:val="top"/>
          </w:tcPr>
          <w:p>
            <w:pPr>
              <w:spacing w:after="0" w:before="0"/>
            </w:pPr>
            <w:r/>
            <w:r>
              <w:rPr>
                <w:b w:val="0"/>
                <w:sz w:val="16"/>
              </w:rPr>
              <w:t>Weak maturity signal; informs market curiosity.</w:t>
            </w:r>
          </w:p>
        </w:tc>
      </w:tr>
      <w:tr>
        <w:tc>
          <w:tcPr>
            <w:tcW w:type="dxa" w:w="2880"/>
            <w:vAlign w:val="top"/>
          </w:tcPr>
          <w:p>
            <w:pPr>
              <w:spacing w:after="0" w:before="0"/>
            </w:pPr>
            <w:r/>
            <w:r>
              <w:rPr>
                <w:b w:val="0"/>
                <w:sz w:val="16"/>
              </w:rPr>
              <w:t>Industry regular-use adoption %</w:t>
            </w:r>
          </w:p>
        </w:tc>
        <w:tc>
          <w:tcPr>
            <w:tcW w:type="dxa" w:w="4032"/>
            <w:vAlign w:val="top"/>
          </w:tcPr>
          <w:p>
            <w:pPr>
              <w:spacing w:after="0" w:before="0"/>
            </w:pPr>
            <w:r/>
            <w:r>
              <w:rPr>
                <w:b w:val="0"/>
                <w:sz w:val="16"/>
              </w:rPr>
              <w:t>Share using AI in at least one business function.</w:t>
            </w:r>
          </w:p>
        </w:tc>
        <w:tc>
          <w:tcPr>
            <w:tcW w:type="dxa" w:w="3744"/>
            <w:vAlign w:val="top"/>
          </w:tcPr>
          <w:p>
            <w:pPr>
              <w:spacing w:after="0" w:before="0"/>
            </w:pPr>
            <w:r/>
            <w:r>
              <w:rPr>
                <w:b w:val="0"/>
                <w:sz w:val="16"/>
              </w:rPr>
              <w:t>Moderate maturity signal.</w:t>
            </w:r>
          </w:p>
        </w:tc>
      </w:tr>
      <w:tr>
        <w:tc>
          <w:tcPr>
            <w:tcW w:type="dxa" w:w="2880"/>
            <w:vAlign w:val="top"/>
          </w:tcPr>
          <w:p>
            <w:pPr>
              <w:spacing w:after="0" w:before="0"/>
            </w:pPr>
            <w:r/>
            <w:r>
              <w:rPr>
                <w:b w:val="0"/>
                <w:sz w:val="16"/>
              </w:rPr>
              <w:t>Industry production adoption %</w:t>
            </w:r>
          </w:p>
        </w:tc>
        <w:tc>
          <w:tcPr>
            <w:tcW w:type="dxa" w:w="4032"/>
            <w:vAlign w:val="top"/>
          </w:tcPr>
          <w:p>
            <w:pPr>
              <w:spacing w:after="0" w:before="0"/>
            </w:pPr>
            <w:r/>
            <w:r>
              <w:rPr>
                <w:b w:val="0"/>
                <w:sz w:val="16"/>
              </w:rPr>
              <w:t>Share with live production AI use cases.</w:t>
            </w:r>
          </w:p>
        </w:tc>
        <w:tc>
          <w:tcPr>
            <w:tcW w:type="dxa" w:w="3744"/>
            <w:vAlign w:val="top"/>
          </w:tcPr>
          <w:p>
            <w:pPr>
              <w:spacing w:after="0" w:before="0"/>
            </w:pPr>
            <w:r/>
            <w:r>
              <w:rPr>
                <w:b w:val="0"/>
                <w:sz w:val="16"/>
              </w:rPr>
              <w:t>Strong maturity signal; feeds industry maturity score.</w:t>
            </w:r>
          </w:p>
        </w:tc>
      </w:tr>
      <w:tr>
        <w:tc>
          <w:tcPr>
            <w:tcW w:type="dxa" w:w="2880"/>
            <w:vAlign w:val="top"/>
          </w:tcPr>
          <w:p>
            <w:pPr>
              <w:spacing w:after="0" w:before="0"/>
            </w:pPr>
            <w:r/>
            <w:r>
              <w:rPr>
                <w:b w:val="0"/>
                <w:sz w:val="16"/>
              </w:rPr>
              <w:t>Industry scaled adoption %</w:t>
            </w:r>
          </w:p>
        </w:tc>
        <w:tc>
          <w:tcPr>
            <w:tcW w:type="dxa" w:w="4032"/>
            <w:vAlign w:val="top"/>
          </w:tcPr>
          <w:p>
            <w:pPr>
              <w:spacing w:after="0" w:before="0"/>
            </w:pPr>
            <w:r/>
            <w:r>
              <w:rPr>
                <w:b w:val="0"/>
                <w:sz w:val="16"/>
              </w:rPr>
              <w:t>Share scaling AI across multiple functions.</w:t>
            </w:r>
          </w:p>
        </w:tc>
        <w:tc>
          <w:tcPr>
            <w:tcW w:type="dxa" w:w="3744"/>
            <w:vAlign w:val="top"/>
          </w:tcPr>
          <w:p>
            <w:pPr>
              <w:spacing w:after="0" w:before="0"/>
            </w:pPr>
            <w:r/>
            <w:r>
              <w:rPr>
                <w:b w:val="0"/>
                <w:sz w:val="16"/>
              </w:rPr>
              <w:t>Strongest maturity signal; highest weight.</w:t>
            </w:r>
          </w:p>
        </w:tc>
      </w:tr>
      <w:tr>
        <w:tc>
          <w:tcPr>
            <w:tcW w:type="dxa" w:w="2880"/>
            <w:vAlign w:val="top"/>
          </w:tcPr>
          <w:p>
            <w:pPr>
              <w:spacing w:after="0" w:before="0"/>
            </w:pPr>
            <w:r/>
            <w:r>
              <w:rPr>
                <w:b w:val="0"/>
                <w:sz w:val="16"/>
              </w:rPr>
              <w:t>Agentic experimentation %</w:t>
            </w:r>
          </w:p>
        </w:tc>
        <w:tc>
          <w:tcPr>
            <w:tcW w:type="dxa" w:w="4032"/>
            <w:vAlign w:val="top"/>
          </w:tcPr>
          <w:p>
            <w:pPr>
              <w:spacing w:after="0" w:before="0"/>
            </w:pPr>
            <w:r/>
            <w:r>
              <w:rPr>
                <w:b w:val="0"/>
                <w:sz w:val="16"/>
              </w:rPr>
              <w:t>Share trialling AI agents.</w:t>
            </w:r>
          </w:p>
        </w:tc>
        <w:tc>
          <w:tcPr>
            <w:tcW w:type="dxa" w:w="3744"/>
            <w:vAlign w:val="top"/>
          </w:tcPr>
          <w:p>
            <w:pPr>
              <w:spacing w:after="0" w:before="0"/>
            </w:pPr>
            <w:r/>
            <w:r>
              <w:rPr>
                <w:b w:val="0"/>
                <w:sz w:val="16"/>
              </w:rPr>
              <w:t>Adjusts autonomy market readiness.</w:t>
            </w:r>
          </w:p>
        </w:tc>
      </w:tr>
      <w:tr>
        <w:tc>
          <w:tcPr>
            <w:tcW w:type="dxa" w:w="2880"/>
            <w:vAlign w:val="top"/>
          </w:tcPr>
          <w:p>
            <w:pPr>
              <w:spacing w:after="0" w:before="0"/>
            </w:pPr>
            <w:r/>
            <w:r>
              <w:rPr>
                <w:b w:val="0"/>
                <w:sz w:val="16"/>
              </w:rPr>
              <w:t>Agentic scaled adoption %</w:t>
            </w:r>
          </w:p>
        </w:tc>
        <w:tc>
          <w:tcPr>
            <w:tcW w:type="dxa" w:w="4032"/>
            <w:vAlign w:val="top"/>
          </w:tcPr>
          <w:p>
            <w:pPr>
              <w:spacing w:after="0" w:before="0"/>
            </w:pPr>
            <w:r/>
            <w:r>
              <w:rPr>
                <w:b w:val="0"/>
                <w:sz w:val="16"/>
              </w:rPr>
              <w:t>Share scaling AI agents.</w:t>
            </w:r>
          </w:p>
        </w:tc>
        <w:tc>
          <w:tcPr>
            <w:tcW w:type="dxa" w:w="3744"/>
            <w:vAlign w:val="top"/>
          </w:tcPr>
          <w:p>
            <w:pPr>
              <w:spacing w:after="0" w:before="0"/>
            </w:pPr>
            <w:r/>
            <w:r>
              <w:rPr>
                <w:b w:val="0"/>
                <w:sz w:val="16"/>
              </w:rPr>
              <w:t>Adjusts autonomy confidence and risk expectations.</w:t>
            </w:r>
          </w:p>
        </w:tc>
      </w:tr>
      <w:tr>
        <w:tc>
          <w:tcPr>
            <w:tcW w:type="dxa" w:w="2880"/>
            <w:vAlign w:val="top"/>
          </w:tcPr>
          <w:p>
            <w:pPr>
              <w:spacing w:after="0" w:before="0"/>
            </w:pPr>
            <w:r/>
            <w:r>
              <w:rPr>
                <w:b w:val="0"/>
                <w:sz w:val="16"/>
              </w:rPr>
              <w:t>Vendor sector deployment depth</w:t>
            </w:r>
          </w:p>
        </w:tc>
        <w:tc>
          <w:tcPr>
            <w:tcW w:type="dxa" w:w="4032"/>
            <w:vAlign w:val="top"/>
          </w:tcPr>
          <w:p>
            <w:pPr>
              <w:spacing w:after="0" w:before="0"/>
            </w:pPr>
            <w:r/>
            <w:r>
              <w:rPr>
                <w:b w:val="0"/>
                <w:sz w:val="16"/>
              </w:rPr>
              <w:t>Evidence of vendor production use in selected industry.</w:t>
            </w:r>
          </w:p>
        </w:tc>
        <w:tc>
          <w:tcPr>
            <w:tcW w:type="dxa" w:w="3744"/>
            <w:vAlign w:val="top"/>
          </w:tcPr>
          <w:p>
            <w:pPr>
              <w:spacing w:after="0" w:before="0"/>
            </w:pPr>
            <w:r/>
            <w:r>
              <w:rPr>
                <w:b w:val="0"/>
                <w:sz w:val="16"/>
              </w:rPr>
              <w:t>Feeds Market Strength and Business Fit.</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592"/>
            <w:shd w:fill="1F4E79"/>
            <w:vAlign w:val="center"/>
          </w:tcPr>
          <w:p>
            <w:pPr>
              <w:spacing w:after="0" w:before="0"/>
            </w:pPr>
            <w:r/>
            <w:r>
              <w:rPr>
                <w:b/>
                <w:color w:val="FFFFFF"/>
                <w:sz w:val="16"/>
              </w:rPr>
              <w:t>Adoption maturity band</w:t>
            </w:r>
          </w:p>
        </w:tc>
        <w:tc>
          <w:tcPr>
            <w:tcW w:type="dxa" w:w="1872"/>
            <w:shd w:fill="1F4E79"/>
            <w:vAlign w:val="center"/>
          </w:tcPr>
          <w:p>
            <w:pPr>
              <w:spacing w:after="0" w:before="0"/>
            </w:pPr>
            <w:r/>
            <w:r>
              <w:rPr>
                <w:b/>
                <w:color w:val="FFFFFF"/>
                <w:sz w:val="16"/>
              </w:rPr>
              <w:t>Percentage range</w:t>
            </w:r>
          </w:p>
        </w:tc>
        <w:tc>
          <w:tcPr>
            <w:tcW w:type="dxa" w:w="6048"/>
            <w:shd w:fill="1F4E79"/>
            <w:vAlign w:val="center"/>
          </w:tcPr>
          <w:p>
            <w:pPr>
              <w:spacing w:after="0" w:before="0"/>
            </w:pPr>
            <w:r/>
            <w:r>
              <w:rPr>
                <w:b/>
                <w:color w:val="FFFFFF"/>
                <w:sz w:val="16"/>
              </w:rPr>
              <w:t>Model interpretation</w:t>
            </w:r>
          </w:p>
        </w:tc>
      </w:tr>
      <w:tr>
        <w:tc>
          <w:tcPr>
            <w:tcW w:type="dxa" w:w="2592"/>
            <w:vAlign w:val="top"/>
          </w:tcPr>
          <w:p>
            <w:pPr>
              <w:spacing w:after="0" w:before="0"/>
            </w:pPr>
            <w:r/>
            <w:r>
              <w:rPr>
                <w:b w:val="0"/>
                <w:sz w:val="16"/>
              </w:rPr>
              <w:t>Nascent</w:t>
            </w:r>
          </w:p>
        </w:tc>
        <w:tc>
          <w:tcPr>
            <w:tcW w:type="dxa" w:w="1872"/>
            <w:vAlign w:val="top"/>
          </w:tcPr>
          <w:p>
            <w:pPr>
              <w:spacing w:after="0" w:before="0"/>
            </w:pPr>
            <w:r/>
            <w:r>
              <w:rPr>
                <w:b w:val="0"/>
                <w:sz w:val="16"/>
              </w:rPr>
              <w:t>0-20%</w:t>
            </w:r>
          </w:p>
        </w:tc>
        <w:tc>
          <w:tcPr>
            <w:tcW w:type="dxa" w:w="6048"/>
            <w:vAlign w:val="top"/>
          </w:tcPr>
          <w:p>
            <w:pPr>
              <w:spacing w:after="0" w:before="0"/>
            </w:pPr>
            <w:r/>
            <w:r>
              <w:rPr>
                <w:b w:val="0"/>
                <w:sz w:val="16"/>
              </w:rPr>
              <w:t>High change-management friction; early-mover upside possible.</w:t>
            </w:r>
          </w:p>
        </w:tc>
      </w:tr>
      <w:tr>
        <w:tc>
          <w:tcPr>
            <w:tcW w:type="dxa" w:w="2592"/>
            <w:vAlign w:val="top"/>
          </w:tcPr>
          <w:p>
            <w:pPr>
              <w:spacing w:after="0" w:before="0"/>
            </w:pPr>
            <w:r/>
            <w:r>
              <w:rPr>
                <w:b w:val="0"/>
                <w:sz w:val="16"/>
              </w:rPr>
              <w:t>Emerging</w:t>
            </w:r>
          </w:p>
        </w:tc>
        <w:tc>
          <w:tcPr>
            <w:tcW w:type="dxa" w:w="1872"/>
            <w:vAlign w:val="top"/>
          </w:tcPr>
          <w:p>
            <w:pPr>
              <w:spacing w:after="0" w:before="0"/>
            </w:pPr>
            <w:r/>
            <w:r>
              <w:rPr>
                <w:b w:val="0"/>
                <w:sz w:val="16"/>
              </w:rPr>
              <w:t>21-40%</w:t>
            </w:r>
          </w:p>
        </w:tc>
        <w:tc>
          <w:tcPr>
            <w:tcW w:type="dxa" w:w="6048"/>
            <w:vAlign w:val="top"/>
          </w:tcPr>
          <w:p>
            <w:pPr>
              <w:spacing w:after="0" w:before="0"/>
            </w:pPr>
            <w:r/>
            <w:r>
              <w:rPr>
                <w:b w:val="0"/>
                <w:sz w:val="16"/>
              </w:rPr>
              <w:t>Vendor proof and adoption support matter heavily.</w:t>
            </w:r>
          </w:p>
        </w:tc>
      </w:tr>
      <w:tr>
        <w:tc>
          <w:tcPr>
            <w:tcW w:type="dxa" w:w="2592"/>
            <w:vAlign w:val="top"/>
          </w:tcPr>
          <w:p>
            <w:pPr>
              <w:spacing w:after="0" w:before="0"/>
            </w:pPr>
            <w:r/>
            <w:r>
              <w:rPr>
                <w:b w:val="0"/>
                <w:sz w:val="16"/>
              </w:rPr>
              <w:t>Developing</w:t>
            </w:r>
          </w:p>
        </w:tc>
        <w:tc>
          <w:tcPr>
            <w:tcW w:type="dxa" w:w="1872"/>
            <w:vAlign w:val="top"/>
          </w:tcPr>
          <w:p>
            <w:pPr>
              <w:spacing w:after="0" w:before="0"/>
            </w:pPr>
            <w:r/>
            <w:r>
              <w:rPr>
                <w:b w:val="0"/>
                <w:sz w:val="16"/>
              </w:rPr>
              <w:t>41-60%</w:t>
            </w:r>
          </w:p>
        </w:tc>
        <w:tc>
          <w:tcPr>
            <w:tcW w:type="dxa" w:w="6048"/>
            <w:vAlign w:val="top"/>
          </w:tcPr>
          <w:p>
            <w:pPr>
              <w:spacing w:after="0" w:before="0"/>
            </w:pPr>
            <w:r/>
            <w:r>
              <w:rPr>
                <w:b w:val="0"/>
                <w:sz w:val="16"/>
              </w:rPr>
              <w:t>Adoption growing; fit and governance matter.</w:t>
            </w:r>
          </w:p>
        </w:tc>
      </w:tr>
      <w:tr>
        <w:tc>
          <w:tcPr>
            <w:tcW w:type="dxa" w:w="2592"/>
            <w:vAlign w:val="top"/>
          </w:tcPr>
          <w:p>
            <w:pPr>
              <w:spacing w:after="0" w:before="0"/>
            </w:pPr>
            <w:r/>
            <w:r>
              <w:rPr>
                <w:b w:val="0"/>
                <w:sz w:val="16"/>
              </w:rPr>
              <w:t>Mainstream</w:t>
            </w:r>
          </w:p>
        </w:tc>
        <w:tc>
          <w:tcPr>
            <w:tcW w:type="dxa" w:w="1872"/>
            <w:vAlign w:val="top"/>
          </w:tcPr>
          <w:p>
            <w:pPr>
              <w:spacing w:after="0" w:before="0"/>
            </w:pPr>
            <w:r/>
            <w:r>
              <w:rPr>
                <w:b w:val="0"/>
                <w:sz w:val="16"/>
              </w:rPr>
              <w:t>61-80%</w:t>
            </w:r>
          </w:p>
        </w:tc>
        <w:tc>
          <w:tcPr>
            <w:tcW w:type="dxa" w:w="6048"/>
            <w:vAlign w:val="top"/>
          </w:tcPr>
          <w:p>
            <w:pPr>
              <w:spacing w:after="0" w:before="0"/>
            </w:pPr>
            <w:r/>
            <w:r>
              <w:rPr>
                <w:b w:val="0"/>
                <w:sz w:val="16"/>
              </w:rPr>
              <w:t>Differentiation and deployment quality matter.</w:t>
            </w:r>
          </w:p>
        </w:tc>
      </w:tr>
      <w:tr>
        <w:tc>
          <w:tcPr>
            <w:tcW w:type="dxa" w:w="2592"/>
            <w:vAlign w:val="top"/>
          </w:tcPr>
          <w:p>
            <w:pPr>
              <w:spacing w:after="0" w:before="0"/>
            </w:pPr>
            <w:r/>
            <w:r>
              <w:rPr>
                <w:b w:val="0"/>
                <w:sz w:val="16"/>
              </w:rPr>
              <w:t>Advanced</w:t>
            </w:r>
          </w:p>
        </w:tc>
        <w:tc>
          <w:tcPr>
            <w:tcW w:type="dxa" w:w="1872"/>
            <w:vAlign w:val="top"/>
          </w:tcPr>
          <w:p>
            <w:pPr>
              <w:spacing w:after="0" w:before="0"/>
            </w:pPr>
            <w:r/>
            <w:r>
              <w:rPr>
                <w:b w:val="0"/>
                <w:sz w:val="16"/>
              </w:rPr>
              <w:t>81-100%</w:t>
            </w:r>
          </w:p>
        </w:tc>
        <w:tc>
          <w:tcPr>
            <w:tcW w:type="dxa" w:w="6048"/>
            <w:vAlign w:val="top"/>
          </w:tcPr>
          <w:p>
            <w:pPr>
              <w:spacing w:after="0" w:before="0"/>
            </w:pPr>
            <w:r/>
            <w:r>
              <w:rPr>
                <w:b w:val="0"/>
                <w:sz w:val="16"/>
              </w:rPr>
              <w:t>Focus on quality, control, scale, and vendor maturity.</w:t>
            </w:r>
          </w:p>
        </w:tc>
      </w:tr>
    </w:tbl>
    <w:p/>
    <w:tbl>
      <w:tblPr>
        <w:tblStyle w:val="TableGrid"/>
        <w:tblW w:type="auto" w:w="0"/>
        <w:tblLook w:firstColumn="1" w:firstRow="1" w:lastColumn="0" w:lastRow="0" w:noHBand="0" w:noVBand="1" w:val="04A0"/>
      </w:tblPr>
      <w:tblGrid>
        <w:gridCol w:w="10656"/>
      </w:tblGrid>
      <w:tr>
        <w:tc>
          <w:tcPr>
            <w:tcW w:type="dxa" w:w="10656"/>
            <w:shd w:fill="FFF2CC"/>
          </w:tcPr>
          <w:p>
            <w:r>
              <w:rPr>
                <w:b/>
                <w:sz w:val="20"/>
              </w:rPr>
              <w:t>Adoption Calculation</w:t>
            </w:r>
            <w:r>
              <w:rPr>
                <w:sz w:val="18"/>
              </w:rPr>
              <w:br/>
              <w:t>Industry Maturity Modifier = 25% regular-use adoption + 35% production adoption + 40% scaled adoption. Adoption Friction Penalty = 100 - Industry Adoption Maturity Score, applied modestly and adjusted by user objective.</w:t>
            </w:r>
          </w:p>
        </w:tc>
      </w:tr>
    </w:tbl>
    <w:p/>
    <w:p>
      <w:pPr>
        <w:pStyle w:val="Heading1"/>
      </w:pPr>
      <w:r>
        <w:t>12. Scoring Engine Specification</w:t>
      </w:r>
    </w:p>
    <w:p>
      <w:pPr>
        <w:pStyle w:val="Heading2"/>
      </w:pPr>
      <w:r>
        <w:t>12.1 Core Score Objects</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F4E79"/>
            <w:vAlign w:val="center"/>
          </w:tcPr>
          <w:p>
            <w:pPr>
              <w:spacing w:after="0" w:before="0"/>
            </w:pPr>
            <w:r/>
            <w:r>
              <w:rPr>
                <w:b/>
                <w:color w:val="FFFFFF"/>
                <w:sz w:val="16"/>
              </w:rPr>
              <w:t>Object</w:t>
            </w:r>
          </w:p>
        </w:tc>
        <w:tc>
          <w:tcPr>
            <w:tcW w:type="dxa" w:w="6048"/>
            <w:shd w:fill="1F4E79"/>
            <w:vAlign w:val="center"/>
          </w:tcPr>
          <w:p>
            <w:pPr>
              <w:spacing w:after="0" w:before="0"/>
            </w:pPr>
            <w:r/>
            <w:r>
              <w:rPr>
                <w:b/>
                <w:color w:val="FFFFFF"/>
                <w:sz w:val="16"/>
              </w:rPr>
              <w:t>Description</w:t>
            </w:r>
          </w:p>
        </w:tc>
        <w:tc>
          <w:tcPr>
            <w:tcW w:type="dxa" w:w="1584"/>
            <w:shd w:fill="1F4E79"/>
            <w:vAlign w:val="center"/>
          </w:tcPr>
          <w:p>
            <w:pPr>
              <w:spacing w:after="0" w:before="0"/>
            </w:pPr>
            <w:r/>
            <w:r>
              <w:rPr>
                <w:b/>
                <w:color w:val="FFFFFF"/>
                <w:sz w:val="16"/>
              </w:rPr>
              <w:t>Range</w:t>
            </w:r>
          </w:p>
        </w:tc>
      </w:tr>
      <w:tr>
        <w:tc>
          <w:tcPr>
            <w:tcW w:type="dxa" w:w="2880"/>
            <w:vAlign w:val="top"/>
          </w:tcPr>
          <w:p>
            <w:pPr>
              <w:spacing w:after="0" w:before="0"/>
            </w:pPr>
            <w:r/>
            <w:r>
              <w:rPr>
                <w:b w:val="0"/>
                <w:sz w:val="16"/>
              </w:rPr>
              <w:t>raw_subfactor_score</w:t>
            </w:r>
          </w:p>
        </w:tc>
        <w:tc>
          <w:tcPr>
            <w:tcW w:type="dxa" w:w="6048"/>
            <w:vAlign w:val="top"/>
          </w:tcPr>
          <w:p>
            <w:pPr>
              <w:spacing w:after="0" w:before="0"/>
            </w:pPr>
            <w:r/>
            <w:r>
              <w:rPr>
                <w:b w:val="0"/>
                <w:sz w:val="16"/>
              </w:rPr>
              <w:t>Capability score before evidence and context adjustment.</w:t>
            </w:r>
          </w:p>
        </w:tc>
        <w:tc>
          <w:tcPr>
            <w:tcW w:type="dxa" w:w="1584"/>
            <w:vAlign w:val="top"/>
          </w:tcPr>
          <w:p>
            <w:pPr>
              <w:spacing w:after="0" w:before="0"/>
            </w:pPr>
            <w:r/>
            <w:r>
              <w:rPr>
                <w:b w:val="0"/>
                <w:sz w:val="16"/>
              </w:rPr>
              <w:t>0-100</w:t>
            </w:r>
          </w:p>
        </w:tc>
      </w:tr>
      <w:tr>
        <w:tc>
          <w:tcPr>
            <w:tcW w:type="dxa" w:w="2880"/>
            <w:vAlign w:val="top"/>
          </w:tcPr>
          <w:p>
            <w:pPr>
              <w:spacing w:after="0" w:before="0"/>
            </w:pPr>
            <w:r/>
            <w:r>
              <w:rPr>
                <w:b w:val="0"/>
                <w:sz w:val="16"/>
              </w:rPr>
              <w:t>evidence_modifier</w:t>
            </w:r>
          </w:p>
        </w:tc>
        <w:tc>
          <w:tcPr>
            <w:tcW w:type="dxa" w:w="6048"/>
            <w:vAlign w:val="top"/>
          </w:tcPr>
          <w:p>
            <w:pPr>
              <w:spacing w:after="0" w:before="0"/>
            </w:pPr>
            <w:r/>
            <w:r>
              <w:rPr>
                <w:b w:val="0"/>
                <w:sz w:val="16"/>
              </w:rPr>
              <w:t>Multiplier based on evidence grade E0-E5.</w:t>
            </w:r>
          </w:p>
        </w:tc>
        <w:tc>
          <w:tcPr>
            <w:tcW w:type="dxa" w:w="1584"/>
            <w:vAlign w:val="top"/>
          </w:tcPr>
          <w:p>
            <w:pPr>
              <w:spacing w:after="0" w:before="0"/>
            </w:pPr>
            <w:r/>
            <w:r>
              <w:rPr>
                <w:b w:val="0"/>
                <w:sz w:val="16"/>
              </w:rPr>
              <w:t>0.0-1.0</w:t>
            </w:r>
          </w:p>
        </w:tc>
      </w:tr>
      <w:tr>
        <w:tc>
          <w:tcPr>
            <w:tcW w:type="dxa" w:w="2880"/>
            <w:vAlign w:val="top"/>
          </w:tcPr>
          <w:p>
            <w:pPr>
              <w:spacing w:after="0" w:before="0"/>
            </w:pPr>
            <w:r/>
            <w:r>
              <w:rPr>
                <w:b w:val="0"/>
                <w:sz w:val="16"/>
              </w:rPr>
              <w:t>context_weight</w:t>
            </w:r>
          </w:p>
        </w:tc>
        <w:tc>
          <w:tcPr>
            <w:tcW w:type="dxa" w:w="6048"/>
            <w:vAlign w:val="top"/>
          </w:tcPr>
          <w:p>
            <w:pPr>
              <w:spacing w:after="0" w:before="0"/>
            </w:pPr>
            <w:r/>
            <w:r>
              <w:rPr>
                <w:b w:val="0"/>
                <w:sz w:val="16"/>
              </w:rPr>
              <w:t>Dynamic weight based on industry, use case, risk, data sensitivity, autonomy, budget, ecosystem.</w:t>
            </w:r>
          </w:p>
        </w:tc>
        <w:tc>
          <w:tcPr>
            <w:tcW w:type="dxa" w:w="1584"/>
            <w:vAlign w:val="top"/>
          </w:tcPr>
          <w:p>
            <w:pPr>
              <w:spacing w:after="0" w:before="0"/>
            </w:pPr>
            <w:r/>
            <w:r>
              <w:rPr>
                <w:b w:val="0"/>
                <w:sz w:val="16"/>
              </w:rPr>
              <w:t>0-1</w:t>
            </w:r>
          </w:p>
        </w:tc>
      </w:tr>
      <w:tr>
        <w:tc>
          <w:tcPr>
            <w:tcW w:type="dxa" w:w="2880"/>
            <w:vAlign w:val="top"/>
          </w:tcPr>
          <w:p>
            <w:pPr>
              <w:spacing w:after="0" w:before="0"/>
            </w:pPr>
            <w:r/>
            <w:r>
              <w:rPr>
                <w:b w:val="0"/>
                <w:sz w:val="16"/>
              </w:rPr>
              <w:t>risk_penalty</w:t>
            </w:r>
          </w:p>
        </w:tc>
        <w:tc>
          <w:tcPr>
            <w:tcW w:type="dxa" w:w="6048"/>
            <w:vAlign w:val="top"/>
          </w:tcPr>
          <w:p>
            <w:pPr>
              <w:spacing w:after="0" w:before="0"/>
            </w:pPr>
            <w:r/>
            <w:r>
              <w:rPr>
                <w:b w:val="0"/>
                <w:sz w:val="16"/>
              </w:rPr>
              <w:t>Deduction applied for red flags or blockers.</w:t>
            </w:r>
          </w:p>
        </w:tc>
        <w:tc>
          <w:tcPr>
            <w:tcW w:type="dxa" w:w="1584"/>
            <w:vAlign w:val="top"/>
          </w:tcPr>
          <w:p>
            <w:pPr>
              <w:spacing w:after="0" w:before="0"/>
            </w:pPr>
            <w:r/>
            <w:r>
              <w:rPr>
                <w:b w:val="0"/>
                <w:sz w:val="16"/>
              </w:rPr>
              <w:t>0-100 impact</w:t>
            </w:r>
          </w:p>
        </w:tc>
      </w:tr>
      <w:tr>
        <w:tc>
          <w:tcPr>
            <w:tcW w:type="dxa" w:w="2880"/>
            <w:vAlign w:val="top"/>
          </w:tcPr>
          <w:p>
            <w:pPr>
              <w:spacing w:after="0" w:before="0"/>
            </w:pPr>
            <w:r/>
            <w:r>
              <w:rPr>
                <w:b w:val="0"/>
                <w:sz w:val="16"/>
              </w:rPr>
              <w:t>missing_evidence_penalty</w:t>
            </w:r>
          </w:p>
        </w:tc>
        <w:tc>
          <w:tcPr>
            <w:tcW w:type="dxa" w:w="6048"/>
            <w:vAlign w:val="top"/>
          </w:tcPr>
          <w:p>
            <w:pPr>
              <w:spacing w:after="0" w:before="0"/>
            </w:pPr>
            <w:r/>
            <w:r>
              <w:rPr>
                <w:b w:val="0"/>
                <w:sz w:val="16"/>
              </w:rPr>
              <w:t>Deduction for absent evidence in important areas.</w:t>
            </w:r>
          </w:p>
        </w:tc>
        <w:tc>
          <w:tcPr>
            <w:tcW w:type="dxa" w:w="1584"/>
            <w:vAlign w:val="top"/>
          </w:tcPr>
          <w:p>
            <w:pPr>
              <w:spacing w:after="0" w:before="0"/>
            </w:pPr>
            <w:r/>
            <w:r>
              <w:rPr>
                <w:b w:val="0"/>
                <w:sz w:val="16"/>
              </w:rPr>
              <w:t>0-100 impact</w:t>
            </w:r>
          </w:p>
        </w:tc>
      </w:tr>
      <w:tr>
        <w:tc>
          <w:tcPr>
            <w:tcW w:type="dxa" w:w="2880"/>
            <w:vAlign w:val="top"/>
          </w:tcPr>
          <w:p>
            <w:pPr>
              <w:spacing w:after="0" w:before="0"/>
            </w:pPr>
            <w:r/>
            <w:r>
              <w:rPr>
                <w:b w:val="0"/>
                <w:sz w:val="16"/>
              </w:rPr>
              <w:t>strategic_fit_bonus</w:t>
            </w:r>
          </w:p>
        </w:tc>
        <w:tc>
          <w:tcPr>
            <w:tcW w:type="dxa" w:w="6048"/>
            <w:vAlign w:val="top"/>
          </w:tcPr>
          <w:p>
            <w:pPr>
              <w:spacing w:after="0" w:before="0"/>
            </w:pPr>
            <w:r/>
            <w:r>
              <w:rPr>
                <w:b w:val="0"/>
                <w:sz w:val="16"/>
              </w:rPr>
              <w:t>Positive adjustment for strong ecosystem, use-case, sector, or deployment fit.</w:t>
            </w:r>
          </w:p>
        </w:tc>
        <w:tc>
          <w:tcPr>
            <w:tcW w:type="dxa" w:w="1584"/>
            <w:vAlign w:val="top"/>
          </w:tcPr>
          <w:p>
            <w:pPr>
              <w:spacing w:after="0" w:before="0"/>
            </w:pPr>
            <w:r/>
            <w:r>
              <w:rPr>
                <w:b w:val="0"/>
                <w:sz w:val="16"/>
              </w:rPr>
              <w:t>0-10 recommended</w:t>
            </w:r>
          </w:p>
        </w:tc>
      </w:tr>
      <w:tr>
        <w:tc>
          <w:tcPr>
            <w:tcW w:type="dxa" w:w="2880"/>
            <w:vAlign w:val="top"/>
          </w:tcPr>
          <w:p>
            <w:pPr>
              <w:spacing w:after="0" w:before="0"/>
            </w:pPr>
            <w:r/>
            <w:r>
              <w:rPr>
                <w:b w:val="0"/>
                <w:sz w:val="16"/>
              </w:rPr>
              <w:t>sector_adoption_fit_bonus</w:t>
            </w:r>
          </w:p>
        </w:tc>
        <w:tc>
          <w:tcPr>
            <w:tcW w:type="dxa" w:w="6048"/>
            <w:vAlign w:val="top"/>
          </w:tcPr>
          <w:p>
            <w:pPr>
              <w:spacing w:after="0" w:before="0"/>
            </w:pPr>
            <w:r/>
            <w:r>
              <w:rPr>
                <w:b w:val="0"/>
                <w:sz w:val="16"/>
              </w:rPr>
              <w:t>Positive adjustment for strong vendor proof in selected industry.</w:t>
            </w:r>
          </w:p>
        </w:tc>
        <w:tc>
          <w:tcPr>
            <w:tcW w:type="dxa" w:w="1584"/>
            <w:vAlign w:val="top"/>
          </w:tcPr>
          <w:p>
            <w:pPr>
              <w:spacing w:after="0" w:before="0"/>
            </w:pPr>
            <w:r/>
            <w:r>
              <w:rPr>
                <w:b w:val="0"/>
                <w:sz w:val="16"/>
              </w:rPr>
              <w:t>0-10 recommended</w:t>
            </w:r>
          </w:p>
        </w:tc>
      </w:tr>
      <w:tr>
        <w:tc>
          <w:tcPr>
            <w:tcW w:type="dxa" w:w="2880"/>
            <w:vAlign w:val="top"/>
          </w:tcPr>
          <w:p>
            <w:pPr>
              <w:spacing w:after="0" w:before="0"/>
            </w:pPr>
            <w:r/>
            <w:r>
              <w:rPr>
                <w:b w:val="0"/>
                <w:sz w:val="16"/>
              </w:rPr>
              <w:t>confidence_score</w:t>
            </w:r>
          </w:p>
        </w:tc>
        <w:tc>
          <w:tcPr>
            <w:tcW w:type="dxa" w:w="6048"/>
            <w:vAlign w:val="top"/>
          </w:tcPr>
          <w:p>
            <w:pPr>
              <w:spacing w:after="0" w:before="0"/>
            </w:pPr>
            <w:r/>
            <w:r>
              <w:rPr>
                <w:b w:val="0"/>
                <w:sz w:val="16"/>
              </w:rPr>
              <w:t>Overall evidence strength and freshness score.</w:t>
            </w:r>
          </w:p>
        </w:tc>
        <w:tc>
          <w:tcPr>
            <w:tcW w:type="dxa" w:w="1584"/>
            <w:vAlign w:val="top"/>
          </w:tcPr>
          <w:p>
            <w:pPr>
              <w:spacing w:after="0" w:before="0"/>
            </w:pPr>
            <w:r/>
            <w:r>
              <w:rPr>
                <w:b w:val="0"/>
                <w:sz w:val="16"/>
              </w:rPr>
              <w:t>0-100</w:t>
            </w:r>
          </w:p>
        </w:tc>
      </w:tr>
    </w:tbl>
    <w:p/>
    <w:p>
      <w:pPr>
        <w:pStyle w:val="Heading2"/>
      </w:pPr>
      <w:r>
        <w:t>12.2 Formula</w:t>
      </w:r>
    </w:p>
    <w:tbl>
      <w:tblPr>
        <w:tblStyle w:val="TableGrid"/>
        <w:tblW w:type="auto" w:w="0"/>
        <w:tblLook w:firstColumn="1" w:firstRow="1" w:lastColumn="0" w:lastRow="0" w:noHBand="0" w:noVBand="1" w:val="04A0"/>
      </w:tblPr>
      <w:tblGrid>
        <w:gridCol w:w="10656"/>
      </w:tblGrid>
      <w:tr>
        <w:tc>
          <w:tcPr>
            <w:tcW w:type="dxa" w:w="10656"/>
            <w:shd w:fill="FFF2CC"/>
          </w:tcPr>
          <w:p>
            <w:r>
              <w:rPr>
                <w:b/>
                <w:sz w:val="20"/>
              </w:rPr>
              <w:t>Final Vendor Score Formula</w:t>
            </w:r>
            <w:r>
              <w:rPr>
                <w:sz w:val="18"/>
              </w:rPr>
              <w:br/>
              <w:t>Final Vendor Score = Sum(Pillar Score x Dynamic Context Weight x Evidence Confidence) + Strategic Fit Bonus + Sector Adoption Fit Bonus - Risk Penalties - Missing Evidence Penalty - Adoption Friction Penalty</w:t>
            </w:r>
          </w:p>
        </w:tc>
      </w:tr>
    </w:tbl>
    <w:p/>
    <w:p>
      <w:pPr>
        <w:pStyle w:val="Heading2"/>
      </w:pPr>
      <w:r>
        <w:t>12.3 Evidence Modifiers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296"/>
            <w:shd w:fill="1F4E79"/>
            <w:vAlign w:val="center"/>
          </w:tcPr>
          <w:p>
            <w:pPr>
              <w:spacing w:after="0" w:before="0"/>
            </w:pPr>
            <w:r/>
            <w:r>
              <w:rPr>
                <w:b/>
                <w:color w:val="FFFFFF"/>
                <w:sz w:val="16"/>
              </w:rPr>
              <w:t>Evidence grade</w:t>
            </w:r>
          </w:p>
        </w:tc>
        <w:tc>
          <w:tcPr>
            <w:tcW w:type="dxa" w:w="2880"/>
            <w:shd w:fill="1F4E79"/>
            <w:vAlign w:val="center"/>
          </w:tcPr>
          <w:p>
            <w:pPr>
              <w:spacing w:after="0" w:before="0"/>
            </w:pPr>
            <w:r/>
            <w:r>
              <w:rPr>
                <w:b/>
                <w:color w:val="FFFFFF"/>
                <w:sz w:val="16"/>
              </w:rPr>
              <w:t>Meaning</w:t>
            </w:r>
          </w:p>
        </w:tc>
        <w:tc>
          <w:tcPr>
            <w:tcW w:type="dxa" w:w="1152"/>
            <w:shd w:fill="1F4E79"/>
            <w:vAlign w:val="center"/>
          </w:tcPr>
          <w:p>
            <w:pPr>
              <w:spacing w:after="0" w:before="0"/>
            </w:pPr>
            <w:r/>
            <w:r>
              <w:rPr>
                <w:b/>
                <w:color w:val="FFFFFF"/>
                <w:sz w:val="16"/>
              </w:rPr>
              <w:t>Modifier</w:t>
            </w:r>
          </w:p>
        </w:tc>
        <w:tc>
          <w:tcPr>
            <w:tcW w:type="dxa" w:w="5184"/>
            <w:shd w:fill="1F4E79"/>
            <w:vAlign w:val="center"/>
          </w:tcPr>
          <w:p>
            <w:pPr>
              <w:spacing w:after="0" w:before="0"/>
            </w:pPr>
            <w:r/>
            <w:r>
              <w:rPr>
                <w:b/>
                <w:color w:val="FFFFFF"/>
                <w:sz w:val="16"/>
              </w:rPr>
              <w:t>Example</w:t>
            </w:r>
          </w:p>
        </w:tc>
      </w:tr>
      <w:tr>
        <w:tc>
          <w:tcPr>
            <w:tcW w:type="dxa" w:w="1296"/>
            <w:vAlign w:val="top"/>
          </w:tcPr>
          <w:p>
            <w:pPr>
              <w:spacing w:after="0" w:before="0"/>
            </w:pPr>
            <w:r/>
            <w:r>
              <w:rPr>
                <w:b w:val="0"/>
                <w:sz w:val="16"/>
              </w:rPr>
              <w:t>E0</w:t>
            </w:r>
          </w:p>
        </w:tc>
        <w:tc>
          <w:tcPr>
            <w:tcW w:type="dxa" w:w="2880"/>
            <w:vAlign w:val="top"/>
          </w:tcPr>
          <w:p>
            <w:pPr>
              <w:spacing w:after="0" w:before="0"/>
            </w:pPr>
            <w:r/>
            <w:r>
              <w:rPr>
                <w:b w:val="0"/>
                <w:sz w:val="16"/>
              </w:rPr>
              <w:t>No evidence.</w:t>
            </w:r>
          </w:p>
        </w:tc>
        <w:tc>
          <w:tcPr>
            <w:tcW w:type="dxa" w:w="1152"/>
            <w:vAlign w:val="top"/>
          </w:tcPr>
          <w:p>
            <w:pPr>
              <w:spacing w:after="0" w:before="0"/>
            </w:pPr>
            <w:r/>
            <w:r>
              <w:rPr>
                <w:b w:val="0"/>
                <w:sz w:val="16"/>
              </w:rPr>
              <w:t>0.0</w:t>
            </w:r>
          </w:p>
        </w:tc>
        <w:tc>
          <w:tcPr>
            <w:tcW w:type="dxa" w:w="5184"/>
            <w:vAlign w:val="top"/>
          </w:tcPr>
          <w:p>
            <w:pPr>
              <w:spacing w:after="0" w:before="0"/>
            </w:pPr>
            <w:r/>
            <w:r>
              <w:rPr>
                <w:b w:val="0"/>
                <w:sz w:val="16"/>
              </w:rPr>
              <w:t>No documentation, no claim, no test.</w:t>
            </w:r>
          </w:p>
        </w:tc>
      </w:tr>
      <w:tr>
        <w:tc>
          <w:tcPr>
            <w:tcW w:type="dxa" w:w="1296"/>
            <w:vAlign w:val="top"/>
          </w:tcPr>
          <w:p>
            <w:pPr>
              <w:spacing w:after="0" w:before="0"/>
            </w:pPr>
            <w:r/>
            <w:r>
              <w:rPr>
                <w:b w:val="0"/>
                <w:sz w:val="16"/>
              </w:rPr>
              <w:t>E1</w:t>
            </w:r>
          </w:p>
        </w:tc>
        <w:tc>
          <w:tcPr>
            <w:tcW w:type="dxa" w:w="2880"/>
            <w:vAlign w:val="top"/>
          </w:tcPr>
          <w:p>
            <w:pPr>
              <w:spacing w:after="0" w:before="0"/>
            </w:pPr>
            <w:r/>
            <w:r>
              <w:rPr>
                <w:b w:val="0"/>
                <w:sz w:val="16"/>
              </w:rPr>
              <w:t>Vendor claim only.</w:t>
            </w:r>
          </w:p>
        </w:tc>
        <w:tc>
          <w:tcPr>
            <w:tcW w:type="dxa" w:w="1152"/>
            <w:vAlign w:val="top"/>
          </w:tcPr>
          <w:p>
            <w:pPr>
              <w:spacing w:after="0" w:before="0"/>
            </w:pPr>
            <w:r/>
            <w:r>
              <w:rPr>
                <w:b w:val="0"/>
                <w:sz w:val="16"/>
              </w:rPr>
              <w:t>0.4</w:t>
            </w:r>
          </w:p>
        </w:tc>
        <w:tc>
          <w:tcPr>
            <w:tcW w:type="dxa" w:w="5184"/>
            <w:vAlign w:val="top"/>
          </w:tcPr>
          <w:p>
            <w:pPr>
              <w:spacing w:after="0" w:before="0"/>
            </w:pPr>
            <w:r/>
            <w:r>
              <w:rPr>
                <w:b w:val="0"/>
                <w:sz w:val="16"/>
              </w:rPr>
              <w:t>Marketing page states capability.</w:t>
            </w:r>
          </w:p>
        </w:tc>
      </w:tr>
      <w:tr>
        <w:tc>
          <w:tcPr>
            <w:tcW w:type="dxa" w:w="1296"/>
            <w:vAlign w:val="top"/>
          </w:tcPr>
          <w:p>
            <w:pPr>
              <w:spacing w:after="0" w:before="0"/>
            </w:pPr>
            <w:r/>
            <w:r>
              <w:rPr>
                <w:b w:val="0"/>
                <w:sz w:val="16"/>
              </w:rPr>
              <w:t>E2</w:t>
            </w:r>
          </w:p>
        </w:tc>
        <w:tc>
          <w:tcPr>
            <w:tcW w:type="dxa" w:w="2880"/>
            <w:vAlign w:val="top"/>
          </w:tcPr>
          <w:p>
            <w:pPr>
              <w:spacing w:after="0" w:before="0"/>
            </w:pPr>
            <w:r/>
            <w:r>
              <w:rPr>
                <w:b w:val="0"/>
                <w:sz w:val="16"/>
              </w:rPr>
              <w:t>Public documentation.</w:t>
            </w:r>
          </w:p>
        </w:tc>
        <w:tc>
          <w:tcPr>
            <w:tcW w:type="dxa" w:w="1152"/>
            <w:vAlign w:val="top"/>
          </w:tcPr>
          <w:p>
            <w:pPr>
              <w:spacing w:after="0" w:before="0"/>
            </w:pPr>
            <w:r/>
            <w:r>
              <w:rPr>
                <w:b w:val="0"/>
                <w:sz w:val="16"/>
              </w:rPr>
              <w:t>0.6</w:t>
            </w:r>
          </w:p>
        </w:tc>
        <w:tc>
          <w:tcPr>
            <w:tcW w:type="dxa" w:w="5184"/>
            <w:vAlign w:val="top"/>
          </w:tcPr>
          <w:p>
            <w:pPr>
              <w:spacing w:after="0" w:before="0"/>
            </w:pPr>
            <w:r/>
            <w:r>
              <w:rPr>
                <w:b w:val="0"/>
                <w:sz w:val="16"/>
              </w:rPr>
              <w:t>Docs/trust page confirms feature.</w:t>
            </w:r>
          </w:p>
        </w:tc>
      </w:tr>
      <w:tr>
        <w:tc>
          <w:tcPr>
            <w:tcW w:type="dxa" w:w="1296"/>
            <w:vAlign w:val="top"/>
          </w:tcPr>
          <w:p>
            <w:pPr>
              <w:spacing w:after="0" w:before="0"/>
            </w:pPr>
            <w:r/>
            <w:r>
              <w:rPr>
                <w:b w:val="0"/>
                <w:sz w:val="16"/>
              </w:rPr>
              <w:t>E3</w:t>
            </w:r>
          </w:p>
        </w:tc>
        <w:tc>
          <w:tcPr>
            <w:tcW w:type="dxa" w:w="2880"/>
            <w:vAlign w:val="top"/>
          </w:tcPr>
          <w:p>
            <w:pPr>
              <w:spacing w:after="0" w:before="0"/>
            </w:pPr>
            <w:r/>
            <w:r>
              <w:rPr>
                <w:b w:val="0"/>
                <w:sz w:val="16"/>
              </w:rPr>
              <w:t>Public test, agent test, sandbox/API verification.</w:t>
            </w:r>
          </w:p>
        </w:tc>
        <w:tc>
          <w:tcPr>
            <w:tcW w:type="dxa" w:w="1152"/>
            <w:vAlign w:val="top"/>
          </w:tcPr>
          <w:p>
            <w:pPr>
              <w:spacing w:after="0" w:before="0"/>
            </w:pPr>
            <w:r/>
            <w:r>
              <w:rPr>
                <w:b w:val="0"/>
                <w:sz w:val="16"/>
              </w:rPr>
              <w:t>0.75</w:t>
            </w:r>
          </w:p>
        </w:tc>
        <w:tc>
          <w:tcPr>
            <w:tcW w:type="dxa" w:w="5184"/>
            <w:vAlign w:val="top"/>
          </w:tcPr>
          <w:p>
            <w:pPr>
              <w:spacing w:after="0" w:before="0"/>
            </w:pPr>
            <w:r/>
            <w:r>
              <w:rPr>
                <w:b w:val="0"/>
                <w:sz w:val="16"/>
              </w:rPr>
              <w:t>Our agent or public API verifies behaviour.</w:t>
            </w:r>
          </w:p>
        </w:tc>
      </w:tr>
      <w:tr>
        <w:tc>
          <w:tcPr>
            <w:tcW w:type="dxa" w:w="1296"/>
            <w:vAlign w:val="top"/>
          </w:tcPr>
          <w:p>
            <w:pPr>
              <w:spacing w:after="0" w:before="0"/>
            </w:pPr>
            <w:r/>
            <w:r>
              <w:rPr>
                <w:b w:val="0"/>
                <w:sz w:val="16"/>
              </w:rPr>
              <w:t>E4</w:t>
            </w:r>
          </w:p>
        </w:tc>
        <w:tc>
          <w:tcPr>
            <w:tcW w:type="dxa" w:w="2880"/>
            <w:vAlign w:val="top"/>
          </w:tcPr>
          <w:p>
            <w:pPr>
              <w:spacing w:after="0" w:before="0"/>
            </w:pPr>
            <w:r/>
            <w:r>
              <w:rPr>
                <w:b w:val="0"/>
                <w:sz w:val="16"/>
              </w:rPr>
              <w:t>Production customer evidence.</w:t>
            </w:r>
          </w:p>
        </w:tc>
        <w:tc>
          <w:tcPr>
            <w:tcW w:type="dxa" w:w="1152"/>
            <w:vAlign w:val="top"/>
          </w:tcPr>
          <w:p>
            <w:pPr>
              <w:spacing w:after="0" w:before="0"/>
            </w:pPr>
            <w:r/>
            <w:r>
              <w:rPr>
                <w:b w:val="0"/>
                <w:sz w:val="16"/>
              </w:rPr>
              <w:t>0.9</w:t>
            </w:r>
          </w:p>
        </w:tc>
        <w:tc>
          <w:tcPr>
            <w:tcW w:type="dxa" w:w="5184"/>
            <w:vAlign w:val="top"/>
          </w:tcPr>
          <w:p>
            <w:pPr>
              <w:spacing w:after="0" w:before="0"/>
            </w:pPr>
            <w:r/>
            <w:r>
              <w:rPr>
                <w:b w:val="0"/>
                <w:sz w:val="16"/>
              </w:rPr>
              <w:t>Case study/reference with production deployment.</w:t>
            </w:r>
          </w:p>
        </w:tc>
      </w:tr>
      <w:tr>
        <w:tc>
          <w:tcPr>
            <w:tcW w:type="dxa" w:w="1296"/>
            <w:vAlign w:val="top"/>
          </w:tcPr>
          <w:p>
            <w:pPr>
              <w:spacing w:after="0" w:before="0"/>
            </w:pPr>
            <w:r/>
            <w:r>
              <w:rPr>
                <w:b w:val="0"/>
                <w:sz w:val="16"/>
              </w:rPr>
              <w:t>E5</w:t>
            </w:r>
          </w:p>
        </w:tc>
        <w:tc>
          <w:tcPr>
            <w:tcW w:type="dxa" w:w="2880"/>
            <w:vAlign w:val="top"/>
          </w:tcPr>
          <w:p>
            <w:pPr>
              <w:spacing w:after="0" w:before="0"/>
            </w:pPr>
            <w:r/>
            <w:r>
              <w:rPr>
                <w:b w:val="0"/>
                <w:sz w:val="16"/>
              </w:rPr>
              <w:t>Independent audit, verified benchmark, third-party validation.</w:t>
            </w:r>
          </w:p>
        </w:tc>
        <w:tc>
          <w:tcPr>
            <w:tcW w:type="dxa" w:w="1152"/>
            <w:vAlign w:val="top"/>
          </w:tcPr>
          <w:p>
            <w:pPr>
              <w:spacing w:after="0" w:before="0"/>
            </w:pPr>
            <w:r/>
            <w:r>
              <w:rPr>
                <w:b w:val="0"/>
                <w:sz w:val="16"/>
              </w:rPr>
              <w:t>1.0</w:t>
            </w:r>
          </w:p>
        </w:tc>
        <w:tc>
          <w:tcPr>
            <w:tcW w:type="dxa" w:w="5184"/>
            <w:vAlign w:val="top"/>
          </w:tcPr>
          <w:p>
            <w:pPr>
              <w:spacing w:after="0" w:before="0"/>
            </w:pPr>
            <w:r/>
            <w:r>
              <w:rPr>
                <w:b w:val="0"/>
                <w:sz w:val="16"/>
              </w:rPr>
              <w:t>SOC/audit/independent benchmark proves capability.</w:t>
            </w:r>
          </w:p>
        </w:tc>
      </w:tr>
    </w:tbl>
    <w:p/>
    <w:p>
      <w:pPr>
        <w:pStyle w:val="Heading1"/>
      </w:pPr>
      <w:r>
        <w:t>13. Risk Penalty and Blocker Engine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shd w:fill="1F4E79"/>
            <w:vAlign w:val="center"/>
          </w:tcPr>
          <w:p>
            <w:pPr>
              <w:spacing w:after="0" w:before="0"/>
            </w:pPr>
            <w:r/>
            <w:r>
              <w:rPr>
                <w:b/>
                <w:color w:val="FFFFFF"/>
                <w:sz w:val="16"/>
              </w:rPr>
              <w:t>Risk class</w:t>
            </w:r>
          </w:p>
        </w:tc>
        <w:tc>
          <w:tcPr>
            <w:tcW w:type="dxa" w:w="3168"/>
            <w:shd w:fill="1F4E79"/>
            <w:vAlign w:val="center"/>
          </w:tcPr>
          <w:p>
            <w:pPr>
              <w:spacing w:after="0" w:before="0"/>
            </w:pPr>
            <w:r/>
            <w:r>
              <w:rPr>
                <w:b/>
                <w:color w:val="FFFFFF"/>
                <w:sz w:val="16"/>
              </w:rPr>
              <w:t>Definition</w:t>
            </w:r>
          </w:p>
        </w:tc>
        <w:tc>
          <w:tcPr>
            <w:tcW w:type="dxa" w:w="2880"/>
            <w:shd w:fill="1F4E79"/>
            <w:vAlign w:val="center"/>
          </w:tcPr>
          <w:p>
            <w:pPr>
              <w:spacing w:after="0" w:before="0"/>
            </w:pPr>
            <w:r/>
            <w:r>
              <w:rPr>
                <w:b/>
                <w:color w:val="FFFFFF"/>
                <w:sz w:val="16"/>
              </w:rPr>
              <w:t>Default treatment</w:t>
            </w:r>
          </w:p>
        </w:tc>
        <w:tc>
          <w:tcPr>
            <w:tcW w:type="dxa" w:w="2880"/>
            <w:shd w:fill="1F4E79"/>
            <w:vAlign w:val="center"/>
          </w:tcPr>
          <w:p>
            <w:pPr>
              <w:spacing w:after="0" w:before="0"/>
            </w:pPr>
            <w:r/>
            <w:r>
              <w:rPr>
                <w:b/>
                <w:color w:val="FFFFFF"/>
                <w:sz w:val="16"/>
              </w:rPr>
              <w:t>Example</w:t>
            </w:r>
          </w:p>
        </w:tc>
      </w:tr>
      <w:tr>
        <w:tc>
          <w:tcPr>
            <w:tcW w:type="dxa" w:w="1728"/>
            <w:vAlign w:val="top"/>
          </w:tcPr>
          <w:p>
            <w:pPr>
              <w:spacing w:after="0" w:before="0"/>
            </w:pPr>
            <w:r/>
            <w:r>
              <w:rPr>
                <w:b w:val="0"/>
                <w:sz w:val="16"/>
              </w:rPr>
              <w:t>Fatal blocker</w:t>
            </w:r>
          </w:p>
        </w:tc>
        <w:tc>
          <w:tcPr>
            <w:tcW w:type="dxa" w:w="3168"/>
            <w:vAlign w:val="top"/>
          </w:tcPr>
          <w:p>
            <w:pPr>
              <w:spacing w:after="0" w:before="0"/>
            </w:pPr>
            <w:r/>
            <w:r>
              <w:rPr>
                <w:b w:val="0"/>
                <w:sz w:val="16"/>
              </w:rPr>
              <w:t>Risk incompatible with selected context.</w:t>
            </w:r>
          </w:p>
        </w:tc>
        <w:tc>
          <w:tcPr>
            <w:tcW w:type="dxa" w:w="2880"/>
            <w:vAlign w:val="top"/>
          </w:tcPr>
          <w:p>
            <w:pPr>
              <w:spacing w:after="0" w:before="0"/>
            </w:pPr>
            <w:r/>
            <w:r>
              <w:rPr>
                <w:b w:val="0"/>
                <w:sz w:val="16"/>
              </w:rPr>
              <w:t>Exclude or mark Not Recommended.</w:t>
            </w:r>
          </w:p>
        </w:tc>
        <w:tc>
          <w:tcPr>
            <w:tcW w:type="dxa" w:w="2880"/>
            <w:vAlign w:val="top"/>
          </w:tcPr>
          <w:p>
            <w:pPr>
              <w:spacing w:after="0" w:before="0"/>
            </w:pPr>
            <w:r/>
            <w:r>
              <w:rPr>
                <w:b w:val="0"/>
                <w:sz w:val="16"/>
              </w:rPr>
              <w:t>Unclear training-data policy for regulated sensitive data.</w:t>
            </w:r>
          </w:p>
        </w:tc>
      </w:tr>
      <w:tr>
        <w:tc>
          <w:tcPr>
            <w:tcW w:type="dxa" w:w="1728"/>
            <w:vAlign w:val="top"/>
          </w:tcPr>
          <w:p>
            <w:pPr>
              <w:spacing w:after="0" w:before="0"/>
            </w:pPr>
            <w:r/>
            <w:r>
              <w:rPr>
                <w:b w:val="0"/>
                <w:sz w:val="16"/>
              </w:rPr>
              <w:t>Severe risk</w:t>
            </w:r>
          </w:p>
        </w:tc>
        <w:tc>
          <w:tcPr>
            <w:tcW w:type="dxa" w:w="3168"/>
            <w:vAlign w:val="top"/>
          </w:tcPr>
          <w:p>
            <w:pPr>
              <w:spacing w:after="0" w:before="0"/>
            </w:pPr>
            <w:r/>
            <w:r>
              <w:rPr>
                <w:b w:val="0"/>
                <w:sz w:val="16"/>
              </w:rPr>
              <w:t>High-risk gap that may not be fatal in all contexts.</w:t>
            </w:r>
          </w:p>
        </w:tc>
        <w:tc>
          <w:tcPr>
            <w:tcW w:type="dxa" w:w="2880"/>
            <w:vAlign w:val="top"/>
          </w:tcPr>
          <w:p>
            <w:pPr>
              <w:spacing w:after="0" w:before="0"/>
            </w:pPr>
            <w:r/>
            <w:r>
              <w:rPr>
                <w:b w:val="0"/>
                <w:sz w:val="16"/>
              </w:rPr>
              <w:t>Large score penalty and red flag.</w:t>
            </w:r>
          </w:p>
        </w:tc>
        <w:tc>
          <w:tcPr>
            <w:tcW w:type="dxa" w:w="2880"/>
            <w:vAlign w:val="top"/>
          </w:tcPr>
          <w:p>
            <w:pPr>
              <w:spacing w:after="0" w:before="0"/>
            </w:pPr>
            <w:r/>
            <w:r>
              <w:rPr>
                <w:b w:val="0"/>
                <w:sz w:val="16"/>
              </w:rPr>
              <w:t>Weak permissioning evidence in professional services.</w:t>
            </w:r>
          </w:p>
        </w:tc>
      </w:tr>
      <w:tr>
        <w:tc>
          <w:tcPr>
            <w:tcW w:type="dxa" w:w="1728"/>
            <w:vAlign w:val="top"/>
          </w:tcPr>
          <w:p>
            <w:pPr>
              <w:spacing w:after="0" w:before="0"/>
            </w:pPr>
            <w:r/>
            <w:r>
              <w:rPr>
                <w:b w:val="0"/>
                <w:sz w:val="16"/>
              </w:rPr>
              <w:t>Moderate risk</w:t>
            </w:r>
          </w:p>
        </w:tc>
        <w:tc>
          <w:tcPr>
            <w:tcW w:type="dxa" w:w="3168"/>
            <w:vAlign w:val="top"/>
          </w:tcPr>
          <w:p>
            <w:pPr>
              <w:spacing w:after="0" w:before="0"/>
            </w:pPr>
            <w:r/>
            <w:r>
              <w:rPr>
                <w:b w:val="0"/>
                <w:sz w:val="16"/>
              </w:rPr>
              <w:t>Important but remediable gap.</w:t>
            </w:r>
          </w:p>
        </w:tc>
        <w:tc>
          <w:tcPr>
            <w:tcW w:type="dxa" w:w="2880"/>
            <w:vAlign w:val="top"/>
          </w:tcPr>
          <w:p>
            <w:pPr>
              <w:spacing w:after="0" w:before="0"/>
            </w:pPr>
            <w:r/>
            <w:r>
              <w:rPr>
                <w:b w:val="0"/>
                <w:sz w:val="16"/>
              </w:rPr>
              <w:t>Moderate penalty and validation step.</w:t>
            </w:r>
          </w:p>
        </w:tc>
        <w:tc>
          <w:tcPr>
            <w:tcW w:type="dxa" w:w="2880"/>
            <w:vAlign w:val="top"/>
          </w:tcPr>
          <w:p>
            <w:pPr>
              <w:spacing w:after="0" w:before="0"/>
            </w:pPr>
            <w:r/>
            <w:r>
              <w:rPr>
                <w:b w:val="0"/>
                <w:sz w:val="16"/>
              </w:rPr>
              <w:t>Unclear cost at 3x usage.</w:t>
            </w:r>
          </w:p>
        </w:tc>
      </w:tr>
      <w:tr>
        <w:tc>
          <w:tcPr>
            <w:tcW w:type="dxa" w:w="1728"/>
            <w:vAlign w:val="top"/>
          </w:tcPr>
          <w:p>
            <w:pPr>
              <w:spacing w:after="0" w:before="0"/>
            </w:pPr>
            <w:r/>
            <w:r>
              <w:rPr>
                <w:b w:val="0"/>
                <w:sz w:val="16"/>
              </w:rPr>
              <w:t>Low risk</w:t>
            </w:r>
          </w:p>
        </w:tc>
        <w:tc>
          <w:tcPr>
            <w:tcW w:type="dxa" w:w="3168"/>
            <w:vAlign w:val="top"/>
          </w:tcPr>
          <w:p>
            <w:pPr>
              <w:spacing w:after="0" w:before="0"/>
            </w:pPr>
            <w:r/>
            <w:r>
              <w:rPr>
                <w:b w:val="0"/>
                <w:sz w:val="16"/>
              </w:rPr>
              <w:t>Minor uncertainty or missing public proof.</w:t>
            </w:r>
          </w:p>
        </w:tc>
        <w:tc>
          <w:tcPr>
            <w:tcW w:type="dxa" w:w="2880"/>
            <w:vAlign w:val="top"/>
          </w:tcPr>
          <w:p>
            <w:pPr>
              <w:spacing w:after="0" w:before="0"/>
            </w:pPr>
            <w:r/>
            <w:r>
              <w:rPr>
                <w:b w:val="0"/>
                <w:sz w:val="16"/>
              </w:rPr>
              <w:t>Confidence reduction.</w:t>
            </w:r>
          </w:p>
        </w:tc>
        <w:tc>
          <w:tcPr>
            <w:tcW w:type="dxa" w:w="2880"/>
            <w:vAlign w:val="top"/>
          </w:tcPr>
          <w:p>
            <w:pPr>
              <w:spacing w:after="0" w:before="0"/>
            </w:pPr>
            <w:r/>
            <w:r>
              <w:rPr>
                <w:b w:val="0"/>
                <w:sz w:val="16"/>
              </w:rPr>
              <w:t>Limited public customer references.</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024"/>
            <w:shd w:fill="1F4E79"/>
            <w:vAlign w:val="center"/>
          </w:tcPr>
          <w:p>
            <w:pPr>
              <w:spacing w:after="0" w:before="0"/>
            </w:pPr>
            <w:r/>
            <w:r>
              <w:rPr>
                <w:b/>
                <w:color w:val="FFFFFF"/>
                <w:sz w:val="16"/>
              </w:rPr>
              <w:t>Backend fail condition group</w:t>
            </w:r>
          </w:p>
        </w:tc>
        <w:tc>
          <w:tcPr>
            <w:tcW w:type="dxa" w:w="4752"/>
            <w:shd w:fill="1F4E79"/>
            <w:vAlign w:val="center"/>
          </w:tcPr>
          <w:p>
            <w:pPr>
              <w:spacing w:after="0" w:before="0"/>
            </w:pPr>
            <w:r/>
            <w:r>
              <w:rPr>
                <w:b/>
                <w:color w:val="FFFFFF"/>
                <w:sz w:val="16"/>
              </w:rPr>
              <w:t>Examples</w:t>
            </w:r>
          </w:p>
        </w:tc>
        <w:tc>
          <w:tcPr>
            <w:tcW w:type="dxa" w:w="2880"/>
            <w:shd w:fill="1F4E79"/>
            <w:vAlign w:val="center"/>
          </w:tcPr>
          <w:p>
            <w:pPr>
              <w:spacing w:after="0" w:before="0"/>
            </w:pPr>
            <w:r/>
            <w:r>
              <w:rPr>
                <w:b/>
                <w:color w:val="FFFFFF"/>
                <w:sz w:val="16"/>
              </w:rPr>
              <w:t>User-facing translation</w:t>
            </w:r>
          </w:p>
        </w:tc>
      </w:tr>
      <w:tr>
        <w:tc>
          <w:tcPr>
            <w:tcW w:type="dxa" w:w="3024"/>
            <w:vAlign w:val="top"/>
          </w:tcPr>
          <w:p>
            <w:pPr>
              <w:spacing w:after="0" w:before="0"/>
            </w:pPr>
            <w:r/>
            <w:r>
              <w:rPr>
                <w:b w:val="0"/>
                <w:sz w:val="16"/>
              </w:rPr>
              <w:t>Security/privacy/governance</w:t>
            </w:r>
          </w:p>
        </w:tc>
        <w:tc>
          <w:tcPr>
            <w:tcW w:type="dxa" w:w="4752"/>
            <w:vAlign w:val="top"/>
          </w:tcPr>
          <w:p>
            <w:pPr>
              <w:spacing w:after="0" w:before="0"/>
            </w:pPr>
            <w:r/>
            <w:r>
              <w:rPr>
                <w:b w:val="0"/>
                <w:sz w:val="16"/>
              </w:rPr>
              <w:t>Data-training ambiguity; unauthorised retrieval; no audit trail.</w:t>
            </w:r>
          </w:p>
        </w:tc>
        <w:tc>
          <w:tcPr>
            <w:tcW w:type="dxa" w:w="2880"/>
            <w:vAlign w:val="top"/>
          </w:tcPr>
          <w:p>
            <w:pPr>
              <w:spacing w:after="0" w:before="0"/>
            </w:pPr>
            <w:r/>
            <w:r>
              <w:rPr>
                <w:b w:val="0"/>
                <w:sz w:val="16"/>
              </w:rPr>
              <w:t>Critical control risk.</w:t>
            </w:r>
          </w:p>
        </w:tc>
      </w:tr>
      <w:tr>
        <w:tc>
          <w:tcPr>
            <w:tcW w:type="dxa" w:w="3024"/>
            <w:vAlign w:val="top"/>
          </w:tcPr>
          <w:p>
            <w:pPr>
              <w:spacing w:after="0" w:before="0"/>
            </w:pPr>
            <w:r/>
            <w:r>
              <w:rPr>
                <w:b w:val="0"/>
                <w:sz w:val="16"/>
              </w:rPr>
              <w:t>Reliability/autonomy</w:t>
            </w:r>
          </w:p>
        </w:tc>
        <w:tc>
          <w:tcPr>
            <w:tcW w:type="dxa" w:w="4752"/>
            <w:vAlign w:val="top"/>
          </w:tcPr>
          <w:p>
            <w:pPr>
              <w:spacing w:after="0" w:before="0"/>
            </w:pPr>
            <w:r/>
            <w:r>
              <w:rPr>
                <w:b w:val="0"/>
                <w:sz w:val="16"/>
              </w:rPr>
              <w:t>Unsupported confident answers; high-impact autonomous actions; no kill switch.</w:t>
            </w:r>
          </w:p>
        </w:tc>
        <w:tc>
          <w:tcPr>
            <w:tcW w:type="dxa" w:w="2880"/>
            <w:vAlign w:val="top"/>
          </w:tcPr>
          <w:p>
            <w:pPr>
              <w:spacing w:after="0" w:before="0"/>
            </w:pPr>
            <w:r/>
            <w:r>
              <w:rPr>
                <w:b w:val="0"/>
                <w:sz w:val="16"/>
              </w:rPr>
              <w:t>Reliability or autonomy blocker.</w:t>
            </w:r>
          </w:p>
        </w:tc>
      </w:tr>
      <w:tr>
        <w:tc>
          <w:tcPr>
            <w:tcW w:type="dxa" w:w="3024"/>
            <w:vAlign w:val="top"/>
          </w:tcPr>
          <w:p>
            <w:pPr>
              <w:spacing w:after="0" w:before="0"/>
            </w:pPr>
            <w:r/>
            <w:r>
              <w:rPr>
                <w:b w:val="0"/>
                <w:sz w:val="16"/>
              </w:rPr>
              <w:t>Commercial/financial</w:t>
            </w:r>
          </w:p>
        </w:tc>
        <w:tc>
          <w:tcPr>
            <w:tcW w:type="dxa" w:w="4752"/>
            <w:vAlign w:val="top"/>
          </w:tcPr>
          <w:p>
            <w:pPr>
              <w:spacing w:after="0" w:before="0"/>
            </w:pPr>
            <w:r/>
            <w:r>
              <w:rPr>
                <w:b w:val="0"/>
                <w:sz w:val="16"/>
              </w:rPr>
              <w:t>No ROI mechanism; no cost telemetry; no runway evidence.</w:t>
            </w:r>
          </w:p>
        </w:tc>
        <w:tc>
          <w:tcPr>
            <w:tcW w:type="dxa" w:w="2880"/>
            <w:vAlign w:val="top"/>
          </w:tcPr>
          <w:p>
            <w:pPr>
              <w:spacing w:after="0" w:before="0"/>
            </w:pPr>
            <w:r/>
            <w:r>
              <w:rPr>
                <w:b w:val="0"/>
                <w:sz w:val="16"/>
              </w:rPr>
              <w:t>Commercial resilience risk.</w:t>
            </w:r>
          </w:p>
        </w:tc>
      </w:tr>
      <w:tr>
        <w:tc>
          <w:tcPr>
            <w:tcW w:type="dxa" w:w="3024"/>
            <w:vAlign w:val="top"/>
          </w:tcPr>
          <w:p>
            <w:pPr>
              <w:spacing w:after="0" w:before="0"/>
            </w:pPr>
            <w:r/>
            <w:r>
              <w:rPr>
                <w:b w:val="0"/>
                <w:sz w:val="16"/>
              </w:rPr>
              <w:t>Strategic dependency</w:t>
            </w:r>
          </w:p>
        </w:tc>
        <w:tc>
          <w:tcPr>
            <w:tcW w:type="dxa" w:w="4752"/>
            <w:vAlign w:val="top"/>
          </w:tcPr>
          <w:p>
            <w:pPr>
              <w:spacing w:after="0" w:before="0"/>
            </w:pPr>
            <w:r/>
            <w:r>
              <w:rPr>
                <w:b w:val="0"/>
                <w:sz w:val="16"/>
              </w:rPr>
              <w:t>Single model/cloud/GPU dependency; no export/deletion.</w:t>
            </w:r>
          </w:p>
        </w:tc>
        <w:tc>
          <w:tcPr>
            <w:tcW w:type="dxa" w:w="2880"/>
            <w:vAlign w:val="top"/>
          </w:tcPr>
          <w:p>
            <w:pPr>
              <w:spacing w:after="0" w:before="0"/>
            </w:pPr>
            <w:r/>
            <w:r>
              <w:rPr>
                <w:b w:val="0"/>
                <w:sz w:val="16"/>
              </w:rPr>
              <w:t>Vendor dependency risk.</w:t>
            </w:r>
          </w:p>
        </w:tc>
      </w:tr>
      <w:tr>
        <w:tc>
          <w:tcPr>
            <w:tcW w:type="dxa" w:w="3024"/>
            <w:vAlign w:val="top"/>
          </w:tcPr>
          <w:p>
            <w:pPr>
              <w:spacing w:after="0" w:before="0"/>
            </w:pPr>
            <w:r/>
            <w:r>
              <w:rPr>
                <w:b w:val="0"/>
                <w:sz w:val="16"/>
              </w:rPr>
              <w:t>Market/adoption/strategy</w:t>
            </w:r>
          </w:p>
        </w:tc>
        <w:tc>
          <w:tcPr>
            <w:tcW w:type="dxa" w:w="4752"/>
            <w:vAlign w:val="top"/>
          </w:tcPr>
          <w:p>
            <w:pPr>
              <w:spacing w:after="0" w:before="0"/>
            </w:pPr>
            <w:r/>
            <w:r>
              <w:rPr>
                <w:b w:val="0"/>
                <w:sz w:val="16"/>
              </w:rPr>
              <w:t>False market leadership; weak adoption evidence; poor roadmap delivery.</w:t>
            </w:r>
          </w:p>
        </w:tc>
        <w:tc>
          <w:tcPr>
            <w:tcW w:type="dxa" w:w="2880"/>
            <w:vAlign w:val="top"/>
          </w:tcPr>
          <w:p>
            <w:pPr>
              <w:spacing w:after="0" w:before="0"/>
            </w:pPr>
            <w:r/>
            <w:r>
              <w:rPr>
                <w:b w:val="0"/>
                <w:sz w:val="16"/>
              </w:rPr>
              <w:t>Market confidence risk.</w:t>
            </w:r>
          </w:p>
        </w:tc>
      </w:tr>
    </w:tbl>
    <w:p/>
    <w:p>
      <w:pPr>
        <w:pStyle w:val="Heading1"/>
      </w:pPr>
      <w:r>
        <w:t>14. Data Architecture and Evidence Collection</w:t>
      </w:r>
    </w:p>
    <w:p>
      <w:pPr>
        <w:pStyle w:val="Heading2"/>
      </w:pPr>
      <w:r>
        <w:t>14.1 Data Layers</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1F4E79"/>
            <w:vAlign w:val="center"/>
          </w:tcPr>
          <w:p>
            <w:pPr>
              <w:spacing w:after="0" w:before="0"/>
            </w:pPr>
            <w:r/>
            <w:r>
              <w:rPr>
                <w:b/>
                <w:color w:val="FFFFFF"/>
                <w:sz w:val="16"/>
              </w:rPr>
              <w:t>Layer</w:t>
            </w:r>
          </w:p>
        </w:tc>
        <w:tc>
          <w:tcPr>
            <w:tcW w:type="dxa" w:w="3744"/>
            <w:shd w:fill="1F4E79"/>
            <w:vAlign w:val="center"/>
          </w:tcPr>
          <w:p>
            <w:pPr>
              <w:spacing w:after="0" w:before="0"/>
            </w:pPr>
            <w:r/>
            <w:r>
              <w:rPr>
                <w:b/>
                <w:color w:val="FFFFFF"/>
                <w:sz w:val="16"/>
              </w:rPr>
              <w:t>Purpose</w:t>
            </w:r>
          </w:p>
        </w:tc>
        <w:tc>
          <w:tcPr>
            <w:tcW w:type="dxa" w:w="4320"/>
            <w:shd w:fill="1F4E79"/>
            <w:vAlign w:val="center"/>
          </w:tcPr>
          <w:p>
            <w:pPr>
              <w:spacing w:after="0" w:before="0"/>
            </w:pPr>
            <w:r/>
            <w:r>
              <w:rPr>
                <w:b/>
                <w:color w:val="FFFFFF"/>
                <w:sz w:val="16"/>
              </w:rPr>
              <w:t>Examples</w:t>
            </w:r>
          </w:p>
        </w:tc>
      </w:tr>
      <w:tr>
        <w:tc>
          <w:tcPr>
            <w:tcW w:type="dxa" w:w="2448"/>
            <w:vAlign w:val="top"/>
          </w:tcPr>
          <w:p>
            <w:pPr>
              <w:spacing w:after="0" w:before="0"/>
            </w:pPr>
            <w:r/>
            <w:r>
              <w:rPr>
                <w:b w:val="0"/>
                <w:sz w:val="16"/>
              </w:rPr>
              <w:t>Static vendor database</w:t>
            </w:r>
          </w:p>
        </w:tc>
        <w:tc>
          <w:tcPr>
            <w:tcW w:type="dxa" w:w="3744"/>
            <w:vAlign w:val="top"/>
          </w:tcPr>
          <w:p>
            <w:pPr>
              <w:spacing w:after="0" w:before="0"/>
            </w:pPr>
            <w:r/>
            <w:r>
              <w:rPr>
                <w:b w:val="0"/>
                <w:sz w:val="16"/>
              </w:rPr>
              <w:t>Curated baseline profile for each vendor.</w:t>
            </w:r>
          </w:p>
        </w:tc>
        <w:tc>
          <w:tcPr>
            <w:tcW w:type="dxa" w:w="4320"/>
            <w:vAlign w:val="top"/>
          </w:tcPr>
          <w:p>
            <w:pPr>
              <w:spacing w:after="0" w:before="0"/>
            </w:pPr>
            <w:r/>
            <w:r>
              <w:rPr>
                <w:b w:val="0"/>
                <w:sz w:val="16"/>
              </w:rPr>
              <w:t>Category, supported use cases, integrations, security docs, pricing, known risks.</w:t>
            </w:r>
          </w:p>
        </w:tc>
      </w:tr>
      <w:tr>
        <w:tc>
          <w:tcPr>
            <w:tcW w:type="dxa" w:w="2448"/>
            <w:vAlign w:val="top"/>
          </w:tcPr>
          <w:p>
            <w:pPr>
              <w:spacing w:after="0" w:before="0"/>
            </w:pPr>
            <w:r/>
            <w:r>
              <w:rPr>
                <w:b w:val="0"/>
                <w:sz w:val="16"/>
              </w:rPr>
              <w:t>Public data refresh</w:t>
            </w:r>
          </w:p>
        </w:tc>
        <w:tc>
          <w:tcPr>
            <w:tcW w:type="dxa" w:w="3744"/>
            <w:vAlign w:val="top"/>
          </w:tcPr>
          <w:p>
            <w:pPr>
              <w:spacing w:after="0" w:before="0"/>
            </w:pPr>
            <w:r/>
            <w:r>
              <w:rPr>
                <w:b w:val="0"/>
                <w:sz w:val="16"/>
              </w:rPr>
              <w:t>Keep vendor profiles current.</w:t>
            </w:r>
          </w:p>
        </w:tc>
        <w:tc>
          <w:tcPr>
            <w:tcW w:type="dxa" w:w="4320"/>
            <w:vAlign w:val="top"/>
          </w:tcPr>
          <w:p>
            <w:pPr>
              <w:spacing w:after="0" w:before="0"/>
            </w:pPr>
            <w:r/>
            <w:r>
              <w:rPr>
                <w:b w:val="0"/>
                <w:sz w:val="16"/>
              </w:rPr>
              <w:t>Docs, trust centres, pricing pages, subprocessors, changelogs, status pages, filings, GitHub, reviews, job postings.</w:t>
            </w:r>
          </w:p>
        </w:tc>
      </w:tr>
      <w:tr>
        <w:tc>
          <w:tcPr>
            <w:tcW w:type="dxa" w:w="2448"/>
            <w:vAlign w:val="top"/>
          </w:tcPr>
          <w:p>
            <w:pPr>
              <w:spacing w:after="0" w:before="0"/>
            </w:pPr>
            <w:r/>
            <w:r>
              <w:rPr>
                <w:b w:val="0"/>
                <w:sz w:val="16"/>
              </w:rPr>
              <w:t>LLM-agent scoring</w:t>
            </w:r>
          </w:p>
        </w:tc>
        <w:tc>
          <w:tcPr>
            <w:tcW w:type="dxa" w:w="3744"/>
            <w:vAlign w:val="top"/>
          </w:tcPr>
          <w:p>
            <w:pPr>
              <w:spacing w:after="0" w:before="0"/>
            </w:pPr>
            <w:r/>
            <w:r>
              <w:rPr>
                <w:b w:val="0"/>
                <w:sz w:val="16"/>
              </w:rPr>
              <w:t>Extract, classify, compare, and score public evidence.</w:t>
            </w:r>
          </w:p>
        </w:tc>
        <w:tc>
          <w:tcPr>
            <w:tcW w:type="dxa" w:w="4320"/>
            <w:vAlign w:val="top"/>
          </w:tcPr>
          <w:p>
            <w:pPr>
              <w:spacing w:after="0" w:before="0"/>
            </w:pPr>
            <w:r/>
            <w:r>
              <w:rPr>
                <w:b w:val="0"/>
                <w:sz w:val="16"/>
              </w:rPr>
              <w:t>Security maturity, governance maturity, cost risk, adoption proxy, strategy credibility.</w:t>
            </w:r>
          </w:p>
        </w:tc>
      </w:tr>
      <w:tr>
        <w:tc>
          <w:tcPr>
            <w:tcW w:type="dxa" w:w="2448"/>
            <w:vAlign w:val="top"/>
          </w:tcPr>
          <w:p>
            <w:pPr>
              <w:spacing w:after="0" w:before="0"/>
            </w:pPr>
            <w:r/>
            <w:r>
              <w:rPr>
                <w:b w:val="0"/>
                <w:sz w:val="16"/>
              </w:rPr>
              <w:t>Optional validation inputs</w:t>
            </w:r>
          </w:p>
        </w:tc>
        <w:tc>
          <w:tcPr>
            <w:tcW w:type="dxa" w:w="3744"/>
            <w:vAlign w:val="top"/>
          </w:tcPr>
          <w:p>
            <w:pPr>
              <w:spacing w:after="0" w:before="0"/>
            </w:pPr>
            <w:r/>
            <w:r>
              <w:rPr>
                <w:b w:val="0"/>
                <w:sz w:val="16"/>
              </w:rPr>
              <w:t>Upgrade confidence for deeper workflows.</w:t>
            </w:r>
          </w:p>
        </w:tc>
        <w:tc>
          <w:tcPr>
            <w:tcW w:type="dxa" w:w="4320"/>
            <w:vAlign w:val="top"/>
          </w:tcPr>
          <w:p>
            <w:pPr>
              <w:spacing w:after="0" w:before="0"/>
            </w:pPr>
            <w:r/>
            <w:r>
              <w:rPr>
                <w:b w:val="0"/>
                <w:sz w:val="16"/>
              </w:rPr>
              <w:t>RFI, contracts, SOC reports, telemetry, customer references, vendor questionnaires.</w:t>
            </w:r>
          </w:p>
        </w:tc>
      </w:tr>
    </w:tbl>
    <w:p/>
    <w:p>
      <w:pPr>
        <w:pStyle w:val="Heading2"/>
      </w:pPr>
      <w:r>
        <w:t>14.2 Data Source Registry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304"/>
            <w:shd w:fill="1F4E79"/>
            <w:vAlign w:val="center"/>
          </w:tcPr>
          <w:p>
            <w:pPr>
              <w:spacing w:after="0" w:before="0"/>
            </w:pPr>
            <w:r/>
            <w:r>
              <w:rPr>
                <w:b/>
                <w:color w:val="FFFFFF"/>
                <w:sz w:val="14"/>
              </w:rPr>
              <w:t>Source category</w:t>
            </w:r>
          </w:p>
        </w:tc>
        <w:tc>
          <w:tcPr>
            <w:tcW w:type="dxa" w:w="4320"/>
            <w:shd w:fill="1F4E79"/>
            <w:vAlign w:val="center"/>
          </w:tcPr>
          <w:p>
            <w:pPr>
              <w:spacing w:after="0" w:before="0"/>
            </w:pPr>
            <w:r/>
            <w:r>
              <w:rPr>
                <w:b/>
                <w:color w:val="FFFFFF"/>
                <w:sz w:val="14"/>
              </w:rPr>
              <w:t>Data captured</w:t>
            </w:r>
          </w:p>
        </w:tc>
        <w:tc>
          <w:tcPr>
            <w:tcW w:type="dxa" w:w="1872"/>
            <w:shd w:fill="1F4E79"/>
            <w:vAlign w:val="center"/>
          </w:tcPr>
          <w:p>
            <w:pPr>
              <w:spacing w:after="0" w:before="0"/>
            </w:pPr>
            <w:r/>
            <w:r>
              <w:rPr>
                <w:b/>
                <w:color w:val="FFFFFF"/>
                <w:sz w:val="14"/>
              </w:rPr>
              <w:t>Typical confidence</w:t>
            </w:r>
          </w:p>
        </w:tc>
        <w:tc>
          <w:tcPr>
            <w:tcW w:type="dxa" w:w="2016"/>
            <w:shd w:fill="1F4E79"/>
            <w:vAlign w:val="center"/>
          </w:tcPr>
          <w:p>
            <w:pPr>
              <w:spacing w:after="0" w:before="0"/>
            </w:pPr>
            <w:r/>
            <w:r>
              <w:rPr>
                <w:b/>
                <w:color w:val="FFFFFF"/>
                <w:sz w:val="14"/>
              </w:rPr>
              <w:t>Freshness requirement</w:t>
            </w:r>
          </w:p>
        </w:tc>
      </w:tr>
      <w:tr>
        <w:tc>
          <w:tcPr>
            <w:tcW w:type="dxa" w:w="2304"/>
            <w:vAlign w:val="top"/>
          </w:tcPr>
          <w:p>
            <w:pPr>
              <w:spacing w:after="0" w:before="0"/>
            </w:pPr>
            <w:r/>
            <w:r>
              <w:rPr>
                <w:b w:val="0"/>
                <w:sz w:val="14"/>
              </w:rPr>
              <w:t>Vendor docs</w:t>
            </w:r>
          </w:p>
        </w:tc>
        <w:tc>
          <w:tcPr>
            <w:tcW w:type="dxa" w:w="4320"/>
            <w:vAlign w:val="top"/>
          </w:tcPr>
          <w:p>
            <w:pPr>
              <w:spacing w:after="0" w:before="0"/>
            </w:pPr>
            <w:r/>
            <w:r>
              <w:rPr>
                <w:b w:val="0"/>
                <w:sz w:val="14"/>
              </w:rPr>
              <w:t>Features, APIs, integrations, deployment options.</w:t>
            </w:r>
          </w:p>
        </w:tc>
        <w:tc>
          <w:tcPr>
            <w:tcW w:type="dxa" w:w="1872"/>
            <w:vAlign w:val="top"/>
          </w:tcPr>
          <w:p>
            <w:pPr>
              <w:spacing w:after="0" w:before="0"/>
            </w:pPr>
            <w:r/>
            <w:r>
              <w:rPr>
                <w:b w:val="0"/>
                <w:sz w:val="14"/>
              </w:rPr>
              <w:t>Medium</w:t>
            </w:r>
          </w:p>
        </w:tc>
        <w:tc>
          <w:tcPr>
            <w:tcW w:type="dxa" w:w="2016"/>
            <w:vAlign w:val="top"/>
          </w:tcPr>
          <w:p>
            <w:pPr>
              <w:spacing w:after="0" w:before="0"/>
            </w:pPr>
            <w:r/>
            <w:r>
              <w:rPr>
                <w:b w:val="0"/>
                <w:sz w:val="14"/>
              </w:rPr>
              <w:t>30-90 days.</w:t>
            </w:r>
          </w:p>
        </w:tc>
      </w:tr>
      <w:tr>
        <w:tc>
          <w:tcPr>
            <w:tcW w:type="dxa" w:w="2304"/>
            <w:vAlign w:val="top"/>
          </w:tcPr>
          <w:p>
            <w:pPr>
              <w:spacing w:after="0" w:before="0"/>
            </w:pPr>
            <w:r/>
            <w:r>
              <w:rPr>
                <w:b w:val="0"/>
                <w:sz w:val="14"/>
              </w:rPr>
              <w:t>Trust centre</w:t>
            </w:r>
          </w:p>
        </w:tc>
        <w:tc>
          <w:tcPr>
            <w:tcW w:type="dxa" w:w="4320"/>
            <w:vAlign w:val="top"/>
          </w:tcPr>
          <w:p>
            <w:pPr>
              <w:spacing w:after="0" w:before="0"/>
            </w:pPr>
            <w:r/>
            <w:r>
              <w:rPr>
                <w:b w:val="0"/>
                <w:sz w:val="14"/>
              </w:rPr>
              <w:t>Security certifications, subprocessors, DPA, privacy, retention.</w:t>
            </w:r>
          </w:p>
        </w:tc>
        <w:tc>
          <w:tcPr>
            <w:tcW w:type="dxa" w:w="1872"/>
            <w:vAlign w:val="top"/>
          </w:tcPr>
          <w:p>
            <w:pPr>
              <w:spacing w:after="0" w:before="0"/>
            </w:pPr>
            <w:r/>
            <w:r>
              <w:rPr>
                <w:b w:val="0"/>
                <w:sz w:val="14"/>
              </w:rPr>
              <w:t>Medium-high</w:t>
            </w:r>
          </w:p>
        </w:tc>
        <w:tc>
          <w:tcPr>
            <w:tcW w:type="dxa" w:w="2016"/>
            <w:vAlign w:val="top"/>
          </w:tcPr>
          <w:p>
            <w:pPr>
              <w:spacing w:after="0" w:before="0"/>
            </w:pPr>
            <w:r/>
            <w:r>
              <w:rPr>
                <w:b w:val="0"/>
                <w:sz w:val="14"/>
              </w:rPr>
              <w:t>30-90 days.</w:t>
            </w:r>
          </w:p>
        </w:tc>
      </w:tr>
      <w:tr>
        <w:tc>
          <w:tcPr>
            <w:tcW w:type="dxa" w:w="2304"/>
            <w:vAlign w:val="top"/>
          </w:tcPr>
          <w:p>
            <w:pPr>
              <w:spacing w:after="0" w:before="0"/>
            </w:pPr>
            <w:r/>
            <w:r>
              <w:rPr>
                <w:b w:val="0"/>
                <w:sz w:val="14"/>
              </w:rPr>
              <w:t>Pricing pages</w:t>
            </w:r>
          </w:p>
        </w:tc>
        <w:tc>
          <w:tcPr>
            <w:tcW w:type="dxa" w:w="4320"/>
            <w:vAlign w:val="top"/>
          </w:tcPr>
          <w:p>
            <w:pPr>
              <w:spacing w:after="0" w:before="0"/>
            </w:pPr>
            <w:r/>
            <w:r>
              <w:rPr>
                <w:b w:val="0"/>
                <w:sz w:val="14"/>
              </w:rPr>
              <w:t>Seat/API/token/public packages.</w:t>
            </w:r>
          </w:p>
        </w:tc>
        <w:tc>
          <w:tcPr>
            <w:tcW w:type="dxa" w:w="1872"/>
            <w:vAlign w:val="top"/>
          </w:tcPr>
          <w:p>
            <w:pPr>
              <w:spacing w:after="0" w:before="0"/>
            </w:pPr>
            <w:r/>
            <w:r>
              <w:rPr>
                <w:b w:val="0"/>
                <w:sz w:val="14"/>
              </w:rPr>
              <w:t>Medium</w:t>
            </w:r>
          </w:p>
        </w:tc>
        <w:tc>
          <w:tcPr>
            <w:tcW w:type="dxa" w:w="2016"/>
            <w:vAlign w:val="top"/>
          </w:tcPr>
          <w:p>
            <w:pPr>
              <w:spacing w:after="0" w:before="0"/>
            </w:pPr>
            <w:r/>
            <w:r>
              <w:rPr>
                <w:b w:val="0"/>
                <w:sz w:val="14"/>
              </w:rPr>
              <w:t>30-60 days.</w:t>
            </w:r>
          </w:p>
        </w:tc>
      </w:tr>
      <w:tr>
        <w:tc>
          <w:tcPr>
            <w:tcW w:type="dxa" w:w="2304"/>
            <w:vAlign w:val="top"/>
          </w:tcPr>
          <w:p>
            <w:pPr>
              <w:spacing w:after="0" w:before="0"/>
            </w:pPr>
            <w:r/>
            <w:r>
              <w:rPr>
                <w:b w:val="0"/>
                <w:sz w:val="14"/>
              </w:rPr>
              <w:t>Status pages</w:t>
            </w:r>
          </w:p>
        </w:tc>
        <w:tc>
          <w:tcPr>
            <w:tcW w:type="dxa" w:w="4320"/>
            <w:vAlign w:val="top"/>
          </w:tcPr>
          <w:p>
            <w:pPr>
              <w:spacing w:after="0" w:before="0"/>
            </w:pPr>
            <w:r/>
            <w:r>
              <w:rPr>
                <w:b w:val="0"/>
                <w:sz w:val="14"/>
              </w:rPr>
              <w:t>Availability, incidents, service degradation.</w:t>
            </w:r>
          </w:p>
        </w:tc>
        <w:tc>
          <w:tcPr>
            <w:tcW w:type="dxa" w:w="1872"/>
            <w:vAlign w:val="top"/>
          </w:tcPr>
          <w:p>
            <w:pPr>
              <w:spacing w:after="0" w:before="0"/>
            </w:pPr>
            <w:r/>
            <w:r>
              <w:rPr>
                <w:b w:val="0"/>
                <w:sz w:val="14"/>
              </w:rPr>
              <w:t>Medium-high</w:t>
            </w:r>
          </w:p>
        </w:tc>
        <w:tc>
          <w:tcPr>
            <w:tcW w:type="dxa" w:w="2016"/>
            <w:vAlign w:val="top"/>
          </w:tcPr>
          <w:p>
            <w:pPr>
              <w:spacing w:after="0" w:before="0"/>
            </w:pPr>
            <w:r/>
            <w:r>
              <w:rPr>
                <w:b w:val="0"/>
                <w:sz w:val="14"/>
              </w:rPr>
              <w:t>Daily/weekly.</w:t>
            </w:r>
          </w:p>
        </w:tc>
      </w:tr>
      <w:tr>
        <w:tc>
          <w:tcPr>
            <w:tcW w:type="dxa" w:w="2304"/>
            <w:vAlign w:val="top"/>
          </w:tcPr>
          <w:p>
            <w:pPr>
              <w:spacing w:after="0" w:before="0"/>
            </w:pPr>
            <w:r/>
            <w:r>
              <w:rPr>
                <w:b w:val="0"/>
                <w:sz w:val="14"/>
              </w:rPr>
              <w:t>Changelogs/release notes</w:t>
            </w:r>
          </w:p>
        </w:tc>
        <w:tc>
          <w:tcPr>
            <w:tcW w:type="dxa" w:w="4320"/>
            <w:vAlign w:val="top"/>
          </w:tcPr>
          <w:p>
            <w:pPr>
              <w:spacing w:after="0" w:before="0"/>
            </w:pPr>
            <w:r/>
            <w:r>
              <w:rPr>
                <w:b w:val="0"/>
                <w:sz w:val="14"/>
              </w:rPr>
              <w:t>Roadmap delivery and product velocity.</w:t>
            </w:r>
          </w:p>
        </w:tc>
        <w:tc>
          <w:tcPr>
            <w:tcW w:type="dxa" w:w="1872"/>
            <w:vAlign w:val="top"/>
          </w:tcPr>
          <w:p>
            <w:pPr>
              <w:spacing w:after="0" w:before="0"/>
            </w:pPr>
            <w:r/>
            <w:r>
              <w:rPr>
                <w:b w:val="0"/>
                <w:sz w:val="14"/>
              </w:rPr>
              <w:t>Medium-high</w:t>
            </w:r>
          </w:p>
        </w:tc>
        <w:tc>
          <w:tcPr>
            <w:tcW w:type="dxa" w:w="2016"/>
            <w:vAlign w:val="top"/>
          </w:tcPr>
          <w:p>
            <w:pPr>
              <w:spacing w:after="0" w:before="0"/>
            </w:pPr>
            <w:r/>
            <w:r>
              <w:rPr>
                <w:b w:val="0"/>
                <w:sz w:val="14"/>
              </w:rPr>
              <w:t>Weekly/monthly.</w:t>
            </w:r>
          </w:p>
        </w:tc>
      </w:tr>
      <w:tr>
        <w:tc>
          <w:tcPr>
            <w:tcW w:type="dxa" w:w="2304"/>
            <w:vAlign w:val="top"/>
          </w:tcPr>
          <w:p>
            <w:pPr>
              <w:spacing w:after="0" w:before="0"/>
            </w:pPr>
            <w:r/>
            <w:r>
              <w:rPr>
                <w:b w:val="0"/>
                <w:sz w:val="14"/>
              </w:rPr>
              <w:t>Public filings</w:t>
            </w:r>
          </w:p>
        </w:tc>
        <w:tc>
          <w:tcPr>
            <w:tcW w:type="dxa" w:w="4320"/>
            <w:vAlign w:val="top"/>
          </w:tcPr>
          <w:p>
            <w:pPr>
              <w:spacing w:after="0" w:before="0"/>
            </w:pPr>
            <w:r/>
            <w:r>
              <w:rPr>
                <w:b w:val="0"/>
                <w:sz w:val="14"/>
              </w:rPr>
              <w:t>Financials, risk disclosures, ownership for public companies.</w:t>
            </w:r>
          </w:p>
        </w:tc>
        <w:tc>
          <w:tcPr>
            <w:tcW w:type="dxa" w:w="1872"/>
            <w:vAlign w:val="top"/>
          </w:tcPr>
          <w:p>
            <w:pPr>
              <w:spacing w:after="0" w:before="0"/>
            </w:pPr>
            <w:r/>
            <w:r>
              <w:rPr>
                <w:b w:val="0"/>
                <w:sz w:val="14"/>
              </w:rPr>
              <w:t>High for public firms</w:t>
            </w:r>
          </w:p>
        </w:tc>
        <w:tc>
          <w:tcPr>
            <w:tcW w:type="dxa" w:w="2016"/>
            <w:vAlign w:val="top"/>
          </w:tcPr>
          <w:p>
            <w:pPr>
              <w:spacing w:after="0" w:before="0"/>
            </w:pPr>
            <w:r/>
            <w:r>
              <w:rPr>
                <w:b w:val="0"/>
                <w:sz w:val="14"/>
              </w:rPr>
              <w:t>Quarterly/annual.</w:t>
            </w:r>
          </w:p>
        </w:tc>
      </w:tr>
      <w:tr>
        <w:tc>
          <w:tcPr>
            <w:tcW w:type="dxa" w:w="2304"/>
            <w:vAlign w:val="top"/>
          </w:tcPr>
          <w:p>
            <w:pPr>
              <w:spacing w:after="0" w:before="0"/>
            </w:pPr>
            <w:r/>
            <w:r>
              <w:rPr>
                <w:b w:val="0"/>
                <w:sz w:val="14"/>
              </w:rPr>
              <w:t>Job postings</w:t>
            </w:r>
          </w:p>
        </w:tc>
        <w:tc>
          <w:tcPr>
            <w:tcW w:type="dxa" w:w="4320"/>
            <w:vAlign w:val="top"/>
          </w:tcPr>
          <w:p>
            <w:pPr>
              <w:spacing w:after="0" w:before="0"/>
            </w:pPr>
            <w:r/>
            <w:r>
              <w:rPr>
                <w:b w:val="0"/>
                <w:sz w:val="14"/>
              </w:rPr>
              <w:t>Strategic signals, hiring trends, technical direction.</w:t>
            </w:r>
          </w:p>
        </w:tc>
        <w:tc>
          <w:tcPr>
            <w:tcW w:type="dxa" w:w="1872"/>
            <w:vAlign w:val="top"/>
          </w:tcPr>
          <w:p>
            <w:pPr>
              <w:spacing w:after="0" w:before="0"/>
            </w:pPr>
            <w:r/>
            <w:r>
              <w:rPr>
                <w:b w:val="0"/>
                <w:sz w:val="14"/>
              </w:rPr>
              <w:t>Low-medium</w:t>
            </w:r>
          </w:p>
        </w:tc>
        <w:tc>
          <w:tcPr>
            <w:tcW w:type="dxa" w:w="2016"/>
            <w:vAlign w:val="top"/>
          </w:tcPr>
          <w:p>
            <w:pPr>
              <w:spacing w:after="0" w:before="0"/>
            </w:pPr>
            <w:r/>
            <w:r>
              <w:rPr>
                <w:b w:val="0"/>
                <w:sz w:val="14"/>
              </w:rPr>
              <w:t>Weekly/monthly.</w:t>
            </w:r>
          </w:p>
        </w:tc>
      </w:tr>
      <w:tr>
        <w:tc>
          <w:tcPr>
            <w:tcW w:type="dxa" w:w="2304"/>
            <w:vAlign w:val="top"/>
          </w:tcPr>
          <w:p>
            <w:pPr>
              <w:spacing w:after="0" w:before="0"/>
            </w:pPr>
            <w:r/>
            <w:r>
              <w:rPr>
                <w:b w:val="0"/>
                <w:sz w:val="14"/>
              </w:rPr>
              <w:t>Review platforms</w:t>
            </w:r>
          </w:p>
        </w:tc>
        <w:tc>
          <w:tcPr>
            <w:tcW w:type="dxa" w:w="4320"/>
            <w:vAlign w:val="top"/>
          </w:tcPr>
          <w:p>
            <w:pPr>
              <w:spacing w:after="0" w:before="0"/>
            </w:pPr>
            <w:r/>
            <w:r>
              <w:rPr>
                <w:b w:val="0"/>
                <w:sz w:val="14"/>
              </w:rPr>
              <w:t>Customer sentiment and adoption clues.</w:t>
            </w:r>
          </w:p>
        </w:tc>
        <w:tc>
          <w:tcPr>
            <w:tcW w:type="dxa" w:w="1872"/>
            <w:vAlign w:val="top"/>
          </w:tcPr>
          <w:p>
            <w:pPr>
              <w:spacing w:after="0" w:before="0"/>
            </w:pPr>
            <w:r/>
            <w:r>
              <w:rPr>
                <w:b w:val="0"/>
                <w:sz w:val="14"/>
              </w:rPr>
              <w:t>Low-medium</w:t>
            </w:r>
          </w:p>
        </w:tc>
        <w:tc>
          <w:tcPr>
            <w:tcW w:type="dxa" w:w="2016"/>
            <w:vAlign w:val="top"/>
          </w:tcPr>
          <w:p>
            <w:pPr>
              <w:spacing w:after="0" w:before="0"/>
            </w:pPr>
            <w:r/>
            <w:r>
              <w:rPr>
                <w:b w:val="0"/>
                <w:sz w:val="14"/>
              </w:rPr>
              <w:t>Weekly/monthly.</w:t>
            </w:r>
          </w:p>
        </w:tc>
      </w:tr>
      <w:tr>
        <w:tc>
          <w:tcPr>
            <w:tcW w:type="dxa" w:w="2304"/>
            <w:vAlign w:val="top"/>
          </w:tcPr>
          <w:p>
            <w:pPr>
              <w:spacing w:after="0" w:before="0"/>
            </w:pPr>
            <w:r/>
            <w:r>
              <w:rPr>
                <w:b w:val="0"/>
                <w:sz w:val="14"/>
              </w:rPr>
              <w:t>Marketplaces/app stores</w:t>
            </w:r>
          </w:p>
        </w:tc>
        <w:tc>
          <w:tcPr>
            <w:tcW w:type="dxa" w:w="4320"/>
            <w:vAlign w:val="top"/>
          </w:tcPr>
          <w:p>
            <w:pPr>
              <w:spacing w:after="0" w:before="0"/>
            </w:pPr>
            <w:r/>
            <w:r>
              <w:rPr>
                <w:b w:val="0"/>
                <w:sz w:val="14"/>
              </w:rPr>
              <w:t>Installs, rankings, ecosystem activity.</w:t>
            </w:r>
          </w:p>
        </w:tc>
        <w:tc>
          <w:tcPr>
            <w:tcW w:type="dxa" w:w="1872"/>
            <w:vAlign w:val="top"/>
          </w:tcPr>
          <w:p>
            <w:pPr>
              <w:spacing w:after="0" w:before="0"/>
            </w:pPr>
            <w:r/>
            <w:r>
              <w:rPr>
                <w:b w:val="0"/>
                <w:sz w:val="14"/>
              </w:rPr>
              <w:t>Low-medium</w:t>
            </w:r>
          </w:p>
        </w:tc>
        <w:tc>
          <w:tcPr>
            <w:tcW w:type="dxa" w:w="2016"/>
            <w:vAlign w:val="top"/>
          </w:tcPr>
          <w:p>
            <w:pPr>
              <w:spacing w:after="0" w:before="0"/>
            </w:pPr>
            <w:r/>
            <w:r>
              <w:rPr>
                <w:b w:val="0"/>
                <w:sz w:val="14"/>
              </w:rPr>
              <w:t>Weekly/monthly.</w:t>
            </w:r>
          </w:p>
        </w:tc>
      </w:tr>
      <w:tr>
        <w:tc>
          <w:tcPr>
            <w:tcW w:type="dxa" w:w="2304"/>
            <w:vAlign w:val="top"/>
          </w:tcPr>
          <w:p>
            <w:pPr>
              <w:spacing w:after="0" w:before="0"/>
            </w:pPr>
            <w:r/>
            <w:r>
              <w:rPr>
                <w:b w:val="0"/>
                <w:sz w:val="14"/>
              </w:rPr>
              <w:t>GitHub/open source</w:t>
            </w:r>
          </w:p>
        </w:tc>
        <w:tc>
          <w:tcPr>
            <w:tcW w:type="dxa" w:w="4320"/>
            <w:vAlign w:val="top"/>
          </w:tcPr>
          <w:p>
            <w:pPr>
              <w:spacing w:after="0" w:before="0"/>
            </w:pPr>
            <w:r/>
            <w:r>
              <w:rPr>
                <w:b w:val="0"/>
                <w:sz w:val="14"/>
              </w:rPr>
              <w:t>Developer adoption and release activity.</w:t>
            </w:r>
          </w:p>
        </w:tc>
        <w:tc>
          <w:tcPr>
            <w:tcW w:type="dxa" w:w="1872"/>
            <w:vAlign w:val="top"/>
          </w:tcPr>
          <w:p>
            <w:pPr>
              <w:spacing w:after="0" w:before="0"/>
            </w:pPr>
            <w:r/>
            <w:r>
              <w:rPr>
                <w:b w:val="0"/>
                <w:sz w:val="14"/>
              </w:rPr>
              <w:t>Medium for dev tools</w:t>
            </w:r>
          </w:p>
        </w:tc>
        <w:tc>
          <w:tcPr>
            <w:tcW w:type="dxa" w:w="2016"/>
            <w:vAlign w:val="top"/>
          </w:tcPr>
          <w:p>
            <w:pPr>
              <w:spacing w:after="0" w:before="0"/>
            </w:pPr>
            <w:r/>
            <w:r>
              <w:rPr>
                <w:b w:val="0"/>
                <w:sz w:val="14"/>
              </w:rPr>
              <w:t>Weekly.</w:t>
            </w:r>
          </w:p>
        </w:tc>
      </w:tr>
      <w:tr>
        <w:tc>
          <w:tcPr>
            <w:tcW w:type="dxa" w:w="2304"/>
            <w:vAlign w:val="top"/>
          </w:tcPr>
          <w:p>
            <w:pPr>
              <w:spacing w:after="0" w:before="0"/>
            </w:pPr>
            <w:r/>
            <w:r>
              <w:rPr>
                <w:b w:val="0"/>
                <w:sz w:val="14"/>
              </w:rPr>
              <w:t>Analyst/public reports</w:t>
            </w:r>
          </w:p>
        </w:tc>
        <w:tc>
          <w:tcPr>
            <w:tcW w:type="dxa" w:w="4320"/>
            <w:vAlign w:val="top"/>
          </w:tcPr>
          <w:p>
            <w:pPr>
              <w:spacing w:after="0" w:before="0"/>
            </w:pPr>
            <w:r/>
            <w:r>
              <w:rPr>
                <w:b w:val="0"/>
                <w:sz w:val="14"/>
              </w:rPr>
              <w:t>Market share, adoption benchmarks, category trends.</w:t>
            </w:r>
          </w:p>
        </w:tc>
        <w:tc>
          <w:tcPr>
            <w:tcW w:type="dxa" w:w="1872"/>
            <w:vAlign w:val="top"/>
          </w:tcPr>
          <w:p>
            <w:pPr>
              <w:spacing w:after="0" w:before="0"/>
            </w:pPr>
            <w:r/>
            <w:r>
              <w:rPr>
                <w:b w:val="0"/>
                <w:sz w:val="14"/>
              </w:rPr>
              <w:t>Medium-high if licensed/current</w:t>
            </w:r>
          </w:p>
        </w:tc>
        <w:tc>
          <w:tcPr>
            <w:tcW w:type="dxa" w:w="2016"/>
            <w:vAlign w:val="top"/>
          </w:tcPr>
          <w:p>
            <w:pPr>
              <w:spacing w:after="0" w:before="0"/>
            </w:pPr>
            <w:r/>
            <w:r>
              <w:rPr>
                <w:b w:val="0"/>
                <w:sz w:val="14"/>
              </w:rPr>
              <w:t>Quarterly/annual.</w:t>
            </w:r>
          </w:p>
        </w:tc>
      </w:tr>
    </w:tbl>
    <w:p/>
    <w:p>
      <w:pPr>
        <w:pStyle w:val="Heading1"/>
      </w:pPr>
      <w:r>
        <w:t>15. LLM-Agent Backend Specification</w:t>
      </w:r>
    </w:p>
    <w:p>
      <w:r>
        <w:t>LLM agents should not make final decisions. They should perform structured extraction, classification, comparison, gap detection, and evidence summarisation under strict schemas. Deterministic code should calculate final scores from structured agent outputs.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160"/>
            <w:shd w:fill="1F4E79"/>
            <w:vAlign w:val="center"/>
          </w:tcPr>
          <w:p>
            <w:pPr>
              <w:spacing w:after="0" w:before="0"/>
            </w:pPr>
            <w:r/>
            <w:r>
              <w:rPr>
                <w:b/>
                <w:color w:val="FFFFFF"/>
                <w:sz w:val="14"/>
              </w:rPr>
              <w:t>Agent</w:t>
            </w:r>
          </w:p>
        </w:tc>
        <w:tc>
          <w:tcPr>
            <w:tcW w:type="dxa" w:w="2592"/>
            <w:shd w:fill="1F4E79"/>
            <w:vAlign w:val="center"/>
          </w:tcPr>
          <w:p>
            <w:pPr>
              <w:spacing w:after="0" w:before="0"/>
            </w:pPr>
            <w:r/>
            <w:r>
              <w:rPr>
                <w:b/>
                <w:color w:val="FFFFFF"/>
                <w:sz w:val="14"/>
              </w:rPr>
              <w:t>Inputs</w:t>
            </w:r>
          </w:p>
        </w:tc>
        <w:tc>
          <w:tcPr>
            <w:tcW w:type="dxa" w:w="2880"/>
            <w:shd w:fill="1F4E79"/>
            <w:vAlign w:val="center"/>
          </w:tcPr>
          <w:p>
            <w:pPr>
              <w:spacing w:after="0" w:before="0"/>
            </w:pPr>
            <w:r/>
            <w:r>
              <w:rPr>
                <w:b/>
                <w:color w:val="FFFFFF"/>
                <w:sz w:val="14"/>
              </w:rPr>
              <w:t>Outputs</w:t>
            </w:r>
          </w:p>
        </w:tc>
        <w:tc>
          <w:tcPr>
            <w:tcW w:type="dxa" w:w="3168"/>
            <w:shd w:fill="1F4E79"/>
            <w:vAlign w:val="center"/>
          </w:tcPr>
          <w:p>
            <w:pPr>
              <w:spacing w:after="0" w:before="0"/>
            </w:pPr>
            <w:r/>
            <w:r>
              <w:rPr>
                <w:b/>
                <w:color w:val="FFFFFF"/>
                <w:sz w:val="14"/>
              </w:rPr>
              <w:t>Guardrails</w:t>
            </w:r>
          </w:p>
        </w:tc>
      </w:tr>
      <w:tr>
        <w:tc>
          <w:tcPr>
            <w:tcW w:type="dxa" w:w="2160"/>
            <w:vAlign w:val="top"/>
          </w:tcPr>
          <w:p>
            <w:pPr>
              <w:spacing w:after="0" w:before="0"/>
            </w:pPr>
            <w:r/>
            <w:r>
              <w:rPr>
                <w:b w:val="0"/>
                <w:sz w:val="14"/>
              </w:rPr>
              <w:t>Vendor Evidence Extractor</w:t>
            </w:r>
          </w:p>
        </w:tc>
        <w:tc>
          <w:tcPr>
            <w:tcW w:type="dxa" w:w="2592"/>
            <w:vAlign w:val="top"/>
          </w:tcPr>
          <w:p>
            <w:pPr>
              <w:spacing w:after="0" w:before="0"/>
            </w:pPr>
            <w:r/>
            <w:r>
              <w:rPr>
                <w:b w:val="0"/>
                <w:sz w:val="14"/>
              </w:rPr>
              <w:t>Vendor pages, docs, pricing, trust centre.</w:t>
            </w:r>
          </w:p>
        </w:tc>
        <w:tc>
          <w:tcPr>
            <w:tcW w:type="dxa" w:w="2880"/>
            <w:vAlign w:val="top"/>
          </w:tcPr>
          <w:p>
            <w:pPr>
              <w:spacing w:after="0" w:before="0"/>
            </w:pPr>
            <w:r/>
            <w:r>
              <w:rPr>
                <w:b w:val="0"/>
                <w:sz w:val="14"/>
              </w:rPr>
              <w:t>Structured evidence items tagged by pillar/domain/subfactor.</w:t>
            </w:r>
          </w:p>
        </w:tc>
        <w:tc>
          <w:tcPr>
            <w:tcW w:type="dxa" w:w="3168"/>
            <w:vAlign w:val="top"/>
          </w:tcPr>
          <w:p>
            <w:pPr>
              <w:spacing w:after="0" w:before="0"/>
            </w:pPr>
            <w:r/>
            <w:r>
              <w:rPr>
                <w:b w:val="0"/>
                <w:sz w:val="14"/>
              </w:rPr>
              <w:t>Must include source URL/date and direct excerpt; no unsupported claims.</w:t>
            </w:r>
          </w:p>
        </w:tc>
      </w:tr>
      <w:tr>
        <w:tc>
          <w:tcPr>
            <w:tcW w:type="dxa" w:w="2160"/>
            <w:vAlign w:val="top"/>
          </w:tcPr>
          <w:p>
            <w:pPr>
              <w:spacing w:after="0" w:before="0"/>
            </w:pPr>
            <w:r/>
            <w:r>
              <w:rPr>
                <w:b w:val="0"/>
                <w:sz w:val="14"/>
              </w:rPr>
              <w:t>Evidence Classifier</w:t>
            </w:r>
          </w:p>
        </w:tc>
        <w:tc>
          <w:tcPr>
            <w:tcW w:type="dxa" w:w="2592"/>
            <w:vAlign w:val="top"/>
          </w:tcPr>
          <w:p>
            <w:pPr>
              <w:spacing w:after="0" w:before="0"/>
            </w:pPr>
            <w:r/>
            <w:r>
              <w:rPr>
                <w:b w:val="0"/>
                <w:sz w:val="14"/>
              </w:rPr>
              <w:t>Evidence items.</w:t>
            </w:r>
          </w:p>
        </w:tc>
        <w:tc>
          <w:tcPr>
            <w:tcW w:type="dxa" w:w="2880"/>
            <w:vAlign w:val="top"/>
          </w:tcPr>
          <w:p>
            <w:pPr>
              <w:spacing w:after="0" w:before="0"/>
            </w:pPr>
            <w:r/>
            <w:r>
              <w:rPr>
                <w:b w:val="0"/>
                <w:sz w:val="14"/>
              </w:rPr>
              <w:t>Evidence grade E0-E5, confidence, freshness, relevance.</w:t>
            </w:r>
          </w:p>
        </w:tc>
        <w:tc>
          <w:tcPr>
            <w:tcW w:type="dxa" w:w="3168"/>
            <w:vAlign w:val="top"/>
          </w:tcPr>
          <w:p>
            <w:pPr>
              <w:spacing w:after="0" w:before="0"/>
            </w:pPr>
            <w:r/>
            <w:r>
              <w:rPr>
                <w:b w:val="0"/>
                <w:sz w:val="14"/>
              </w:rPr>
              <w:t>Conservative grading; vendor marketing defaults to E1/E2.</w:t>
            </w:r>
          </w:p>
        </w:tc>
      </w:tr>
      <w:tr>
        <w:tc>
          <w:tcPr>
            <w:tcW w:type="dxa" w:w="2160"/>
            <w:vAlign w:val="top"/>
          </w:tcPr>
          <w:p>
            <w:pPr>
              <w:spacing w:after="0" w:before="0"/>
            </w:pPr>
            <w:r/>
            <w:r>
              <w:rPr>
                <w:b w:val="0"/>
                <w:sz w:val="14"/>
              </w:rPr>
              <w:t>Security/Governance Agent</w:t>
            </w:r>
          </w:p>
        </w:tc>
        <w:tc>
          <w:tcPr>
            <w:tcW w:type="dxa" w:w="2592"/>
            <w:vAlign w:val="top"/>
          </w:tcPr>
          <w:p>
            <w:pPr>
              <w:spacing w:after="0" w:before="0"/>
            </w:pPr>
            <w:r/>
            <w:r>
              <w:rPr>
                <w:b w:val="0"/>
                <w:sz w:val="14"/>
              </w:rPr>
              <w:t>Trust docs, DPAs, admin docs.</w:t>
            </w:r>
          </w:p>
        </w:tc>
        <w:tc>
          <w:tcPr>
            <w:tcW w:type="dxa" w:w="2880"/>
            <w:vAlign w:val="top"/>
          </w:tcPr>
          <w:p>
            <w:pPr>
              <w:spacing w:after="0" w:before="0"/>
            </w:pPr>
            <w:r/>
            <w:r>
              <w:rPr>
                <w:b w:val="0"/>
                <w:sz w:val="14"/>
              </w:rPr>
              <w:t>Security/control maturity sub-scores and gaps.</w:t>
            </w:r>
          </w:p>
        </w:tc>
        <w:tc>
          <w:tcPr>
            <w:tcW w:type="dxa" w:w="3168"/>
            <w:vAlign w:val="top"/>
          </w:tcPr>
          <w:p>
            <w:pPr>
              <w:spacing w:after="0" w:before="0"/>
            </w:pPr>
            <w:r/>
            <w:r>
              <w:rPr>
                <w:b w:val="0"/>
                <w:sz w:val="14"/>
              </w:rPr>
              <w:t>No “pass” without documented proof.</w:t>
            </w:r>
          </w:p>
        </w:tc>
      </w:tr>
      <w:tr>
        <w:tc>
          <w:tcPr>
            <w:tcW w:type="dxa" w:w="2160"/>
            <w:vAlign w:val="top"/>
          </w:tcPr>
          <w:p>
            <w:pPr>
              <w:spacing w:after="0" w:before="0"/>
            </w:pPr>
            <w:r/>
            <w:r>
              <w:rPr>
                <w:b w:val="0"/>
                <w:sz w:val="14"/>
              </w:rPr>
              <w:t>Market/Strategy Agent</w:t>
            </w:r>
          </w:p>
        </w:tc>
        <w:tc>
          <w:tcPr>
            <w:tcW w:type="dxa" w:w="2592"/>
            <w:vAlign w:val="top"/>
          </w:tcPr>
          <w:p>
            <w:pPr>
              <w:spacing w:after="0" w:before="0"/>
            </w:pPr>
            <w:r/>
            <w:r>
              <w:rPr>
                <w:b w:val="0"/>
                <w:sz w:val="14"/>
              </w:rPr>
              <w:t>News, releases, jobs, partnerships, changelogs.</w:t>
            </w:r>
          </w:p>
        </w:tc>
        <w:tc>
          <w:tcPr>
            <w:tcW w:type="dxa" w:w="2880"/>
            <w:vAlign w:val="top"/>
          </w:tcPr>
          <w:p>
            <w:pPr>
              <w:spacing w:after="0" w:before="0"/>
            </w:pPr>
            <w:r/>
            <w:r>
              <w:rPr>
                <w:b w:val="0"/>
                <w:sz w:val="14"/>
              </w:rPr>
              <w:t>Strategy credibility, momentum, differentiation.</w:t>
            </w:r>
          </w:p>
        </w:tc>
        <w:tc>
          <w:tcPr>
            <w:tcW w:type="dxa" w:w="3168"/>
            <w:vAlign w:val="top"/>
          </w:tcPr>
          <w:p>
            <w:pPr>
              <w:spacing w:after="0" w:before="0"/>
            </w:pPr>
            <w:r/>
            <w:r>
              <w:rPr>
                <w:b w:val="0"/>
                <w:sz w:val="14"/>
              </w:rPr>
              <w:t>Distinguish stated strategy from delivered product.</w:t>
            </w:r>
          </w:p>
        </w:tc>
      </w:tr>
      <w:tr>
        <w:tc>
          <w:tcPr>
            <w:tcW w:type="dxa" w:w="2160"/>
            <w:vAlign w:val="top"/>
          </w:tcPr>
          <w:p>
            <w:pPr>
              <w:spacing w:after="0" w:before="0"/>
            </w:pPr>
            <w:r/>
            <w:r>
              <w:rPr>
                <w:b w:val="0"/>
                <w:sz w:val="14"/>
              </w:rPr>
              <w:t>Adoption Proxy Agent</w:t>
            </w:r>
          </w:p>
        </w:tc>
        <w:tc>
          <w:tcPr>
            <w:tcW w:type="dxa" w:w="2592"/>
            <w:vAlign w:val="top"/>
          </w:tcPr>
          <w:p>
            <w:pPr>
              <w:spacing w:after="0" w:before="0"/>
            </w:pPr>
            <w:r/>
            <w:r>
              <w:rPr>
                <w:b w:val="0"/>
                <w:sz w:val="14"/>
              </w:rPr>
              <w:t>Reviews, traffic proxies, job postings, case studies, marketplace signals.</w:t>
            </w:r>
          </w:p>
        </w:tc>
        <w:tc>
          <w:tcPr>
            <w:tcW w:type="dxa" w:w="2880"/>
            <w:vAlign w:val="top"/>
          </w:tcPr>
          <w:p>
            <w:pPr>
              <w:spacing w:after="0" w:before="0"/>
            </w:pPr>
            <w:r/>
            <w:r>
              <w:rPr>
                <w:b w:val="0"/>
                <w:sz w:val="14"/>
              </w:rPr>
              <w:t>Adoption proxy and deployment-depth indicators.</w:t>
            </w:r>
          </w:p>
        </w:tc>
        <w:tc>
          <w:tcPr>
            <w:tcW w:type="dxa" w:w="3168"/>
            <w:vAlign w:val="top"/>
          </w:tcPr>
          <w:p>
            <w:pPr>
              <w:spacing w:after="0" w:before="0"/>
            </w:pPr>
            <w:r/>
            <w:r>
              <w:rPr>
                <w:b w:val="0"/>
                <w:sz w:val="14"/>
              </w:rPr>
              <w:t>Label as proxy; never treat as true WAU/MAU.</w:t>
            </w:r>
          </w:p>
        </w:tc>
      </w:tr>
      <w:tr>
        <w:tc>
          <w:tcPr>
            <w:tcW w:type="dxa" w:w="2160"/>
            <w:vAlign w:val="top"/>
          </w:tcPr>
          <w:p>
            <w:pPr>
              <w:spacing w:after="0" w:before="0"/>
            </w:pPr>
            <w:r/>
            <w:r>
              <w:rPr>
                <w:b w:val="0"/>
                <w:sz w:val="14"/>
              </w:rPr>
              <w:t>Cost Modelling Agent</w:t>
            </w:r>
          </w:p>
        </w:tc>
        <w:tc>
          <w:tcPr>
            <w:tcW w:type="dxa" w:w="2592"/>
            <w:vAlign w:val="top"/>
          </w:tcPr>
          <w:p>
            <w:pPr>
              <w:spacing w:after="0" w:before="0"/>
            </w:pPr>
            <w:r/>
            <w:r>
              <w:rPr>
                <w:b w:val="0"/>
                <w:sz w:val="14"/>
              </w:rPr>
              <w:t>Pricing pages, API rates, usage archetypes.</w:t>
            </w:r>
          </w:p>
        </w:tc>
        <w:tc>
          <w:tcPr>
            <w:tcW w:type="dxa" w:w="2880"/>
            <w:vAlign w:val="top"/>
          </w:tcPr>
          <w:p>
            <w:pPr>
              <w:spacing w:after="0" w:before="0"/>
            </w:pPr>
            <w:r/>
            <w:r>
              <w:rPr>
                <w:b w:val="0"/>
                <w:sz w:val="14"/>
              </w:rPr>
              <w:t>Relative cost-risk score and sensitivity model.</w:t>
            </w:r>
          </w:p>
        </w:tc>
        <w:tc>
          <w:tcPr>
            <w:tcW w:type="dxa" w:w="3168"/>
            <w:vAlign w:val="top"/>
          </w:tcPr>
          <w:p>
            <w:pPr>
              <w:spacing w:after="0" w:before="0"/>
            </w:pPr>
            <w:r/>
            <w:r>
              <w:rPr>
                <w:b w:val="0"/>
                <w:sz w:val="14"/>
              </w:rPr>
              <w:t>Output relative 1-10 risk, not exact cost unless validated.</w:t>
            </w:r>
          </w:p>
        </w:tc>
      </w:tr>
      <w:tr>
        <w:tc>
          <w:tcPr>
            <w:tcW w:type="dxa" w:w="2160"/>
            <w:vAlign w:val="top"/>
          </w:tcPr>
          <w:p>
            <w:pPr>
              <w:spacing w:after="0" w:before="0"/>
            </w:pPr>
            <w:r/>
            <w:r>
              <w:rPr>
                <w:b w:val="0"/>
                <w:sz w:val="14"/>
              </w:rPr>
              <w:t>Risk Flag Agent</w:t>
            </w:r>
          </w:p>
        </w:tc>
        <w:tc>
          <w:tcPr>
            <w:tcW w:type="dxa" w:w="2592"/>
            <w:vAlign w:val="top"/>
          </w:tcPr>
          <w:p>
            <w:pPr>
              <w:spacing w:after="0" w:before="0"/>
            </w:pPr>
            <w:r/>
            <w:r>
              <w:rPr>
                <w:b w:val="0"/>
                <w:sz w:val="14"/>
              </w:rPr>
              <w:t>All structured scores/evidence.</w:t>
            </w:r>
          </w:p>
        </w:tc>
        <w:tc>
          <w:tcPr>
            <w:tcW w:type="dxa" w:w="2880"/>
            <w:vAlign w:val="top"/>
          </w:tcPr>
          <w:p>
            <w:pPr>
              <w:spacing w:after="0" w:before="0"/>
            </w:pPr>
            <w:r/>
            <w:r>
              <w:rPr>
                <w:b w:val="0"/>
                <w:sz w:val="14"/>
              </w:rPr>
              <w:t>Potential blockers, penalties, missing evidence.</w:t>
            </w:r>
          </w:p>
        </w:tc>
        <w:tc>
          <w:tcPr>
            <w:tcW w:type="dxa" w:w="3168"/>
            <w:vAlign w:val="top"/>
          </w:tcPr>
          <w:p>
            <w:pPr>
              <w:spacing w:after="0" w:before="0"/>
            </w:pPr>
            <w:r/>
            <w:r>
              <w:rPr>
                <w:b w:val="0"/>
                <w:sz w:val="14"/>
              </w:rPr>
              <w:t>Human-reviewable; fatal blockers require rule confirmation.</w:t>
            </w:r>
          </w:p>
        </w:tc>
      </w:tr>
      <w:tr>
        <w:tc>
          <w:tcPr>
            <w:tcW w:type="dxa" w:w="2160"/>
            <w:vAlign w:val="top"/>
          </w:tcPr>
          <w:p>
            <w:pPr>
              <w:spacing w:after="0" w:before="0"/>
            </w:pPr>
            <w:r/>
            <w:r>
              <w:rPr>
                <w:b w:val="0"/>
                <w:sz w:val="14"/>
              </w:rPr>
              <w:t>Narrative Agent</w:t>
            </w:r>
          </w:p>
        </w:tc>
        <w:tc>
          <w:tcPr>
            <w:tcW w:type="dxa" w:w="2592"/>
            <w:vAlign w:val="top"/>
          </w:tcPr>
          <w:p>
            <w:pPr>
              <w:spacing w:after="0" w:before="0"/>
            </w:pPr>
            <w:r/>
            <w:r>
              <w:rPr>
                <w:b w:val="0"/>
                <w:sz w:val="14"/>
              </w:rPr>
              <w:t>Final scores and evidence.</w:t>
            </w:r>
          </w:p>
        </w:tc>
        <w:tc>
          <w:tcPr>
            <w:tcW w:type="dxa" w:w="2880"/>
            <w:vAlign w:val="top"/>
          </w:tcPr>
          <w:p>
            <w:pPr>
              <w:spacing w:after="0" w:before="0"/>
            </w:pPr>
            <w:r/>
            <w:r>
              <w:rPr>
                <w:b w:val="0"/>
                <w:sz w:val="14"/>
              </w:rPr>
              <w:t>User-facing explanation.</w:t>
            </w:r>
          </w:p>
        </w:tc>
        <w:tc>
          <w:tcPr>
            <w:tcW w:type="dxa" w:w="3168"/>
            <w:vAlign w:val="top"/>
          </w:tcPr>
          <w:p>
            <w:pPr>
              <w:spacing w:after="0" w:before="0"/>
            </w:pPr>
            <w:r/>
            <w:r>
              <w:rPr>
                <w:b w:val="0"/>
                <w:sz w:val="14"/>
              </w:rPr>
              <w:t>Cannot introduce facts not in score object/evidence store.</w:t>
            </w:r>
          </w:p>
        </w:tc>
      </w:tr>
    </w:tbl>
    <w:p/>
    <w:p>
      <w:pPr>
        <w:pStyle w:val="Heading1"/>
      </w:pPr>
      <w:r>
        <w:t>16. Data Model / Database Schema</w:t>
      </w:r>
    </w:p>
    <w:tbl>
      <w:tblPr>
        <w:tblStyle w:val="TableGrid"/>
        <w:tblW w:type="auto" w:w="0"/>
        <w:jc w:val="center"/>
        <w:tblLook w:firstColumn="1" w:firstRow="1" w:lastColumn="0" w:lastRow="0" w:noHBand="0" w:noVBand="1" w:val="04A0"/>
      </w:tblPr>
      <w:tblGrid>
        <w:gridCol w:w="3552"/>
        <w:gridCol w:w="3552"/>
        <w:gridCol w:w="3552"/>
      </w:tblGrid>
      <w:tr>
        <w:tc>
          <w:tcPr>
            <w:tcW w:type="dxa" w:w="2592"/>
            <w:shd w:fill="1F4E79"/>
            <w:vAlign w:val="center"/>
          </w:tcPr>
          <w:p>
            <w:pPr>
              <w:spacing w:after="0" w:before="0"/>
            </w:pPr>
            <w:r/>
            <w:r>
              <w:rPr>
                <w:b/>
                <w:color w:val="FFFFFF"/>
                <w:sz w:val="14"/>
              </w:rPr>
              <w:t>Table / Collection</w:t>
            </w:r>
          </w:p>
        </w:tc>
        <w:tc>
          <w:tcPr>
            <w:tcW w:type="dxa" w:w="3600"/>
            <w:shd w:fill="1F4E79"/>
            <w:vAlign w:val="center"/>
          </w:tcPr>
          <w:p>
            <w:pPr>
              <w:spacing w:after="0" w:before="0"/>
            </w:pPr>
            <w:r/>
            <w:r>
              <w:rPr>
                <w:b/>
                <w:color w:val="FFFFFF"/>
                <w:sz w:val="14"/>
              </w:rPr>
              <w:t>Purpose</w:t>
            </w:r>
          </w:p>
        </w:tc>
        <w:tc>
          <w:tcPr>
            <w:tcW w:type="dxa" w:w="4464"/>
            <w:shd w:fill="1F4E79"/>
            <w:vAlign w:val="center"/>
          </w:tcPr>
          <w:p>
            <w:pPr>
              <w:spacing w:after="0" w:before="0"/>
            </w:pPr>
            <w:r/>
            <w:r>
              <w:rPr>
                <w:b/>
                <w:color w:val="FFFFFF"/>
                <w:sz w:val="14"/>
              </w:rPr>
              <w:t>Key fields</w:t>
            </w:r>
          </w:p>
        </w:tc>
      </w:tr>
      <w:tr>
        <w:tc>
          <w:tcPr>
            <w:tcW w:type="dxa" w:w="2592"/>
            <w:vAlign w:val="top"/>
          </w:tcPr>
          <w:p>
            <w:pPr>
              <w:spacing w:after="0" w:before="0"/>
            </w:pPr>
            <w:r/>
            <w:r>
              <w:rPr>
                <w:b w:val="0"/>
                <w:sz w:val="14"/>
              </w:rPr>
              <w:t>vendors</w:t>
            </w:r>
          </w:p>
        </w:tc>
        <w:tc>
          <w:tcPr>
            <w:tcW w:type="dxa" w:w="3600"/>
            <w:vAlign w:val="top"/>
          </w:tcPr>
          <w:p>
            <w:pPr>
              <w:spacing w:after="0" w:before="0"/>
            </w:pPr>
            <w:r/>
            <w:r>
              <w:rPr>
                <w:b w:val="0"/>
                <w:sz w:val="14"/>
              </w:rPr>
              <w:t>Canonical vendor entities.</w:t>
            </w:r>
          </w:p>
        </w:tc>
        <w:tc>
          <w:tcPr>
            <w:tcW w:type="dxa" w:w="4464"/>
            <w:vAlign w:val="top"/>
          </w:tcPr>
          <w:p>
            <w:pPr>
              <w:spacing w:after="0" w:before="0"/>
            </w:pPr>
            <w:r/>
            <w:r>
              <w:rPr>
                <w:b w:val="0"/>
                <w:sz w:val="14"/>
              </w:rPr>
              <w:t>vendor_id, name, category, website, HQ, ownership_type, public_private, summary.</w:t>
            </w:r>
          </w:p>
        </w:tc>
      </w:tr>
      <w:tr>
        <w:tc>
          <w:tcPr>
            <w:tcW w:type="dxa" w:w="2592"/>
            <w:vAlign w:val="top"/>
          </w:tcPr>
          <w:p>
            <w:pPr>
              <w:spacing w:after="0" w:before="0"/>
            </w:pPr>
            <w:r/>
            <w:r>
              <w:rPr>
                <w:b w:val="0"/>
                <w:sz w:val="14"/>
              </w:rPr>
              <w:t>vendor_products</w:t>
            </w:r>
          </w:p>
        </w:tc>
        <w:tc>
          <w:tcPr>
            <w:tcW w:type="dxa" w:w="3600"/>
            <w:vAlign w:val="top"/>
          </w:tcPr>
          <w:p>
            <w:pPr>
              <w:spacing w:after="0" w:before="0"/>
            </w:pPr>
            <w:r/>
            <w:r>
              <w:rPr>
                <w:b w:val="0"/>
                <w:sz w:val="14"/>
              </w:rPr>
              <w:t>Product-level records where vendors have multiple AI offerings.</w:t>
            </w:r>
          </w:p>
        </w:tc>
        <w:tc>
          <w:tcPr>
            <w:tcW w:type="dxa" w:w="4464"/>
            <w:vAlign w:val="top"/>
          </w:tcPr>
          <w:p>
            <w:pPr>
              <w:spacing w:after="0" w:before="0"/>
            </w:pPr>
            <w:r/>
            <w:r>
              <w:rPr>
                <w:b w:val="0"/>
                <w:sz w:val="14"/>
              </w:rPr>
              <w:t>product_id, vendor_id, product_name, category, supported_use_cases, deployment_models.</w:t>
            </w:r>
          </w:p>
        </w:tc>
      </w:tr>
      <w:tr>
        <w:tc>
          <w:tcPr>
            <w:tcW w:type="dxa" w:w="2592"/>
            <w:vAlign w:val="top"/>
          </w:tcPr>
          <w:p>
            <w:pPr>
              <w:spacing w:after="0" w:before="0"/>
            </w:pPr>
            <w:r/>
            <w:r>
              <w:rPr>
                <w:b w:val="0"/>
                <w:sz w:val="14"/>
              </w:rPr>
              <w:t>vendor_evidence_items</w:t>
            </w:r>
          </w:p>
        </w:tc>
        <w:tc>
          <w:tcPr>
            <w:tcW w:type="dxa" w:w="3600"/>
            <w:vAlign w:val="top"/>
          </w:tcPr>
          <w:p>
            <w:pPr>
              <w:spacing w:after="0" w:before="0"/>
            </w:pPr>
            <w:r/>
            <w:r>
              <w:rPr>
                <w:b w:val="0"/>
                <w:sz w:val="14"/>
              </w:rPr>
              <w:t>Atomic evidence records.</w:t>
            </w:r>
          </w:p>
        </w:tc>
        <w:tc>
          <w:tcPr>
            <w:tcW w:type="dxa" w:w="4464"/>
            <w:vAlign w:val="top"/>
          </w:tcPr>
          <w:p>
            <w:pPr>
              <w:spacing w:after="0" w:before="0"/>
            </w:pPr>
            <w:r/>
            <w:r>
              <w:rPr>
                <w:b w:val="0"/>
                <w:sz w:val="14"/>
              </w:rPr>
              <w:t>evidence_id, vendor_id, product_id, source_url, captured_at, excerpt, domain, subfactor, evidence_grade, confidence.</w:t>
            </w:r>
          </w:p>
        </w:tc>
      </w:tr>
      <w:tr>
        <w:tc>
          <w:tcPr>
            <w:tcW w:type="dxa" w:w="2592"/>
            <w:vAlign w:val="top"/>
          </w:tcPr>
          <w:p>
            <w:pPr>
              <w:spacing w:after="0" w:before="0"/>
            </w:pPr>
            <w:r/>
            <w:r>
              <w:rPr>
                <w:b w:val="0"/>
                <w:sz w:val="14"/>
              </w:rPr>
              <w:t>vendor_scores</w:t>
            </w:r>
          </w:p>
        </w:tc>
        <w:tc>
          <w:tcPr>
            <w:tcW w:type="dxa" w:w="3600"/>
            <w:vAlign w:val="top"/>
          </w:tcPr>
          <w:p>
            <w:pPr>
              <w:spacing w:after="0" w:before="0"/>
            </w:pPr>
            <w:r/>
            <w:r>
              <w:rPr>
                <w:b w:val="0"/>
                <w:sz w:val="14"/>
              </w:rPr>
              <w:t>Computed scores per vendor/context.</w:t>
            </w:r>
          </w:p>
        </w:tc>
        <w:tc>
          <w:tcPr>
            <w:tcW w:type="dxa" w:w="4464"/>
            <w:vAlign w:val="top"/>
          </w:tcPr>
          <w:p>
            <w:pPr>
              <w:spacing w:after="0" w:before="0"/>
            </w:pPr>
            <w:r/>
            <w:r>
              <w:rPr>
                <w:b w:val="0"/>
                <w:sz w:val="14"/>
              </w:rPr>
              <w:t>score_id, vendor_id, context_hash, pillar_scores_json, final_score, confidence_score, generated_at.</w:t>
            </w:r>
          </w:p>
        </w:tc>
      </w:tr>
      <w:tr>
        <w:tc>
          <w:tcPr>
            <w:tcW w:type="dxa" w:w="2592"/>
            <w:vAlign w:val="top"/>
          </w:tcPr>
          <w:p>
            <w:pPr>
              <w:spacing w:after="0" w:before="0"/>
            </w:pPr>
            <w:r/>
            <w:r>
              <w:rPr>
                <w:b w:val="0"/>
                <w:sz w:val="14"/>
              </w:rPr>
              <w:t>industries</w:t>
            </w:r>
          </w:p>
        </w:tc>
        <w:tc>
          <w:tcPr>
            <w:tcW w:type="dxa" w:w="3600"/>
            <w:vAlign w:val="top"/>
          </w:tcPr>
          <w:p>
            <w:pPr>
              <w:spacing w:after="0" w:before="0"/>
            </w:pPr>
            <w:r/>
            <w:r>
              <w:rPr>
                <w:b w:val="0"/>
                <w:sz w:val="14"/>
              </w:rPr>
              <w:t>Industry archetypes and weight profiles.</w:t>
            </w:r>
          </w:p>
        </w:tc>
        <w:tc>
          <w:tcPr>
            <w:tcW w:type="dxa" w:w="4464"/>
            <w:vAlign w:val="top"/>
          </w:tcPr>
          <w:p>
            <w:pPr>
              <w:spacing w:after="0" w:before="0"/>
            </w:pPr>
            <w:r/>
            <w:r>
              <w:rPr>
                <w:b w:val="0"/>
                <w:sz w:val="14"/>
              </w:rPr>
              <w:t>industry_id, name, archetype, default_weights_json, blockers_json.</w:t>
            </w:r>
          </w:p>
        </w:tc>
      </w:tr>
      <w:tr>
        <w:tc>
          <w:tcPr>
            <w:tcW w:type="dxa" w:w="2592"/>
            <w:vAlign w:val="top"/>
          </w:tcPr>
          <w:p>
            <w:pPr>
              <w:spacing w:after="0" w:before="0"/>
            </w:pPr>
            <w:r/>
            <w:r>
              <w:rPr>
                <w:b w:val="0"/>
                <w:sz w:val="14"/>
              </w:rPr>
              <w:t>industry_adoption_profiles</w:t>
            </w:r>
          </w:p>
        </w:tc>
        <w:tc>
          <w:tcPr>
            <w:tcW w:type="dxa" w:w="3600"/>
            <w:vAlign w:val="top"/>
          </w:tcPr>
          <w:p>
            <w:pPr>
              <w:spacing w:after="0" w:before="0"/>
            </w:pPr>
            <w:r/>
            <w:r>
              <w:rPr>
                <w:b w:val="0"/>
                <w:sz w:val="14"/>
              </w:rPr>
              <w:t>Industry-level adoption maturity data.</w:t>
            </w:r>
          </w:p>
        </w:tc>
        <w:tc>
          <w:tcPr>
            <w:tcW w:type="dxa" w:w="4464"/>
            <w:vAlign w:val="top"/>
          </w:tcPr>
          <w:p>
            <w:pPr>
              <w:spacing w:after="0" w:before="0"/>
            </w:pPr>
            <w:r/>
            <w:r>
              <w:rPr>
                <w:b w:val="0"/>
                <w:sz w:val="14"/>
              </w:rPr>
              <w:t>industry_id, experimentation_pct, regular_use_pct, production_pct, scaled_pct, agentic_pct, source, source_date, confidence.</w:t>
            </w:r>
          </w:p>
        </w:tc>
      </w:tr>
      <w:tr>
        <w:tc>
          <w:tcPr>
            <w:tcW w:type="dxa" w:w="2592"/>
            <w:vAlign w:val="top"/>
          </w:tcPr>
          <w:p>
            <w:pPr>
              <w:spacing w:after="0" w:before="0"/>
            </w:pPr>
            <w:r/>
            <w:r>
              <w:rPr>
                <w:b w:val="0"/>
                <w:sz w:val="14"/>
              </w:rPr>
              <w:t>vendor_industry_adoption</w:t>
            </w:r>
          </w:p>
        </w:tc>
        <w:tc>
          <w:tcPr>
            <w:tcW w:type="dxa" w:w="3600"/>
            <w:vAlign w:val="top"/>
          </w:tcPr>
          <w:p>
            <w:pPr>
              <w:spacing w:after="0" w:before="0"/>
            </w:pPr>
            <w:r/>
            <w:r>
              <w:rPr>
                <w:b w:val="0"/>
                <w:sz w:val="14"/>
              </w:rPr>
              <w:t>Vendor proof in each industry.</w:t>
            </w:r>
          </w:p>
        </w:tc>
        <w:tc>
          <w:tcPr>
            <w:tcW w:type="dxa" w:w="4464"/>
            <w:vAlign w:val="top"/>
          </w:tcPr>
          <w:p>
            <w:pPr>
              <w:spacing w:after="0" w:before="0"/>
            </w:pPr>
            <w:r/>
            <w:r>
              <w:rPr>
                <w:b w:val="0"/>
                <w:sz w:val="14"/>
              </w:rPr>
              <w:t>vendor_id, industry_id, customer_count_estimate, production_reference_count, deployment_depth_score, confidence.</w:t>
            </w:r>
          </w:p>
        </w:tc>
      </w:tr>
      <w:tr>
        <w:tc>
          <w:tcPr>
            <w:tcW w:type="dxa" w:w="2592"/>
            <w:vAlign w:val="top"/>
          </w:tcPr>
          <w:p>
            <w:pPr>
              <w:spacing w:after="0" w:before="0"/>
            </w:pPr>
            <w:r/>
            <w:r>
              <w:rPr>
                <w:b w:val="0"/>
                <w:sz w:val="14"/>
              </w:rPr>
              <w:t>use_cases</w:t>
            </w:r>
          </w:p>
        </w:tc>
        <w:tc>
          <w:tcPr>
            <w:tcW w:type="dxa" w:w="3600"/>
            <w:vAlign w:val="top"/>
          </w:tcPr>
          <w:p>
            <w:pPr>
              <w:spacing w:after="0" w:before="0"/>
            </w:pPr>
            <w:r/>
            <w:r>
              <w:rPr>
                <w:b w:val="0"/>
                <w:sz w:val="14"/>
              </w:rPr>
              <w:t>Use-case taxonomy.</w:t>
            </w:r>
          </w:p>
        </w:tc>
        <w:tc>
          <w:tcPr>
            <w:tcW w:type="dxa" w:w="4464"/>
            <w:vAlign w:val="top"/>
          </w:tcPr>
          <w:p>
            <w:pPr>
              <w:spacing w:after="0" w:before="0"/>
            </w:pPr>
            <w:r/>
            <w:r>
              <w:rPr>
                <w:b w:val="0"/>
                <w:sz w:val="14"/>
              </w:rPr>
              <w:t>use_case_id, name, risk_tier, autonomy_default, reliability_requirement, core_workflows.</w:t>
            </w:r>
          </w:p>
        </w:tc>
      </w:tr>
      <w:tr>
        <w:tc>
          <w:tcPr>
            <w:tcW w:type="dxa" w:w="2592"/>
            <w:vAlign w:val="top"/>
          </w:tcPr>
          <w:p>
            <w:pPr>
              <w:spacing w:after="0" w:before="0"/>
            </w:pPr>
            <w:r/>
            <w:r>
              <w:rPr>
                <w:b w:val="0"/>
                <w:sz w:val="14"/>
              </w:rPr>
              <w:t>scoring_rules</w:t>
            </w:r>
          </w:p>
        </w:tc>
        <w:tc>
          <w:tcPr>
            <w:tcW w:type="dxa" w:w="3600"/>
            <w:vAlign w:val="top"/>
          </w:tcPr>
          <w:p>
            <w:pPr>
              <w:spacing w:after="0" w:before="0"/>
            </w:pPr>
            <w:r/>
            <w:r>
              <w:rPr>
                <w:b w:val="0"/>
                <w:sz w:val="14"/>
              </w:rPr>
              <w:t>Versioned scoring and weighting rules.</w:t>
            </w:r>
          </w:p>
        </w:tc>
        <w:tc>
          <w:tcPr>
            <w:tcW w:type="dxa" w:w="4464"/>
            <w:vAlign w:val="top"/>
          </w:tcPr>
          <w:p>
            <w:pPr>
              <w:spacing w:after="0" w:before="0"/>
            </w:pPr>
            <w:r/>
            <w:r>
              <w:rPr>
                <w:b w:val="0"/>
                <w:sz w:val="14"/>
              </w:rPr>
              <w:t>rule_id, version, trigger_condition, weight_changes, penalties, blockers.</w:t>
            </w:r>
          </w:p>
        </w:tc>
      </w:tr>
      <w:tr>
        <w:tc>
          <w:tcPr>
            <w:tcW w:type="dxa" w:w="2592"/>
            <w:vAlign w:val="top"/>
          </w:tcPr>
          <w:p>
            <w:pPr>
              <w:spacing w:after="0" w:before="0"/>
            </w:pPr>
            <w:r/>
            <w:r>
              <w:rPr>
                <w:b w:val="0"/>
                <w:sz w:val="14"/>
              </w:rPr>
              <w:t>risk_flags</w:t>
            </w:r>
          </w:p>
        </w:tc>
        <w:tc>
          <w:tcPr>
            <w:tcW w:type="dxa" w:w="3600"/>
            <w:vAlign w:val="top"/>
          </w:tcPr>
          <w:p>
            <w:pPr>
              <w:spacing w:after="0" w:before="0"/>
            </w:pPr>
            <w:r/>
            <w:r>
              <w:rPr>
                <w:b w:val="0"/>
                <w:sz w:val="14"/>
              </w:rPr>
              <w:t>Generated or curated risk flags.</w:t>
            </w:r>
          </w:p>
        </w:tc>
        <w:tc>
          <w:tcPr>
            <w:tcW w:type="dxa" w:w="4464"/>
            <w:vAlign w:val="top"/>
          </w:tcPr>
          <w:p>
            <w:pPr>
              <w:spacing w:after="0" w:before="0"/>
            </w:pPr>
            <w:r/>
            <w:r>
              <w:rPr>
                <w:b w:val="0"/>
                <w:sz w:val="14"/>
              </w:rPr>
              <w:t>risk_id, vendor_id, context_hash, severity, description, evidence_ids, treatment.</w:t>
            </w:r>
          </w:p>
        </w:tc>
      </w:tr>
      <w:tr>
        <w:tc>
          <w:tcPr>
            <w:tcW w:type="dxa" w:w="2592"/>
            <w:vAlign w:val="top"/>
          </w:tcPr>
          <w:p>
            <w:pPr>
              <w:spacing w:after="0" w:before="0"/>
            </w:pPr>
            <w:r/>
            <w:r>
              <w:rPr>
                <w:b w:val="0"/>
                <w:sz w:val="14"/>
              </w:rPr>
              <w:t>runs</w:t>
            </w:r>
          </w:p>
        </w:tc>
        <w:tc>
          <w:tcPr>
            <w:tcW w:type="dxa" w:w="3600"/>
            <w:vAlign w:val="top"/>
          </w:tcPr>
          <w:p>
            <w:pPr>
              <w:spacing w:after="0" w:before="0"/>
            </w:pPr>
            <w:r/>
            <w:r>
              <w:rPr>
                <w:b w:val="0"/>
                <w:sz w:val="14"/>
              </w:rPr>
              <w:t>User assessment run records.</w:t>
            </w:r>
          </w:p>
        </w:tc>
        <w:tc>
          <w:tcPr>
            <w:tcW w:type="dxa" w:w="4464"/>
            <w:vAlign w:val="top"/>
          </w:tcPr>
          <w:p>
            <w:pPr>
              <w:spacing w:after="0" w:before="0"/>
            </w:pPr>
            <w:r/>
            <w:r>
              <w:rPr>
                <w:b w:val="0"/>
                <w:sz w:val="14"/>
              </w:rPr>
              <w:t>run_id, user_id, inputs_json, vendor_set, created_at, output_json.</w:t>
            </w:r>
          </w:p>
        </w:tc>
      </w:tr>
      <w:tr>
        <w:tc>
          <w:tcPr>
            <w:tcW w:type="dxa" w:w="2592"/>
            <w:vAlign w:val="top"/>
          </w:tcPr>
          <w:p>
            <w:pPr>
              <w:spacing w:after="0" w:before="0"/>
            </w:pPr>
            <w:r/>
            <w:r>
              <w:rPr>
                <w:b w:val="0"/>
                <w:sz w:val="14"/>
              </w:rPr>
              <w:t>audit_log</w:t>
            </w:r>
          </w:p>
        </w:tc>
        <w:tc>
          <w:tcPr>
            <w:tcW w:type="dxa" w:w="3600"/>
            <w:vAlign w:val="top"/>
          </w:tcPr>
          <w:p>
            <w:pPr>
              <w:spacing w:after="0" w:before="0"/>
            </w:pPr>
            <w:r/>
            <w:r>
              <w:rPr>
                <w:b w:val="0"/>
                <w:sz w:val="14"/>
              </w:rPr>
              <w:t>Internal traceability.</w:t>
            </w:r>
          </w:p>
        </w:tc>
        <w:tc>
          <w:tcPr>
            <w:tcW w:type="dxa" w:w="4464"/>
            <w:vAlign w:val="top"/>
          </w:tcPr>
          <w:p>
            <w:pPr>
              <w:spacing w:after="0" w:before="0"/>
            </w:pPr>
            <w:r/>
            <w:r>
              <w:rPr>
                <w:b w:val="0"/>
                <w:sz w:val="14"/>
              </w:rPr>
              <w:t>event_id, actor, action, object_type, object_id, timestamp, before_after.</w:t>
            </w:r>
          </w:p>
        </w:tc>
      </w:tr>
    </w:tbl>
    <w:p/>
    <w:p>
      <w:pPr>
        <w:pStyle w:val="Heading1"/>
      </w:pPr>
      <w:r>
        <w:t>17. API and Service Specification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448"/>
            <w:shd w:fill="1F4E79"/>
            <w:vAlign w:val="center"/>
          </w:tcPr>
          <w:p>
            <w:pPr>
              <w:spacing w:after="0" w:before="0"/>
            </w:pPr>
            <w:r/>
            <w:r>
              <w:rPr>
                <w:b/>
                <w:color w:val="FFFFFF"/>
                <w:sz w:val="14"/>
              </w:rPr>
              <w:t>Endpoint/service</w:t>
            </w:r>
          </w:p>
        </w:tc>
        <w:tc>
          <w:tcPr>
            <w:tcW w:type="dxa" w:w="936"/>
            <w:shd w:fill="1F4E79"/>
            <w:vAlign w:val="center"/>
          </w:tcPr>
          <w:p>
            <w:pPr>
              <w:spacing w:after="0" w:before="0"/>
            </w:pPr>
            <w:r/>
            <w:r>
              <w:rPr>
                <w:b/>
                <w:color w:val="FFFFFF"/>
                <w:sz w:val="14"/>
              </w:rPr>
              <w:t>Method</w:t>
            </w:r>
          </w:p>
        </w:tc>
        <w:tc>
          <w:tcPr>
            <w:tcW w:type="dxa" w:w="2880"/>
            <w:shd w:fill="1F4E79"/>
            <w:vAlign w:val="center"/>
          </w:tcPr>
          <w:p>
            <w:pPr>
              <w:spacing w:after="0" w:before="0"/>
            </w:pPr>
            <w:r/>
            <w:r>
              <w:rPr>
                <w:b/>
                <w:color w:val="FFFFFF"/>
                <w:sz w:val="14"/>
              </w:rPr>
              <w:t>Purpose</w:t>
            </w:r>
          </w:p>
        </w:tc>
        <w:tc>
          <w:tcPr>
            <w:tcW w:type="dxa" w:w="2880"/>
            <w:shd w:fill="1F4E79"/>
            <w:vAlign w:val="center"/>
          </w:tcPr>
          <w:p>
            <w:pPr>
              <w:spacing w:after="0" w:before="0"/>
            </w:pPr>
            <w:r/>
            <w:r>
              <w:rPr>
                <w:b/>
                <w:color w:val="FFFFFF"/>
                <w:sz w:val="14"/>
              </w:rPr>
              <w:t>Inputs</w:t>
            </w:r>
          </w:p>
        </w:tc>
        <w:tc>
          <w:tcPr>
            <w:tcW w:type="dxa" w:w="2448"/>
            <w:shd w:fill="1F4E79"/>
            <w:vAlign w:val="center"/>
          </w:tcPr>
          <w:p>
            <w:pPr>
              <w:spacing w:after="0" w:before="0"/>
            </w:pPr>
            <w:r/>
            <w:r>
              <w:rPr>
                <w:b/>
                <w:color w:val="FFFFFF"/>
                <w:sz w:val="14"/>
              </w:rPr>
              <w:t>Output</w:t>
            </w:r>
          </w:p>
        </w:tc>
      </w:tr>
      <w:tr>
        <w:tc>
          <w:tcPr>
            <w:tcW w:type="dxa" w:w="2448"/>
            <w:vAlign w:val="top"/>
          </w:tcPr>
          <w:p>
            <w:pPr>
              <w:spacing w:after="0" w:before="0"/>
            </w:pPr>
            <w:r/>
            <w:r>
              <w:rPr>
                <w:b w:val="0"/>
                <w:sz w:val="14"/>
              </w:rPr>
              <w:t>/api/assessment/start</w:t>
            </w:r>
          </w:p>
        </w:tc>
        <w:tc>
          <w:tcPr>
            <w:tcW w:type="dxa" w:w="936"/>
            <w:vAlign w:val="top"/>
          </w:tcPr>
          <w:p>
            <w:pPr>
              <w:spacing w:after="0" w:before="0"/>
            </w:pPr>
            <w:r/>
            <w:r>
              <w:rPr>
                <w:b w:val="0"/>
                <w:sz w:val="14"/>
              </w:rPr>
              <w:t>POST</w:t>
            </w:r>
          </w:p>
        </w:tc>
        <w:tc>
          <w:tcPr>
            <w:tcW w:type="dxa" w:w="2880"/>
            <w:vAlign w:val="top"/>
          </w:tcPr>
          <w:p>
            <w:pPr>
              <w:spacing w:after="0" w:before="0"/>
            </w:pPr>
            <w:r/>
            <w:r>
              <w:rPr>
                <w:b w:val="0"/>
                <w:sz w:val="14"/>
              </w:rPr>
              <w:t>Create assessment run.</w:t>
            </w:r>
          </w:p>
        </w:tc>
        <w:tc>
          <w:tcPr>
            <w:tcW w:type="dxa" w:w="2880"/>
            <w:vAlign w:val="top"/>
          </w:tcPr>
          <w:p>
            <w:pPr>
              <w:spacing w:after="0" w:before="0"/>
            </w:pPr>
            <w:r/>
            <w:r>
              <w:rPr>
                <w:b w:val="0"/>
                <w:sz w:val="14"/>
              </w:rPr>
              <w:t>User input context.</w:t>
            </w:r>
          </w:p>
        </w:tc>
        <w:tc>
          <w:tcPr>
            <w:tcW w:type="dxa" w:w="2448"/>
            <w:vAlign w:val="top"/>
          </w:tcPr>
          <w:p>
            <w:pPr>
              <w:spacing w:after="0" w:before="0"/>
            </w:pPr>
            <w:r/>
            <w:r>
              <w:rPr>
                <w:b w:val="0"/>
                <w:sz w:val="14"/>
              </w:rPr>
              <w:t>run_id, normalised_context.</w:t>
            </w:r>
          </w:p>
        </w:tc>
      </w:tr>
      <w:tr>
        <w:tc>
          <w:tcPr>
            <w:tcW w:type="dxa" w:w="2448"/>
            <w:vAlign w:val="top"/>
          </w:tcPr>
          <w:p>
            <w:pPr>
              <w:spacing w:after="0" w:before="0"/>
            </w:pPr>
            <w:r/>
            <w:r>
              <w:rPr>
                <w:b w:val="0"/>
                <w:sz w:val="14"/>
              </w:rPr>
              <w:t>/api/vendors/recommend</w:t>
            </w:r>
          </w:p>
        </w:tc>
        <w:tc>
          <w:tcPr>
            <w:tcW w:type="dxa" w:w="936"/>
            <w:vAlign w:val="top"/>
          </w:tcPr>
          <w:p>
            <w:pPr>
              <w:spacing w:after="0" w:before="0"/>
            </w:pPr>
            <w:r/>
            <w:r>
              <w:rPr>
                <w:b w:val="0"/>
                <w:sz w:val="14"/>
              </w:rPr>
              <w:t>POST</w:t>
            </w:r>
          </w:p>
        </w:tc>
        <w:tc>
          <w:tcPr>
            <w:tcW w:type="dxa" w:w="2880"/>
            <w:vAlign w:val="top"/>
          </w:tcPr>
          <w:p>
            <w:pPr>
              <w:spacing w:after="0" w:before="0"/>
            </w:pPr>
            <w:r/>
            <w:r>
              <w:rPr>
                <w:b w:val="0"/>
                <w:sz w:val="14"/>
              </w:rPr>
              <w:t>Recommend vendor set if user has not selected vendors.</w:t>
            </w:r>
          </w:p>
        </w:tc>
        <w:tc>
          <w:tcPr>
            <w:tcW w:type="dxa" w:w="2880"/>
            <w:vAlign w:val="top"/>
          </w:tcPr>
          <w:p>
            <w:pPr>
              <w:spacing w:after="0" w:before="0"/>
            </w:pPr>
            <w:r/>
            <w:r>
              <w:rPr>
                <w:b w:val="0"/>
                <w:sz w:val="14"/>
              </w:rPr>
              <w:t>Industry, use_case, ecosystem, deployment preference.</w:t>
            </w:r>
          </w:p>
        </w:tc>
        <w:tc>
          <w:tcPr>
            <w:tcW w:type="dxa" w:w="2448"/>
            <w:vAlign w:val="top"/>
          </w:tcPr>
          <w:p>
            <w:pPr>
              <w:spacing w:after="0" w:before="0"/>
            </w:pPr>
            <w:r/>
            <w:r>
              <w:rPr>
                <w:b w:val="0"/>
                <w:sz w:val="14"/>
              </w:rPr>
              <w:t>vendor_ids with rationale.</w:t>
            </w:r>
          </w:p>
        </w:tc>
      </w:tr>
      <w:tr>
        <w:tc>
          <w:tcPr>
            <w:tcW w:type="dxa" w:w="2448"/>
            <w:vAlign w:val="top"/>
          </w:tcPr>
          <w:p>
            <w:pPr>
              <w:spacing w:after="0" w:before="0"/>
            </w:pPr>
            <w:r/>
            <w:r>
              <w:rPr>
                <w:b w:val="0"/>
                <w:sz w:val="14"/>
              </w:rPr>
              <w:t>/api/assessment/score</w:t>
            </w:r>
          </w:p>
        </w:tc>
        <w:tc>
          <w:tcPr>
            <w:tcW w:type="dxa" w:w="936"/>
            <w:vAlign w:val="top"/>
          </w:tcPr>
          <w:p>
            <w:pPr>
              <w:spacing w:after="0" w:before="0"/>
            </w:pPr>
            <w:r/>
            <w:r>
              <w:rPr>
                <w:b w:val="0"/>
                <w:sz w:val="14"/>
              </w:rPr>
              <w:t>POST</w:t>
            </w:r>
          </w:p>
        </w:tc>
        <w:tc>
          <w:tcPr>
            <w:tcW w:type="dxa" w:w="2880"/>
            <w:vAlign w:val="top"/>
          </w:tcPr>
          <w:p>
            <w:pPr>
              <w:spacing w:after="0" w:before="0"/>
            </w:pPr>
            <w:r/>
            <w:r>
              <w:rPr>
                <w:b w:val="0"/>
                <w:sz w:val="14"/>
              </w:rPr>
              <w:t>Run scoring engine.</w:t>
            </w:r>
          </w:p>
        </w:tc>
        <w:tc>
          <w:tcPr>
            <w:tcW w:type="dxa" w:w="2880"/>
            <w:vAlign w:val="top"/>
          </w:tcPr>
          <w:p>
            <w:pPr>
              <w:spacing w:after="0" w:before="0"/>
            </w:pPr>
            <w:r/>
            <w:r>
              <w:rPr>
                <w:b w:val="0"/>
                <w:sz w:val="14"/>
              </w:rPr>
              <w:t>run_id, vendor_ids.</w:t>
            </w:r>
          </w:p>
        </w:tc>
        <w:tc>
          <w:tcPr>
            <w:tcW w:type="dxa" w:w="2448"/>
            <w:vAlign w:val="top"/>
          </w:tcPr>
          <w:p>
            <w:pPr>
              <w:spacing w:after="0" w:before="0"/>
            </w:pPr>
            <w:r/>
            <w:r>
              <w:rPr>
                <w:b w:val="0"/>
                <w:sz w:val="14"/>
              </w:rPr>
              <w:t>ranked_results, pillar_scores, confidence.</w:t>
            </w:r>
          </w:p>
        </w:tc>
      </w:tr>
      <w:tr>
        <w:tc>
          <w:tcPr>
            <w:tcW w:type="dxa" w:w="2448"/>
            <w:vAlign w:val="top"/>
          </w:tcPr>
          <w:p>
            <w:pPr>
              <w:spacing w:after="0" w:before="0"/>
            </w:pPr>
            <w:r/>
            <w:r>
              <w:rPr>
                <w:b w:val="0"/>
                <w:sz w:val="14"/>
              </w:rPr>
              <w:t>/api/assessment/{id}</w:t>
            </w:r>
          </w:p>
        </w:tc>
        <w:tc>
          <w:tcPr>
            <w:tcW w:type="dxa" w:w="936"/>
            <w:vAlign w:val="top"/>
          </w:tcPr>
          <w:p>
            <w:pPr>
              <w:spacing w:after="0" w:before="0"/>
            </w:pPr>
            <w:r/>
            <w:r>
              <w:rPr>
                <w:b w:val="0"/>
                <w:sz w:val="14"/>
              </w:rPr>
              <w:t>GET</w:t>
            </w:r>
          </w:p>
        </w:tc>
        <w:tc>
          <w:tcPr>
            <w:tcW w:type="dxa" w:w="2880"/>
            <w:vAlign w:val="top"/>
          </w:tcPr>
          <w:p>
            <w:pPr>
              <w:spacing w:after="0" w:before="0"/>
            </w:pPr>
            <w:r/>
            <w:r>
              <w:rPr>
                <w:b w:val="0"/>
                <w:sz w:val="14"/>
              </w:rPr>
              <w:t>Retrieve assessment result.</w:t>
            </w:r>
          </w:p>
        </w:tc>
        <w:tc>
          <w:tcPr>
            <w:tcW w:type="dxa" w:w="2880"/>
            <w:vAlign w:val="top"/>
          </w:tcPr>
          <w:p>
            <w:pPr>
              <w:spacing w:after="0" w:before="0"/>
            </w:pPr>
            <w:r/>
            <w:r>
              <w:rPr>
                <w:b w:val="0"/>
                <w:sz w:val="14"/>
              </w:rPr>
              <w:t>run_id.</w:t>
            </w:r>
          </w:p>
        </w:tc>
        <w:tc>
          <w:tcPr>
            <w:tcW w:type="dxa" w:w="2448"/>
            <w:vAlign w:val="top"/>
          </w:tcPr>
          <w:p>
            <w:pPr>
              <w:spacing w:after="0" w:before="0"/>
            </w:pPr>
            <w:r/>
            <w:r>
              <w:rPr>
                <w:b w:val="0"/>
                <w:sz w:val="14"/>
              </w:rPr>
              <w:t>Full result object.</w:t>
            </w:r>
          </w:p>
        </w:tc>
      </w:tr>
      <w:tr>
        <w:tc>
          <w:tcPr>
            <w:tcW w:type="dxa" w:w="2448"/>
            <w:vAlign w:val="top"/>
          </w:tcPr>
          <w:p>
            <w:pPr>
              <w:spacing w:after="0" w:before="0"/>
            </w:pPr>
            <w:r/>
            <w:r>
              <w:rPr>
                <w:b w:val="0"/>
                <w:sz w:val="14"/>
              </w:rPr>
              <w:t>/api/assessment/{id}/explain</w:t>
            </w:r>
          </w:p>
        </w:tc>
        <w:tc>
          <w:tcPr>
            <w:tcW w:type="dxa" w:w="936"/>
            <w:vAlign w:val="top"/>
          </w:tcPr>
          <w:p>
            <w:pPr>
              <w:spacing w:after="0" w:before="0"/>
            </w:pPr>
            <w:r/>
            <w:r>
              <w:rPr>
                <w:b w:val="0"/>
                <w:sz w:val="14"/>
              </w:rPr>
              <w:t>GET</w:t>
            </w:r>
          </w:p>
        </w:tc>
        <w:tc>
          <w:tcPr>
            <w:tcW w:type="dxa" w:w="2880"/>
            <w:vAlign w:val="top"/>
          </w:tcPr>
          <w:p>
            <w:pPr>
              <w:spacing w:after="0" w:before="0"/>
            </w:pPr>
            <w:r/>
            <w:r>
              <w:rPr>
                <w:b w:val="0"/>
                <w:sz w:val="14"/>
              </w:rPr>
              <w:t>Retrieve drill-down explanation.</w:t>
            </w:r>
          </w:p>
        </w:tc>
        <w:tc>
          <w:tcPr>
            <w:tcW w:type="dxa" w:w="2880"/>
            <w:vAlign w:val="top"/>
          </w:tcPr>
          <w:p>
            <w:pPr>
              <w:spacing w:after="0" w:before="0"/>
            </w:pPr>
            <w:r/>
            <w:r>
              <w:rPr>
                <w:b w:val="0"/>
                <w:sz w:val="14"/>
              </w:rPr>
              <w:t>run_id, vendor_id optional.</w:t>
            </w:r>
          </w:p>
        </w:tc>
        <w:tc>
          <w:tcPr>
            <w:tcW w:type="dxa" w:w="2448"/>
            <w:vAlign w:val="top"/>
          </w:tcPr>
          <w:p>
            <w:pPr>
              <w:spacing w:after="0" w:before="0"/>
            </w:pPr>
            <w:r/>
            <w:r>
              <w:rPr>
                <w:b w:val="0"/>
                <w:sz w:val="14"/>
              </w:rPr>
              <w:t>Evidence-linked explanation tree.</w:t>
            </w:r>
          </w:p>
        </w:tc>
      </w:tr>
      <w:tr>
        <w:tc>
          <w:tcPr>
            <w:tcW w:type="dxa" w:w="2448"/>
            <w:vAlign w:val="top"/>
          </w:tcPr>
          <w:p>
            <w:pPr>
              <w:spacing w:after="0" w:before="0"/>
            </w:pPr>
            <w:r/>
            <w:r>
              <w:rPr>
                <w:b w:val="0"/>
                <w:sz w:val="14"/>
              </w:rPr>
              <w:t>/api/assessment/{id}/export</w:t>
            </w:r>
          </w:p>
        </w:tc>
        <w:tc>
          <w:tcPr>
            <w:tcW w:type="dxa" w:w="936"/>
            <w:vAlign w:val="top"/>
          </w:tcPr>
          <w:p>
            <w:pPr>
              <w:spacing w:after="0" w:before="0"/>
            </w:pPr>
            <w:r/>
            <w:r>
              <w:rPr>
                <w:b w:val="0"/>
                <w:sz w:val="14"/>
              </w:rPr>
              <w:t>POST</w:t>
            </w:r>
          </w:p>
        </w:tc>
        <w:tc>
          <w:tcPr>
            <w:tcW w:type="dxa" w:w="2880"/>
            <w:vAlign w:val="top"/>
          </w:tcPr>
          <w:p>
            <w:pPr>
              <w:spacing w:after="0" w:before="0"/>
            </w:pPr>
            <w:r/>
            <w:r>
              <w:rPr>
                <w:b w:val="0"/>
                <w:sz w:val="14"/>
              </w:rPr>
              <w:t>Generate board/advanced export.</w:t>
            </w:r>
          </w:p>
        </w:tc>
        <w:tc>
          <w:tcPr>
            <w:tcW w:type="dxa" w:w="2880"/>
            <w:vAlign w:val="top"/>
          </w:tcPr>
          <w:p>
            <w:pPr>
              <w:spacing w:after="0" w:before="0"/>
            </w:pPr>
            <w:r/>
            <w:r>
              <w:rPr>
                <w:b w:val="0"/>
                <w:sz w:val="14"/>
              </w:rPr>
              <w:t>run_id, export_type.</w:t>
            </w:r>
          </w:p>
        </w:tc>
        <w:tc>
          <w:tcPr>
            <w:tcW w:type="dxa" w:w="2448"/>
            <w:vAlign w:val="top"/>
          </w:tcPr>
          <w:p>
            <w:pPr>
              <w:spacing w:after="0" w:before="0"/>
            </w:pPr>
            <w:r/>
            <w:r>
              <w:rPr>
                <w:b w:val="0"/>
                <w:sz w:val="14"/>
              </w:rPr>
              <w:t>DOCX/PDF/JSON package.</w:t>
            </w:r>
          </w:p>
        </w:tc>
      </w:tr>
      <w:tr>
        <w:tc>
          <w:tcPr>
            <w:tcW w:type="dxa" w:w="2448"/>
            <w:vAlign w:val="top"/>
          </w:tcPr>
          <w:p>
            <w:pPr>
              <w:spacing w:after="0" w:before="0"/>
            </w:pPr>
            <w:r/>
            <w:r>
              <w:rPr>
                <w:b w:val="0"/>
                <w:sz w:val="14"/>
              </w:rPr>
              <w:t>/api/vendor/{id}/evidence</w:t>
            </w:r>
          </w:p>
        </w:tc>
        <w:tc>
          <w:tcPr>
            <w:tcW w:type="dxa" w:w="936"/>
            <w:vAlign w:val="top"/>
          </w:tcPr>
          <w:p>
            <w:pPr>
              <w:spacing w:after="0" w:before="0"/>
            </w:pPr>
            <w:r/>
            <w:r>
              <w:rPr>
                <w:b w:val="0"/>
                <w:sz w:val="14"/>
              </w:rPr>
              <w:t>GET</w:t>
            </w:r>
          </w:p>
        </w:tc>
        <w:tc>
          <w:tcPr>
            <w:tcW w:type="dxa" w:w="2880"/>
            <w:vAlign w:val="top"/>
          </w:tcPr>
          <w:p>
            <w:pPr>
              <w:spacing w:after="0" w:before="0"/>
            </w:pPr>
            <w:r/>
            <w:r>
              <w:rPr>
                <w:b w:val="0"/>
                <w:sz w:val="14"/>
              </w:rPr>
              <w:t>Retrieve evidence items.</w:t>
            </w:r>
          </w:p>
        </w:tc>
        <w:tc>
          <w:tcPr>
            <w:tcW w:type="dxa" w:w="2880"/>
            <w:vAlign w:val="top"/>
          </w:tcPr>
          <w:p>
            <w:pPr>
              <w:spacing w:after="0" w:before="0"/>
            </w:pPr>
            <w:r/>
            <w:r>
              <w:rPr>
                <w:b w:val="0"/>
                <w:sz w:val="14"/>
              </w:rPr>
              <w:t>vendor_id, filters.</w:t>
            </w:r>
          </w:p>
        </w:tc>
        <w:tc>
          <w:tcPr>
            <w:tcW w:type="dxa" w:w="2448"/>
            <w:vAlign w:val="top"/>
          </w:tcPr>
          <w:p>
            <w:pPr>
              <w:spacing w:after="0" w:before="0"/>
            </w:pPr>
            <w:r/>
            <w:r>
              <w:rPr>
                <w:b w:val="0"/>
                <w:sz w:val="14"/>
              </w:rPr>
              <w:t>Evidence records.</w:t>
            </w:r>
          </w:p>
        </w:tc>
      </w:tr>
      <w:tr>
        <w:tc>
          <w:tcPr>
            <w:tcW w:type="dxa" w:w="2448"/>
            <w:vAlign w:val="top"/>
          </w:tcPr>
          <w:p>
            <w:pPr>
              <w:spacing w:after="0" w:before="0"/>
            </w:pPr>
            <w:r/>
            <w:r>
              <w:rPr>
                <w:b w:val="0"/>
                <w:sz w:val="14"/>
              </w:rPr>
              <w:t>/api/admin/vendor/refresh</w:t>
            </w:r>
          </w:p>
        </w:tc>
        <w:tc>
          <w:tcPr>
            <w:tcW w:type="dxa" w:w="936"/>
            <w:vAlign w:val="top"/>
          </w:tcPr>
          <w:p>
            <w:pPr>
              <w:spacing w:after="0" w:before="0"/>
            </w:pPr>
            <w:r/>
            <w:r>
              <w:rPr>
                <w:b w:val="0"/>
                <w:sz w:val="14"/>
              </w:rPr>
              <w:t>POST</w:t>
            </w:r>
          </w:p>
        </w:tc>
        <w:tc>
          <w:tcPr>
            <w:tcW w:type="dxa" w:w="2880"/>
            <w:vAlign w:val="top"/>
          </w:tcPr>
          <w:p>
            <w:pPr>
              <w:spacing w:after="0" w:before="0"/>
            </w:pPr>
            <w:r/>
            <w:r>
              <w:rPr>
                <w:b w:val="0"/>
                <w:sz w:val="14"/>
              </w:rPr>
              <w:t>Trigger public-data refresh.</w:t>
            </w:r>
          </w:p>
        </w:tc>
        <w:tc>
          <w:tcPr>
            <w:tcW w:type="dxa" w:w="2880"/>
            <w:vAlign w:val="top"/>
          </w:tcPr>
          <w:p>
            <w:pPr>
              <w:spacing w:after="0" w:before="0"/>
            </w:pPr>
            <w:r/>
            <w:r>
              <w:rPr>
                <w:b w:val="0"/>
                <w:sz w:val="14"/>
              </w:rPr>
              <w:t>vendor_id or category.</w:t>
            </w:r>
          </w:p>
        </w:tc>
        <w:tc>
          <w:tcPr>
            <w:tcW w:type="dxa" w:w="2448"/>
            <w:vAlign w:val="top"/>
          </w:tcPr>
          <w:p>
            <w:pPr>
              <w:spacing w:after="0" w:before="0"/>
            </w:pPr>
            <w:r/>
            <w:r>
              <w:rPr>
                <w:b w:val="0"/>
                <w:sz w:val="14"/>
              </w:rPr>
              <w:t>job_id.</w:t>
            </w:r>
          </w:p>
        </w:tc>
      </w:tr>
      <w:tr>
        <w:tc>
          <w:tcPr>
            <w:tcW w:type="dxa" w:w="2448"/>
            <w:vAlign w:val="top"/>
          </w:tcPr>
          <w:p>
            <w:pPr>
              <w:spacing w:after="0" w:before="0"/>
            </w:pPr>
            <w:r/>
            <w:r>
              <w:rPr>
                <w:b w:val="0"/>
                <w:sz w:val="14"/>
              </w:rPr>
              <w:t>/api/admin/evidence/review</w:t>
            </w:r>
          </w:p>
        </w:tc>
        <w:tc>
          <w:tcPr>
            <w:tcW w:type="dxa" w:w="936"/>
            <w:vAlign w:val="top"/>
          </w:tcPr>
          <w:p>
            <w:pPr>
              <w:spacing w:after="0" w:before="0"/>
            </w:pPr>
            <w:r/>
            <w:r>
              <w:rPr>
                <w:b w:val="0"/>
                <w:sz w:val="14"/>
              </w:rPr>
              <w:t>POST</w:t>
            </w:r>
          </w:p>
        </w:tc>
        <w:tc>
          <w:tcPr>
            <w:tcW w:type="dxa" w:w="2880"/>
            <w:vAlign w:val="top"/>
          </w:tcPr>
          <w:p>
            <w:pPr>
              <w:spacing w:after="0" w:before="0"/>
            </w:pPr>
            <w:r/>
            <w:r>
              <w:rPr>
                <w:b w:val="0"/>
                <w:sz w:val="14"/>
              </w:rPr>
              <w:t>Human review evidence grading.</w:t>
            </w:r>
          </w:p>
        </w:tc>
        <w:tc>
          <w:tcPr>
            <w:tcW w:type="dxa" w:w="2880"/>
            <w:vAlign w:val="top"/>
          </w:tcPr>
          <w:p>
            <w:pPr>
              <w:spacing w:after="0" w:before="0"/>
            </w:pPr>
            <w:r/>
            <w:r>
              <w:rPr>
                <w:b w:val="0"/>
                <w:sz w:val="14"/>
              </w:rPr>
              <w:t>evidence_id, reviewer_decision.</w:t>
            </w:r>
          </w:p>
        </w:tc>
        <w:tc>
          <w:tcPr>
            <w:tcW w:type="dxa" w:w="2448"/>
            <w:vAlign w:val="top"/>
          </w:tcPr>
          <w:p>
            <w:pPr>
              <w:spacing w:after="0" w:before="0"/>
            </w:pPr>
            <w:r/>
            <w:r>
              <w:rPr>
                <w:b w:val="0"/>
                <w:sz w:val="14"/>
              </w:rPr>
              <w:t>Updated evidence item.</w:t>
            </w:r>
          </w:p>
        </w:tc>
      </w:tr>
    </w:tbl>
    <w:p/>
    <w:p>
      <w:pPr>
        <w:pStyle w:val="Heading1"/>
      </w:pPr>
      <w:r>
        <w:t>18. Output Schema</w:t>
      </w:r>
    </w:p>
    <w:tbl>
      <w:tblPr>
        <w:tblStyle w:val="TableGrid"/>
        <w:tblW w:type="auto" w:w="0"/>
        <w:jc w:val="center"/>
        <w:tblLook w:firstColumn="1" w:firstRow="1" w:lastColumn="0" w:lastRow="0" w:noHBand="0" w:noVBand="1" w:val="04A0"/>
      </w:tblPr>
      <w:tblGrid>
        <w:gridCol w:w="5328"/>
        <w:gridCol w:w="5328"/>
      </w:tblGrid>
      <w:tr>
        <w:tc>
          <w:tcPr>
            <w:tcW w:type="dxa" w:w="3168"/>
            <w:shd w:fill="1F4E79"/>
            <w:vAlign w:val="center"/>
          </w:tcPr>
          <w:p>
            <w:pPr>
              <w:spacing w:after="0" w:before="0"/>
            </w:pPr>
            <w:r/>
            <w:r>
              <w:rPr>
                <w:b/>
                <w:color w:val="FFFFFF"/>
                <w:sz w:val="16"/>
              </w:rPr>
              <w:t>Field</w:t>
            </w:r>
          </w:p>
        </w:tc>
        <w:tc>
          <w:tcPr>
            <w:tcW w:type="dxa" w:w="7200"/>
            <w:shd w:fill="1F4E79"/>
            <w:vAlign w:val="center"/>
          </w:tcPr>
          <w:p>
            <w:pPr>
              <w:spacing w:after="0" w:before="0"/>
            </w:pPr>
            <w:r/>
            <w:r>
              <w:rPr>
                <w:b/>
                <w:color w:val="FFFFFF"/>
                <w:sz w:val="16"/>
              </w:rPr>
              <w:t>Description</w:t>
            </w:r>
          </w:p>
        </w:tc>
      </w:tr>
      <w:tr>
        <w:tc>
          <w:tcPr>
            <w:tcW w:type="dxa" w:w="3168"/>
            <w:vAlign w:val="top"/>
          </w:tcPr>
          <w:p>
            <w:pPr>
              <w:spacing w:after="0" w:before="0"/>
            </w:pPr>
            <w:r/>
            <w:r>
              <w:rPr>
                <w:b w:val="0"/>
                <w:sz w:val="16"/>
              </w:rPr>
              <w:t>run_id</w:t>
            </w:r>
          </w:p>
        </w:tc>
        <w:tc>
          <w:tcPr>
            <w:tcW w:type="dxa" w:w="7200"/>
            <w:vAlign w:val="top"/>
          </w:tcPr>
          <w:p>
            <w:pPr>
              <w:spacing w:after="0" w:before="0"/>
            </w:pPr>
            <w:r/>
            <w:r>
              <w:rPr>
                <w:b w:val="0"/>
                <w:sz w:val="16"/>
              </w:rPr>
              <w:t>Unique assessment identifier.</w:t>
            </w:r>
          </w:p>
        </w:tc>
      </w:tr>
      <w:tr>
        <w:tc>
          <w:tcPr>
            <w:tcW w:type="dxa" w:w="3168"/>
            <w:vAlign w:val="top"/>
          </w:tcPr>
          <w:p>
            <w:pPr>
              <w:spacing w:after="0" w:before="0"/>
            </w:pPr>
            <w:r/>
            <w:r>
              <w:rPr>
                <w:b w:val="0"/>
                <w:sz w:val="16"/>
              </w:rPr>
              <w:t>input_summary</w:t>
            </w:r>
          </w:p>
        </w:tc>
        <w:tc>
          <w:tcPr>
            <w:tcW w:type="dxa" w:w="7200"/>
            <w:vAlign w:val="top"/>
          </w:tcPr>
          <w:p>
            <w:pPr>
              <w:spacing w:after="0" w:before="0"/>
            </w:pPr>
            <w:r/>
            <w:r>
              <w:rPr>
                <w:b w:val="0"/>
                <w:sz w:val="16"/>
              </w:rPr>
              <w:t>Normalised user inputs and derived context.</w:t>
            </w:r>
          </w:p>
        </w:tc>
      </w:tr>
      <w:tr>
        <w:tc>
          <w:tcPr>
            <w:tcW w:type="dxa" w:w="3168"/>
            <w:vAlign w:val="top"/>
          </w:tcPr>
          <w:p>
            <w:pPr>
              <w:spacing w:after="0" w:before="0"/>
            </w:pPr>
            <w:r/>
            <w:r>
              <w:rPr>
                <w:b w:val="0"/>
                <w:sz w:val="16"/>
              </w:rPr>
              <w:t>ranking</w:t>
            </w:r>
          </w:p>
        </w:tc>
        <w:tc>
          <w:tcPr>
            <w:tcW w:type="dxa" w:w="7200"/>
            <w:vAlign w:val="top"/>
          </w:tcPr>
          <w:p>
            <w:pPr>
              <w:spacing w:after="0" w:before="0"/>
            </w:pPr>
            <w:r/>
            <w:r>
              <w:rPr>
                <w:b w:val="0"/>
                <w:sz w:val="16"/>
              </w:rPr>
              <w:t>Ordered list of vendor result objects.</w:t>
            </w:r>
          </w:p>
        </w:tc>
      </w:tr>
      <w:tr>
        <w:tc>
          <w:tcPr>
            <w:tcW w:type="dxa" w:w="3168"/>
            <w:vAlign w:val="top"/>
          </w:tcPr>
          <w:p>
            <w:pPr>
              <w:spacing w:after="0" w:before="0"/>
            </w:pPr>
            <w:r/>
            <w:r>
              <w:rPr>
                <w:b w:val="0"/>
                <w:sz w:val="16"/>
              </w:rPr>
              <w:t>vendor_result.final_score</w:t>
            </w:r>
          </w:p>
        </w:tc>
        <w:tc>
          <w:tcPr>
            <w:tcW w:type="dxa" w:w="7200"/>
            <w:vAlign w:val="top"/>
          </w:tcPr>
          <w:p>
            <w:pPr>
              <w:spacing w:after="0" w:before="0"/>
            </w:pPr>
            <w:r/>
            <w:r>
              <w:rPr>
                <w:b w:val="0"/>
                <w:sz w:val="16"/>
              </w:rPr>
              <w:t>0-100 final adjusted score.</w:t>
            </w:r>
          </w:p>
        </w:tc>
      </w:tr>
      <w:tr>
        <w:tc>
          <w:tcPr>
            <w:tcW w:type="dxa" w:w="3168"/>
            <w:vAlign w:val="top"/>
          </w:tcPr>
          <w:p>
            <w:pPr>
              <w:spacing w:after="0" w:before="0"/>
            </w:pPr>
            <w:r/>
            <w:r>
              <w:rPr>
                <w:b w:val="0"/>
                <w:sz w:val="16"/>
              </w:rPr>
              <w:t>vendor_result.confidence_score</w:t>
            </w:r>
          </w:p>
        </w:tc>
        <w:tc>
          <w:tcPr>
            <w:tcW w:type="dxa" w:w="7200"/>
            <w:vAlign w:val="top"/>
          </w:tcPr>
          <w:p>
            <w:pPr>
              <w:spacing w:after="0" w:before="0"/>
            </w:pPr>
            <w:r/>
            <w:r>
              <w:rPr>
                <w:b w:val="0"/>
                <w:sz w:val="16"/>
              </w:rPr>
              <w:t>0-100 evidence confidence score.</w:t>
            </w:r>
          </w:p>
        </w:tc>
      </w:tr>
      <w:tr>
        <w:tc>
          <w:tcPr>
            <w:tcW w:type="dxa" w:w="3168"/>
            <w:vAlign w:val="top"/>
          </w:tcPr>
          <w:p>
            <w:pPr>
              <w:spacing w:after="0" w:before="0"/>
            </w:pPr>
            <w:r/>
            <w:r>
              <w:rPr>
                <w:b w:val="0"/>
                <w:sz w:val="16"/>
              </w:rPr>
              <w:t>vendor_result.recommendation_band</w:t>
            </w:r>
          </w:p>
        </w:tc>
        <w:tc>
          <w:tcPr>
            <w:tcW w:type="dxa" w:w="7200"/>
            <w:vAlign w:val="top"/>
          </w:tcPr>
          <w:p>
            <w:pPr>
              <w:spacing w:after="0" w:before="0"/>
            </w:pPr>
            <w:r/>
            <w:r>
              <w:rPr>
                <w:b w:val="0"/>
                <w:sz w:val="16"/>
              </w:rPr>
              <w:t>Reject, Pilot Only, Controlled Deployment, Enterprise-Scale Candidate.</w:t>
            </w:r>
          </w:p>
        </w:tc>
      </w:tr>
      <w:tr>
        <w:tc>
          <w:tcPr>
            <w:tcW w:type="dxa" w:w="3168"/>
            <w:vAlign w:val="top"/>
          </w:tcPr>
          <w:p>
            <w:pPr>
              <w:spacing w:after="0" w:before="0"/>
            </w:pPr>
            <w:r/>
            <w:r>
              <w:rPr>
                <w:b w:val="0"/>
                <w:sz w:val="16"/>
              </w:rPr>
              <w:t>vendor_result.pillar_scores</w:t>
            </w:r>
          </w:p>
        </w:tc>
        <w:tc>
          <w:tcPr>
            <w:tcW w:type="dxa" w:w="7200"/>
            <w:vAlign w:val="top"/>
          </w:tcPr>
          <w:p>
            <w:pPr>
              <w:spacing w:after="0" w:before="0"/>
            </w:pPr>
            <w:r/>
            <w:r>
              <w:rPr>
                <w:b w:val="0"/>
                <w:sz w:val="16"/>
              </w:rPr>
              <w:t>Business Fit, Enterprise Control, Reliability &amp; Safety, Integration &amp; Operations, Vendor Resilience, Market Strength.</w:t>
            </w:r>
          </w:p>
        </w:tc>
      </w:tr>
      <w:tr>
        <w:tc>
          <w:tcPr>
            <w:tcW w:type="dxa" w:w="3168"/>
            <w:vAlign w:val="top"/>
          </w:tcPr>
          <w:p>
            <w:pPr>
              <w:spacing w:after="0" w:before="0"/>
            </w:pPr>
            <w:r/>
            <w:r>
              <w:rPr>
                <w:b w:val="0"/>
                <w:sz w:val="16"/>
              </w:rPr>
              <w:t>vendor_result.top_strengths</w:t>
            </w:r>
          </w:p>
        </w:tc>
        <w:tc>
          <w:tcPr>
            <w:tcW w:type="dxa" w:w="7200"/>
            <w:vAlign w:val="top"/>
          </w:tcPr>
          <w:p>
            <w:pPr>
              <w:spacing w:after="0" w:before="0"/>
            </w:pPr>
            <w:r/>
            <w:r>
              <w:rPr>
                <w:b w:val="0"/>
                <w:sz w:val="16"/>
              </w:rPr>
              <w:t>3-5 user-facing strengths.</w:t>
            </w:r>
          </w:p>
        </w:tc>
      </w:tr>
      <w:tr>
        <w:tc>
          <w:tcPr>
            <w:tcW w:type="dxa" w:w="3168"/>
            <w:vAlign w:val="top"/>
          </w:tcPr>
          <w:p>
            <w:pPr>
              <w:spacing w:after="0" w:before="0"/>
            </w:pPr>
            <w:r/>
            <w:r>
              <w:rPr>
                <w:b w:val="0"/>
                <w:sz w:val="16"/>
              </w:rPr>
              <w:t>vendor_result.top_risks</w:t>
            </w:r>
          </w:p>
        </w:tc>
        <w:tc>
          <w:tcPr>
            <w:tcW w:type="dxa" w:w="7200"/>
            <w:vAlign w:val="top"/>
          </w:tcPr>
          <w:p>
            <w:pPr>
              <w:spacing w:after="0" w:before="0"/>
            </w:pPr>
            <w:r/>
            <w:r>
              <w:rPr>
                <w:b w:val="0"/>
                <w:sz w:val="16"/>
              </w:rPr>
              <w:t>3-5 user-facing risks.</w:t>
            </w:r>
          </w:p>
        </w:tc>
      </w:tr>
      <w:tr>
        <w:tc>
          <w:tcPr>
            <w:tcW w:type="dxa" w:w="3168"/>
            <w:vAlign w:val="top"/>
          </w:tcPr>
          <w:p>
            <w:pPr>
              <w:spacing w:after="0" w:before="0"/>
            </w:pPr>
            <w:r/>
            <w:r>
              <w:rPr>
                <w:b w:val="0"/>
                <w:sz w:val="16"/>
              </w:rPr>
              <w:t>vendor_result.missing_evidence</w:t>
            </w:r>
          </w:p>
        </w:tc>
        <w:tc>
          <w:tcPr>
            <w:tcW w:type="dxa" w:w="7200"/>
            <w:vAlign w:val="top"/>
          </w:tcPr>
          <w:p>
            <w:pPr>
              <w:spacing w:after="0" w:before="0"/>
            </w:pPr>
            <w:r/>
            <w:r>
              <w:rPr>
                <w:b w:val="0"/>
                <w:sz w:val="16"/>
              </w:rPr>
              <w:t>Evidence gaps ranked by importance.</w:t>
            </w:r>
          </w:p>
        </w:tc>
      </w:tr>
      <w:tr>
        <w:tc>
          <w:tcPr>
            <w:tcW w:type="dxa" w:w="3168"/>
            <w:vAlign w:val="top"/>
          </w:tcPr>
          <w:p>
            <w:pPr>
              <w:spacing w:after="0" w:before="0"/>
            </w:pPr>
            <w:r/>
            <w:r>
              <w:rPr>
                <w:b w:val="0"/>
                <w:sz w:val="16"/>
              </w:rPr>
              <w:t>vendor_result.validation_steps</w:t>
            </w:r>
          </w:p>
        </w:tc>
        <w:tc>
          <w:tcPr>
            <w:tcW w:type="dxa" w:w="7200"/>
            <w:vAlign w:val="top"/>
          </w:tcPr>
          <w:p>
            <w:pPr>
              <w:spacing w:after="0" w:before="0"/>
            </w:pPr>
            <w:r/>
            <w:r>
              <w:rPr>
                <w:b w:val="0"/>
                <w:sz w:val="16"/>
              </w:rPr>
              <w:t>Recommended next validation steps.</w:t>
            </w:r>
          </w:p>
        </w:tc>
      </w:tr>
      <w:tr>
        <w:tc>
          <w:tcPr>
            <w:tcW w:type="dxa" w:w="3168"/>
            <w:vAlign w:val="top"/>
          </w:tcPr>
          <w:p>
            <w:pPr>
              <w:spacing w:after="0" w:before="0"/>
            </w:pPr>
            <w:r/>
            <w:r>
              <w:rPr>
                <w:b w:val="0"/>
                <w:sz w:val="16"/>
              </w:rPr>
              <w:t>vendor_result.industry_rationale</w:t>
            </w:r>
          </w:p>
        </w:tc>
        <w:tc>
          <w:tcPr>
            <w:tcW w:type="dxa" w:w="7200"/>
            <w:vAlign w:val="top"/>
          </w:tcPr>
          <w:p>
            <w:pPr>
              <w:spacing w:after="0" w:before="0"/>
            </w:pPr>
            <w:r/>
            <w:r>
              <w:rPr>
                <w:b w:val="0"/>
                <w:sz w:val="16"/>
              </w:rPr>
              <w:t>Explanation of how industry changed ranking.</w:t>
            </w:r>
          </w:p>
        </w:tc>
      </w:tr>
      <w:tr>
        <w:tc>
          <w:tcPr>
            <w:tcW w:type="dxa" w:w="3168"/>
            <w:vAlign w:val="top"/>
          </w:tcPr>
          <w:p>
            <w:pPr>
              <w:spacing w:after="0" w:before="0"/>
            </w:pPr>
            <w:r/>
            <w:r>
              <w:rPr>
                <w:b w:val="0"/>
                <w:sz w:val="16"/>
              </w:rPr>
              <w:t>vendor_result.evidence_links</w:t>
            </w:r>
          </w:p>
        </w:tc>
        <w:tc>
          <w:tcPr>
            <w:tcW w:type="dxa" w:w="7200"/>
            <w:vAlign w:val="top"/>
          </w:tcPr>
          <w:p>
            <w:pPr>
              <w:spacing w:after="0" w:before="0"/>
            </w:pPr>
            <w:r/>
            <w:r>
              <w:rPr>
                <w:b w:val="0"/>
                <w:sz w:val="16"/>
              </w:rPr>
              <w:t>Evidence IDs used in scoring.</w:t>
            </w:r>
          </w:p>
        </w:tc>
      </w:tr>
      <w:tr>
        <w:tc>
          <w:tcPr>
            <w:tcW w:type="dxa" w:w="3168"/>
            <w:vAlign w:val="top"/>
          </w:tcPr>
          <w:p>
            <w:pPr>
              <w:spacing w:after="0" w:before="0"/>
            </w:pPr>
            <w:r/>
            <w:r>
              <w:rPr>
                <w:b w:val="0"/>
                <w:sz w:val="16"/>
              </w:rPr>
              <w:t>comparison_summary</w:t>
            </w:r>
          </w:p>
        </w:tc>
        <w:tc>
          <w:tcPr>
            <w:tcW w:type="dxa" w:w="7200"/>
            <w:vAlign w:val="top"/>
          </w:tcPr>
          <w:p>
            <w:pPr>
              <w:spacing w:after="0" w:before="0"/>
            </w:pPr>
            <w:r/>
            <w:r>
              <w:rPr>
                <w:b w:val="0"/>
                <w:sz w:val="16"/>
              </w:rPr>
              <w:t>Cross-vendor insight: why first outranks second.</w:t>
            </w:r>
          </w:p>
        </w:tc>
      </w:tr>
    </w:tbl>
    <w:p/>
    <w:p>
      <w:pPr>
        <w:pStyle w:val="Heading1"/>
      </w:pPr>
      <w:r>
        <w:t>19. UX / Screen Specification</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1F4E79"/>
            <w:vAlign w:val="center"/>
          </w:tcPr>
          <w:p>
            <w:pPr>
              <w:spacing w:after="0" w:before="0"/>
            </w:pPr>
            <w:r/>
            <w:r>
              <w:rPr>
                <w:b/>
                <w:color w:val="FFFFFF"/>
                <w:sz w:val="14"/>
              </w:rPr>
              <w:t>Screen</w:t>
            </w:r>
          </w:p>
        </w:tc>
        <w:tc>
          <w:tcPr>
            <w:tcW w:type="dxa" w:w="3312"/>
            <w:shd w:fill="1F4E79"/>
            <w:vAlign w:val="center"/>
          </w:tcPr>
          <w:p>
            <w:pPr>
              <w:spacing w:after="0" w:before="0"/>
            </w:pPr>
            <w:r/>
            <w:r>
              <w:rPr>
                <w:b/>
                <w:color w:val="FFFFFF"/>
                <w:sz w:val="14"/>
              </w:rPr>
              <w:t>Purpose</w:t>
            </w:r>
          </w:p>
        </w:tc>
        <w:tc>
          <w:tcPr>
            <w:tcW w:type="dxa" w:w="4752"/>
            <w:shd w:fill="1F4E79"/>
            <w:vAlign w:val="center"/>
          </w:tcPr>
          <w:p>
            <w:pPr>
              <w:spacing w:after="0" w:before="0"/>
            </w:pPr>
            <w:r/>
            <w:r>
              <w:rPr>
                <w:b/>
                <w:color w:val="FFFFFF"/>
                <w:sz w:val="14"/>
              </w:rPr>
              <w:t>Required elements</w:t>
            </w:r>
          </w:p>
        </w:tc>
      </w:tr>
      <w:tr>
        <w:tc>
          <w:tcPr>
            <w:tcW w:type="dxa" w:w="2448"/>
            <w:vAlign w:val="top"/>
          </w:tcPr>
          <w:p>
            <w:pPr>
              <w:spacing w:after="0" w:before="0"/>
            </w:pPr>
            <w:r/>
            <w:r>
              <w:rPr>
                <w:b w:val="0"/>
                <w:sz w:val="14"/>
              </w:rPr>
              <w:t>Landing / value proposition</w:t>
            </w:r>
          </w:p>
        </w:tc>
        <w:tc>
          <w:tcPr>
            <w:tcW w:type="dxa" w:w="3312"/>
            <w:vAlign w:val="top"/>
          </w:tcPr>
          <w:p>
            <w:pPr>
              <w:spacing w:after="0" w:before="0"/>
            </w:pPr>
            <w:r/>
            <w:r>
              <w:rPr>
                <w:b w:val="0"/>
                <w:sz w:val="14"/>
              </w:rPr>
              <w:t>Explain benefit and start flow.</w:t>
            </w:r>
          </w:p>
        </w:tc>
        <w:tc>
          <w:tcPr>
            <w:tcW w:type="dxa" w:w="4752"/>
            <w:vAlign w:val="top"/>
          </w:tcPr>
          <w:p>
            <w:pPr>
              <w:spacing w:after="0" w:before="0"/>
            </w:pPr>
            <w:r/>
            <w:r>
              <w:rPr>
                <w:b w:val="0"/>
                <w:sz w:val="14"/>
              </w:rPr>
              <w:t>One-line promise, example output, CTA, trust note.</w:t>
            </w:r>
          </w:p>
        </w:tc>
      </w:tr>
      <w:tr>
        <w:tc>
          <w:tcPr>
            <w:tcW w:type="dxa" w:w="2448"/>
            <w:vAlign w:val="top"/>
          </w:tcPr>
          <w:p>
            <w:pPr>
              <w:spacing w:after="0" w:before="0"/>
            </w:pPr>
            <w:r/>
            <w:r>
              <w:rPr>
                <w:b w:val="0"/>
                <w:sz w:val="14"/>
              </w:rPr>
              <w:t>Input step 1: context</w:t>
            </w:r>
          </w:p>
        </w:tc>
        <w:tc>
          <w:tcPr>
            <w:tcW w:type="dxa" w:w="3312"/>
            <w:vAlign w:val="top"/>
          </w:tcPr>
          <w:p>
            <w:pPr>
              <w:spacing w:after="0" w:before="0"/>
            </w:pPr>
            <w:r/>
            <w:r>
              <w:rPr>
                <w:b w:val="0"/>
                <w:sz w:val="14"/>
              </w:rPr>
              <w:t>Capture industry, size, region, maturity.</w:t>
            </w:r>
          </w:p>
        </w:tc>
        <w:tc>
          <w:tcPr>
            <w:tcW w:type="dxa" w:w="4752"/>
            <w:vAlign w:val="top"/>
          </w:tcPr>
          <w:p>
            <w:pPr>
              <w:spacing w:after="0" w:before="0"/>
            </w:pPr>
            <w:r/>
            <w:r>
              <w:rPr>
                <w:b w:val="0"/>
                <w:sz w:val="14"/>
              </w:rPr>
              <w:t>Dropdowns, progress indicator, help text.</w:t>
            </w:r>
          </w:p>
        </w:tc>
      </w:tr>
      <w:tr>
        <w:tc>
          <w:tcPr>
            <w:tcW w:type="dxa" w:w="2448"/>
            <w:vAlign w:val="top"/>
          </w:tcPr>
          <w:p>
            <w:pPr>
              <w:spacing w:after="0" w:before="0"/>
            </w:pPr>
            <w:r/>
            <w:r>
              <w:rPr>
                <w:b w:val="0"/>
                <w:sz w:val="14"/>
              </w:rPr>
              <w:t>Input step 2: use case</w:t>
            </w:r>
          </w:p>
        </w:tc>
        <w:tc>
          <w:tcPr>
            <w:tcW w:type="dxa" w:w="3312"/>
            <w:vAlign w:val="top"/>
          </w:tcPr>
          <w:p>
            <w:pPr>
              <w:spacing w:after="0" w:before="0"/>
            </w:pPr>
            <w:r/>
            <w:r>
              <w:rPr>
                <w:b w:val="0"/>
                <w:sz w:val="14"/>
              </w:rPr>
              <w:t>Capture objective/use case/risk tier.</w:t>
            </w:r>
          </w:p>
        </w:tc>
        <w:tc>
          <w:tcPr>
            <w:tcW w:type="dxa" w:w="4752"/>
            <w:vAlign w:val="top"/>
          </w:tcPr>
          <w:p>
            <w:pPr>
              <w:spacing w:after="0" w:before="0"/>
            </w:pPr>
            <w:r/>
            <w:r>
              <w:rPr>
                <w:b w:val="0"/>
                <w:sz w:val="14"/>
              </w:rPr>
              <w:t>Use-case multi-select, objective selection, examples.</w:t>
            </w:r>
          </w:p>
        </w:tc>
      </w:tr>
      <w:tr>
        <w:tc>
          <w:tcPr>
            <w:tcW w:type="dxa" w:w="2448"/>
            <w:vAlign w:val="top"/>
          </w:tcPr>
          <w:p>
            <w:pPr>
              <w:spacing w:after="0" w:before="0"/>
            </w:pPr>
            <w:r/>
            <w:r>
              <w:rPr>
                <w:b w:val="0"/>
                <w:sz w:val="14"/>
              </w:rPr>
              <w:t>Input step 3: constraints</w:t>
            </w:r>
          </w:p>
        </w:tc>
        <w:tc>
          <w:tcPr>
            <w:tcW w:type="dxa" w:w="3312"/>
            <w:vAlign w:val="top"/>
          </w:tcPr>
          <w:p>
            <w:pPr>
              <w:spacing w:after="0" w:before="0"/>
            </w:pPr>
            <w:r/>
            <w:r>
              <w:rPr>
                <w:b w:val="0"/>
                <w:sz w:val="14"/>
              </w:rPr>
              <w:t>Capture sensitivity, risk, autonomy, ecosystem, budget.</w:t>
            </w:r>
          </w:p>
        </w:tc>
        <w:tc>
          <w:tcPr>
            <w:tcW w:type="dxa" w:w="4752"/>
            <w:vAlign w:val="top"/>
          </w:tcPr>
          <w:p>
            <w:pPr>
              <w:spacing w:after="0" w:before="0"/>
            </w:pPr>
            <w:r/>
            <w:r>
              <w:rPr>
                <w:b w:val="0"/>
                <w:sz w:val="14"/>
              </w:rPr>
              <w:t>Sliders/dropdowns, tooltips.</w:t>
            </w:r>
          </w:p>
        </w:tc>
      </w:tr>
      <w:tr>
        <w:tc>
          <w:tcPr>
            <w:tcW w:type="dxa" w:w="2448"/>
            <w:vAlign w:val="top"/>
          </w:tcPr>
          <w:p>
            <w:pPr>
              <w:spacing w:after="0" w:before="0"/>
            </w:pPr>
            <w:r/>
            <w:r>
              <w:rPr>
                <w:b w:val="0"/>
                <w:sz w:val="14"/>
              </w:rPr>
              <w:t>Vendor selection</w:t>
            </w:r>
          </w:p>
        </w:tc>
        <w:tc>
          <w:tcPr>
            <w:tcW w:type="dxa" w:w="3312"/>
            <w:vAlign w:val="top"/>
          </w:tcPr>
          <w:p>
            <w:pPr>
              <w:spacing w:after="0" w:before="0"/>
            </w:pPr>
            <w:r/>
            <w:r>
              <w:rPr>
                <w:b w:val="0"/>
                <w:sz w:val="14"/>
              </w:rPr>
              <w:t>Choose vendor set.</w:t>
            </w:r>
          </w:p>
        </w:tc>
        <w:tc>
          <w:tcPr>
            <w:tcW w:type="dxa" w:w="4752"/>
            <w:vAlign w:val="top"/>
          </w:tcPr>
          <w:p>
            <w:pPr>
              <w:spacing w:after="0" w:before="0"/>
            </w:pPr>
            <w:r/>
            <w:r>
              <w:rPr>
                <w:b w:val="0"/>
                <w:sz w:val="14"/>
              </w:rPr>
              <w:t>Selected vendors, recommended shortlist option, all vendors option.</w:t>
            </w:r>
          </w:p>
        </w:tc>
      </w:tr>
      <w:tr>
        <w:tc>
          <w:tcPr>
            <w:tcW w:type="dxa" w:w="2448"/>
            <w:vAlign w:val="top"/>
          </w:tcPr>
          <w:p>
            <w:pPr>
              <w:spacing w:after="0" w:before="0"/>
            </w:pPr>
            <w:r/>
            <w:r>
              <w:rPr>
                <w:b w:val="0"/>
                <w:sz w:val="14"/>
              </w:rPr>
              <w:t>Loading / analysis state</w:t>
            </w:r>
          </w:p>
        </w:tc>
        <w:tc>
          <w:tcPr>
            <w:tcW w:type="dxa" w:w="3312"/>
            <w:vAlign w:val="top"/>
          </w:tcPr>
          <w:p>
            <w:pPr>
              <w:spacing w:after="0" w:before="0"/>
            </w:pPr>
            <w:r/>
            <w:r>
              <w:rPr>
                <w:b w:val="0"/>
                <w:sz w:val="14"/>
              </w:rPr>
              <w:t>Show backend process without pretending certainty.</w:t>
            </w:r>
          </w:p>
        </w:tc>
        <w:tc>
          <w:tcPr>
            <w:tcW w:type="dxa" w:w="4752"/>
            <w:vAlign w:val="top"/>
          </w:tcPr>
          <w:p>
            <w:pPr>
              <w:spacing w:after="0" w:before="0"/>
            </w:pPr>
            <w:r/>
            <w:r>
              <w:rPr>
                <w:b w:val="0"/>
                <w:sz w:val="14"/>
              </w:rPr>
              <w:t>Progress stages: context weighting, evidence retrieval, scoring, ranking.</w:t>
            </w:r>
          </w:p>
        </w:tc>
      </w:tr>
      <w:tr>
        <w:tc>
          <w:tcPr>
            <w:tcW w:type="dxa" w:w="2448"/>
            <w:vAlign w:val="top"/>
          </w:tcPr>
          <w:p>
            <w:pPr>
              <w:spacing w:after="0" w:before="0"/>
            </w:pPr>
            <w:r/>
            <w:r>
              <w:rPr>
                <w:b w:val="0"/>
                <w:sz w:val="14"/>
              </w:rPr>
              <w:t>Results overview</w:t>
            </w:r>
          </w:p>
        </w:tc>
        <w:tc>
          <w:tcPr>
            <w:tcW w:type="dxa" w:w="3312"/>
            <w:vAlign w:val="top"/>
          </w:tcPr>
          <w:p>
            <w:pPr>
              <w:spacing w:after="0" w:before="0"/>
            </w:pPr>
            <w:r/>
            <w:r>
              <w:rPr>
                <w:b w:val="0"/>
                <w:sz w:val="14"/>
              </w:rPr>
              <w:t>Show ranked list.</w:t>
            </w:r>
          </w:p>
        </w:tc>
        <w:tc>
          <w:tcPr>
            <w:tcW w:type="dxa" w:w="4752"/>
            <w:vAlign w:val="top"/>
          </w:tcPr>
          <w:p>
            <w:pPr>
              <w:spacing w:after="0" w:before="0"/>
            </w:pPr>
            <w:r/>
            <w:r>
              <w:rPr>
                <w:b w:val="0"/>
                <w:sz w:val="14"/>
              </w:rPr>
              <w:t>Rank, score, confidence, recommendation band, top reason.</w:t>
            </w:r>
          </w:p>
        </w:tc>
      </w:tr>
      <w:tr>
        <w:tc>
          <w:tcPr>
            <w:tcW w:type="dxa" w:w="2448"/>
            <w:vAlign w:val="top"/>
          </w:tcPr>
          <w:p>
            <w:pPr>
              <w:spacing w:after="0" w:before="0"/>
            </w:pPr>
            <w:r/>
            <w:r>
              <w:rPr>
                <w:b w:val="0"/>
                <w:sz w:val="14"/>
              </w:rPr>
              <w:t>Vendor detail</w:t>
            </w:r>
          </w:p>
        </w:tc>
        <w:tc>
          <w:tcPr>
            <w:tcW w:type="dxa" w:w="3312"/>
            <w:vAlign w:val="top"/>
          </w:tcPr>
          <w:p>
            <w:pPr>
              <w:spacing w:after="0" w:before="0"/>
            </w:pPr>
            <w:r/>
            <w:r>
              <w:rPr>
                <w:b w:val="0"/>
                <w:sz w:val="14"/>
              </w:rPr>
              <w:t>Explain vendor score.</w:t>
            </w:r>
          </w:p>
        </w:tc>
        <w:tc>
          <w:tcPr>
            <w:tcW w:type="dxa" w:w="4752"/>
            <w:vAlign w:val="top"/>
          </w:tcPr>
          <w:p>
            <w:pPr>
              <w:spacing w:after="0" w:before="0"/>
            </w:pPr>
            <w:r/>
            <w:r>
              <w:rPr>
                <w:b w:val="0"/>
                <w:sz w:val="14"/>
              </w:rPr>
              <w:t>Six pillar chart/table, strengths, risks, missing evidence, validation steps.</w:t>
            </w:r>
          </w:p>
        </w:tc>
      </w:tr>
      <w:tr>
        <w:tc>
          <w:tcPr>
            <w:tcW w:type="dxa" w:w="2448"/>
            <w:vAlign w:val="top"/>
          </w:tcPr>
          <w:p>
            <w:pPr>
              <w:spacing w:after="0" w:before="0"/>
            </w:pPr>
            <w:r/>
            <w:r>
              <w:rPr>
                <w:b w:val="0"/>
                <w:sz w:val="14"/>
              </w:rPr>
              <w:t>Advanced drill-down</w:t>
            </w:r>
          </w:p>
        </w:tc>
        <w:tc>
          <w:tcPr>
            <w:tcW w:type="dxa" w:w="3312"/>
            <w:vAlign w:val="top"/>
          </w:tcPr>
          <w:p>
            <w:pPr>
              <w:spacing w:after="0" w:before="0"/>
            </w:pPr>
            <w:r/>
            <w:r>
              <w:rPr>
                <w:b w:val="0"/>
                <w:sz w:val="14"/>
              </w:rPr>
              <w:t>Expose backend granularity.</w:t>
            </w:r>
          </w:p>
        </w:tc>
        <w:tc>
          <w:tcPr>
            <w:tcW w:type="dxa" w:w="4752"/>
            <w:vAlign w:val="top"/>
          </w:tcPr>
          <w:p>
            <w:pPr>
              <w:spacing w:after="0" w:before="0"/>
            </w:pPr>
            <w:r/>
            <w:r>
              <w:rPr>
                <w:b w:val="0"/>
                <w:sz w:val="14"/>
              </w:rPr>
              <w:t>Subfactors, evidence, source dates, confidence, penalties.</w:t>
            </w:r>
          </w:p>
        </w:tc>
      </w:tr>
      <w:tr>
        <w:tc>
          <w:tcPr>
            <w:tcW w:type="dxa" w:w="2448"/>
            <w:vAlign w:val="top"/>
          </w:tcPr>
          <w:p>
            <w:pPr>
              <w:spacing w:after="0" w:before="0"/>
            </w:pPr>
            <w:r/>
            <w:r>
              <w:rPr>
                <w:b w:val="0"/>
                <w:sz w:val="14"/>
              </w:rPr>
              <w:t>Comparison view</w:t>
            </w:r>
          </w:p>
        </w:tc>
        <w:tc>
          <w:tcPr>
            <w:tcW w:type="dxa" w:w="3312"/>
            <w:vAlign w:val="top"/>
          </w:tcPr>
          <w:p>
            <w:pPr>
              <w:spacing w:after="0" w:before="0"/>
            </w:pPr>
            <w:r/>
            <w:r>
              <w:rPr>
                <w:b w:val="0"/>
                <w:sz w:val="14"/>
              </w:rPr>
              <w:t>Side-by-side vendor analysis.</w:t>
            </w:r>
          </w:p>
        </w:tc>
        <w:tc>
          <w:tcPr>
            <w:tcW w:type="dxa" w:w="4752"/>
            <w:vAlign w:val="top"/>
          </w:tcPr>
          <w:p>
            <w:pPr>
              <w:spacing w:after="0" w:before="0"/>
            </w:pPr>
            <w:r/>
            <w:r>
              <w:rPr>
                <w:b w:val="0"/>
                <w:sz w:val="14"/>
              </w:rPr>
              <w:t>Pillar comparison, risk comparison, evidence confidence.</w:t>
            </w:r>
          </w:p>
        </w:tc>
      </w:tr>
      <w:tr>
        <w:tc>
          <w:tcPr>
            <w:tcW w:type="dxa" w:w="2448"/>
            <w:vAlign w:val="top"/>
          </w:tcPr>
          <w:p>
            <w:pPr>
              <w:spacing w:after="0" w:before="0"/>
            </w:pPr>
            <w:r/>
            <w:r>
              <w:rPr>
                <w:b w:val="0"/>
                <w:sz w:val="14"/>
              </w:rPr>
              <w:t>Export view</w:t>
            </w:r>
          </w:p>
        </w:tc>
        <w:tc>
          <w:tcPr>
            <w:tcW w:type="dxa" w:w="3312"/>
            <w:vAlign w:val="top"/>
          </w:tcPr>
          <w:p>
            <w:pPr>
              <w:spacing w:after="0" w:before="0"/>
            </w:pPr>
            <w:r/>
            <w:r>
              <w:rPr>
                <w:b w:val="0"/>
                <w:sz w:val="14"/>
              </w:rPr>
              <w:t>Generate board pack or detailed report.</w:t>
            </w:r>
          </w:p>
        </w:tc>
        <w:tc>
          <w:tcPr>
            <w:tcW w:type="dxa" w:w="4752"/>
            <w:vAlign w:val="top"/>
          </w:tcPr>
          <w:p>
            <w:pPr>
              <w:spacing w:after="0" w:before="0"/>
            </w:pPr>
            <w:r/>
            <w:r>
              <w:rPr>
                <w:b w:val="0"/>
                <w:sz w:val="14"/>
              </w:rPr>
              <w:t>Export options: summary, advanced, compliance pack, JSON.</w:t>
            </w:r>
          </w:p>
        </w:tc>
      </w:tr>
    </w:tbl>
    <w:p/>
    <w:p>
      <w:pPr>
        <w:pStyle w:val="Heading1"/>
      </w:pPr>
      <w:r>
        <w:t>20. Backend-Retained Elements Previously Demoted from UX</w:t>
      </w:r>
    </w:p>
    <w:p>
      <w:r>
        <w:t>The following elements must not be removed. They should be hidden from the default user experience but fully retained in backend scoring, advanced review, or export mode.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592"/>
            <w:shd w:fill="1F4E79"/>
            <w:vAlign w:val="center"/>
          </w:tcPr>
          <w:p>
            <w:pPr>
              <w:spacing w:after="0" w:before="0"/>
            </w:pPr>
            <w:r/>
            <w:r>
              <w:rPr>
                <w:b/>
                <w:color w:val="FFFFFF"/>
                <w:sz w:val="14"/>
              </w:rPr>
              <w:t>Element</w:t>
            </w:r>
          </w:p>
        </w:tc>
        <w:tc>
          <w:tcPr>
            <w:tcW w:type="dxa" w:w="2592"/>
            <w:shd w:fill="1F4E79"/>
            <w:vAlign w:val="center"/>
          </w:tcPr>
          <w:p>
            <w:pPr>
              <w:spacing w:after="0" w:before="0"/>
            </w:pPr>
            <w:r/>
            <w:r>
              <w:rPr>
                <w:b/>
                <w:color w:val="FFFFFF"/>
                <w:sz w:val="14"/>
              </w:rPr>
              <w:t>User-facing treatment</w:t>
            </w:r>
          </w:p>
        </w:tc>
        <w:tc>
          <w:tcPr>
            <w:tcW w:type="dxa" w:w="2880"/>
            <w:shd w:fill="1F4E79"/>
            <w:vAlign w:val="center"/>
          </w:tcPr>
          <w:p>
            <w:pPr>
              <w:spacing w:after="0" w:before="0"/>
            </w:pPr>
            <w:r/>
            <w:r>
              <w:rPr>
                <w:b/>
                <w:color w:val="FFFFFF"/>
                <w:sz w:val="14"/>
              </w:rPr>
              <w:t>Backend treatment</w:t>
            </w:r>
          </w:p>
        </w:tc>
        <w:tc>
          <w:tcPr>
            <w:tcW w:type="dxa" w:w="2736"/>
            <w:shd w:fill="1F4E79"/>
            <w:vAlign w:val="center"/>
          </w:tcPr>
          <w:p>
            <w:pPr>
              <w:spacing w:after="0" w:before="0"/>
            </w:pPr>
            <w:r/>
            <w:r>
              <w:rPr>
                <w:b/>
                <w:color w:val="FFFFFF"/>
                <w:sz w:val="14"/>
              </w:rPr>
              <w:t>Why retained</w:t>
            </w:r>
          </w:p>
        </w:tc>
      </w:tr>
      <w:tr>
        <w:tc>
          <w:tcPr>
            <w:tcW w:type="dxa" w:w="2592"/>
            <w:vAlign w:val="top"/>
          </w:tcPr>
          <w:p>
            <w:pPr>
              <w:spacing w:after="0" w:before="0"/>
            </w:pPr>
            <w:r/>
            <w:r>
              <w:rPr>
                <w:b w:val="0"/>
                <w:sz w:val="14"/>
              </w:rPr>
              <w:t>Full regulatory mapping</w:t>
            </w:r>
          </w:p>
        </w:tc>
        <w:tc>
          <w:tcPr>
            <w:tcW w:type="dxa" w:w="2592"/>
            <w:vAlign w:val="top"/>
          </w:tcPr>
          <w:p>
            <w:pPr>
              <w:spacing w:after="0" w:before="0"/>
            </w:pPr>
            <w:r/>
            <w:r>
              <w:rPr>
                <w:b w:val="0"/>
                <w:sz w:val="14"/>
              </w:rPr>
              <w:t>Hidden from default result.</w:t>
            </w:r>
          </w:p>
        </w:tc>
        <w:tc>
          <w:tcPr>
            <w:tcW w:type="dxa" w:w="2880"/>
            <w:vAlign w:val="top"/>
          </w:tcPr>
          <w:p>
            <w:pPr>
              <w:spacing w:after="0" w:before="0"/>
            </w:pPr>
            <w:r/>
            <w:r>
              <w:rPr>
                <w:b w:val="0"/>
                <w:sz w:val="14"/>
              </w:rPr>
              <w:t>Included in compliance crosswalk and export mode.</w:t>
            </w:r>
          </w:p>
        </w:tc>
        <w:tc>
          <w:tcPr>
            <w:tcW w:type="dxa" w:w="2736"/>
            <w:vAlign w:val="top"/>
          </w:tcPr>
          <w:p>
            <w:pPr>
              <w:spacing w:after="0" w:before="0"/>
            </w:pPr>
            <w:r/>
            <w:r>
              <w:rPr>
                <w:b w:val="0"/>
                <w:sz w:val="14"/>
              </w:rPr>
              <w:t>Needed for enterprise credibility, legal review, standards alignment.</w:t>
            </w:r>
          </w:p>
        </w:tc>
      </w:tr>
      <w:tr>
        <w:tc>
          <w:tcPr>
            <w:tcW w:type="dxa" w:w="2592"/>
            <w:vAlign w:val="top"/>
          </w:tcPr>
          <w:p>
            <w:pPr>
              <w:spacing w:after="0" w:before="0"/>
            </w:pPr>
            <w:r/>
            <w:r>
              <w:rPr>
                <w:b w:val="0"/>
                <w:sz w:val="14"/>
              </w:rPr>
              <w:t>20 automatic fail conditions</w:t>
            </w:r>
          </w:p>
        </w:tc>
        <w:tc>
          <w:tcPr>
            <w:tcW w:type="dxa" w:w="2592"/>
            <w:vAlign w:val="top"/>
          </w:tcPr>
          <w:p>
            <w:pPr>
              <w:spacing w:after="0" w:before="0"/>
            </w:pPr>
            <w:r/>
            <w:r>
              <w:rPr>
                <w:b w:val="0"/>
                <w:sz w:val="14"/>
              </w:rPr>
              <w:t>Simplified risk flags.</w:t>
            </w:r>
          </w:p>
        </w:tc>
        <w:tc>
          <w:tcPr>
            <w:tcW w:type="dxa" w:w="2880"/>
            <w:vAlign w:val="top"/>
          </w:tcPr>
          <w:p>
            <w:pPr>
              <w:spacing w:after="0" w:before="0"/>
            </w:pPr>
            <w:r/>
            <w:r>
              <w:rPr>
                <w:b w:val="0"/>
                <w:sz w:val="14"/>
              </w:rPr>
              <w:t>Fully included in risk engine as blockers/penalties.</w:t>
            </w:r>
          </w:p>
        </w:tc>
        <w:tc>
          <w:tcPr>
            <w:tcW w:type="dxa" w:w="2736"/>
            <w:vAlign w:val="top"/>
          </w:tcPr>
          <w:p>
            <w:pPr>
              <w:spacing w:after="0" w:before="0"/>
            </w:pPr>
            <w:r/>
            <w:r>
              <w:rPr>
                <w:b w:val="0"/>
                <w:sz w:val="14"/>
              </w:rPr>
              <w:t>Prevents unsafe rankings.</w:t>
            </w:r>
          </w:p>
        </w:tc>
      </w:tr>
      <w:tr>
        <w:tc>
          <w:tcPr>
            <w:tcW w:type="dxa" w:w="2592"/>
            <w:vAlign w:val="top"/>
          </w:tcPr>
          <w:p>
            <w:pPr>
              <w:spacing w:after="0" w:before="0"/>
            </w:pPr>
            <w:r/>
            <w:r>
              <w:rPr>
                <w:b w:val="0"/>
                <w:sz w:val="14"/>
              </w:rPr>
              <w:t>Full evidence pack</w:t>
            </w:r>
          </w:p>
        </w:tc>
        <w:tc>
          <w:tcPr>
            <w:tcW w:type="dxa" w:w="2592"/>
            <w:vAlign w:val="top"/>
          </w:tcPr>
          <w:p>
            <w:pPr>
              <w:spacing w:after="0" w:before="0"/>
            </w:pPr>
            <w:r/>
            <w:r>
              <w:rPr>
                <w:b w:val="0"/>
                <w:sz w:val="14"/>
              </w:rPr>
              <w:t>Summarised as missing evidence.</w:t>
            </w:r>
          </w:p>
        </w:tc>
        <w:tc>
          <w:tcPr>
            <w:tcW w:type="dxa" w:w="2880"/>
            <w:vAlign w:val="top"/>
          </w:tcPr>
          <w:p>
            <w:pPr>
              <w:spacing w:after="0" w:before="0"/>
            </w:pPr>
            <w:r/>
            <w:r>
              <w:rPr>
                <w:b w:val="0"/>
                <w:sz w:val="14"/>
              </w:rPr>
              <w:t>Evidence schema and vendor validation checklist.</w:t>
            </w:r>
          </w:p>
        </w:tc>
        <w:tc>
          <w:tcPr>
            <w:tcW w:type="dxa" w:w="2736"/>
            <w:vAlign w:val="top"/>
          </w:tcPr>
          <w:p>
            <w:pPr>
              <w:spacing w:after="0" w:before="0"/>
            </w:pPr>
            <w:r/>
            <w:r>
              <w:rPr>
                <w:b w:val="0"/>
                <w:sz w:val="14"/>
              </w:rPr>
              <w:t>Supports confidence and validation workflows.</w:t>
            </w:r>
          </w:p>
        </w:tc>
      </w:tr>
      <w:tr>
        <w:tc>
          <w:tcPr>
            <w:tcW w:type="dxa" w:w="2592"/>
            <w:vAlign w:val="top"/>
          </w:tcPr>
          <w:p>
            <w:pPr>
              <w:spacing w:after="0" w:before="0"/>
            </w:pPr>
            <w:r/>
            <w:r>
              <w:rPr>
                <w:b w:val="0"/>
                <w:sz w:val="14"/>
              </w:rPr>
              <w:t>Long analogies</w:t>
            </w:r>
          </w:p>
        </w:tc>
        <w:tc>
          <w:tcPr>
            <w:tcW w:type="dxa" w:w="2592"/>
            <w:vAlign w:val="top"/>
          </w:tcPr>
          <w:p>
            <w:pPr>
              <w:spacing w:after="0" w:before="0"/>
            </w:pPr>
            <w:r/>
            <w:r>
              <w:rPr>
                <w:b w:val="0"/>
                <w:sz w:val="14"/>
              </w:rPr>
              <w:t>Removed from app scoring UX.</w:t>
            </w:r>
          </w:p>
        </w:tc>
        <w:tc>
          <w:tcPr>
            <w:tcW w:type="dxa" w:w="2880"/>
            <w:vAlign w:val="top"/>
          </w:tcPr>
          <w:p>
            <w:pPr>
              <w:spacing w:after="0" w:before="0"/>
            </w:pPr>
            <w:r/>
            <w:r>
              <w:rPr>
                <w:b w:val="0"/>
                <w:sz w:val="14"/>
              </w:rPr>
              <w:t>Optional narrative report-writing layer only.</w:t>
            </w:r>
          </w:p>
        </w:tc>
        <w:tc>
          <w:tcPr>
            <w:tcW w:type="dxa" w:w="2736"/>
            <w:vAlign w:val="top"/>
          </w:tcPr>
          <w:p>
            <w:pPr>
              <w:spacing w:after="0" w:before="0"/>
            </w:pPr>
            <w:r/>
            <w:r>
              <w:rPr>
                <w:b w:val="0"/>
                <w:sz w:val="14"/>
              </w:rPr>
              <w:t>Useful for explanatory reports, not score calculation.</w:t>
            </w:r>
          </w:p>
        </w:tc>
      </w:tr>
      <w:tr>
        <w:tc>
          <w:tcPr>
            <w:tcW w:type="dxa" w:w="2592"/>
            <w:vAlign w:val="top"/>
          </w:tcPr>
          <w:p>
            <w:pPr>
              <w:spacing w:after="0" w:before="0"/>
            </w:pPr>
            <w:r/>
            <w:r>
              <w:rPr>
                <w:b w:val="0"/>
                <w:sz w:val="14"/>
              </w:rPr>
              <w:t>100-300 question gold-set testing</w:t>
            </w:r>
          </w:p>
        </w:tc>
        <w:tc>
          <w:tcPr>
            <w:tcW w:type="dxa" w:w="2592"/>
            <w:vAlign w:val="top"/>
          </w:tcPr>
          <w:p>
            <w:pPr>
              <w:spacing w:after="0" w:before="0"/>
            </w:pPr>
            <w:r/>
            <w:r>
              <w:rPr>
                <w:b w:val="0"/>
                <w:sz w:val="14"/>
              </w:rPr>
              <w:t>Not in MVP input flow.</w:t>
            </w:r>
          </w:p>
        </w:tc>
        <w:tc>
          <w:tcPr>
            <w:tcW w:type="dxa" w:w="2880"/>
            <w:vAlign w:val="top"/>
          </w:tcPr>
          <w:p>
            <w:pPr>
              <w:spacing w:after="0" w:before="0"/>
            </w:pPr>
            <w:r/>
            <w:r>
              <w:rPr>
                <w:b w:val="0"/>
                <w:sz w:val="14"/>
              </w:rPr>
              <w:t>Validation/premium test module.</w:t>
            </w:r>
          </w:p>
        </w:tc>
        <w:tc>
          <w:tcPr>
            <w:tcW w:type="dxa" w:w="2736"/>
            <w:vAlign w:val="top"/>
          </w:tcPr>
          <w:p>
            <w:pPr>
              <w:spacing w:after="0" w:before="0"/>
            </w:pPr>
            <w:r/>
            <w:r>
              <w:rPr>
                <w:b w:val="0"/>
                <w:sz w:val="14"/>
              </w:rPr>
              <w:t>Needed for deployment validation.</w:t>
            </w:r>
          </w:p>
        </w:tc>
      </w:tr>
      <w:tr>
        <w:tc>
          <w:tcPr>
            <w:tcW w:type="dxa" w:w="2592"/>
            <w:vAlign w:val="top"/>
          </w:tcPr>
          <w:p>
            <w:pPr>
              <w:spacing w:after="0" w:before="0"/>
            </w:pPr>
            <w:r/>
            <w:r>
              <w:rPr>
                <w:b w:val="0"/>
                <w:sz w:val="14"/>
              </w:rPr>
              <w:t>Full due-diligence questionnaire</w:t>
            </w:r>
          </w:p>
        </w:tc>
        <w:tc>
          <w:tcPr>
            <w:tcW w:type="dxa" w:w="2592"/>
            <w:vAlign w:val="top"/>
          </w:tcPr>
          <w:p>
            <w:pPr>
              <w:spacing w:after="0" w:before="0"/>
            </w:pPr>
            <w:r/>
            <w:r>
              <w:rPr>
                <w:b w:val="0"/>
                <w:sz w:val="14"/>
              </w:rPr>
              <w:t>Hidden from default flow.</w:t>
            </w:r>
          </w:p>
        </w:tc>
        <w:tc>
          <w:tcPr>
            <w:tcW w:type="dxa" w:w="2880"/>
            <w:vAlign w:val="top"/>
          </w:tcPr>
          <w:p>
            <w:pPr>
              <w:spacing w:after="0" w:before="0"/>
            </w:pPr>
            <w:r/>
            <w:r>
              <w:rPr>
                <w:b w:val="0"/>
                <w:sz w:val="14"/>
              </w:rPr>
              <w:t>Advanced/vendor validation mode.</w:t>
            </w:r>
          </w:p>
        </w:tc>
        <w:tc>
          <w:tcPr>
            <w:tcW w:type="dxa" w:w="2736"/>
            <w:vAlign w:val="top"/>
          </w:tcPr>
          <w:p>
            <w:pPr>
              <w:spacing w:after="0" w:before="0"/>
            </w:pPr>
            <w:r/>
            <w:r>
              <w:rPr>
                <w:b w:val="0"/>
                <w:sz w:val="14"/>
              </w:rPr>
              <w:t>Useful for procurement workflows.</w:t>
            </w:r>
          </w:p>
        </w:tc>
      </w:tr>
      <w:tr>
        <w:tc>
          <w:tcPr>
            <w:tcW w:type="dxa" w:w="2592"/>
            <w:vAlign w:val="top"/>
          </w:tcPr>
          <w:p>
            <w:pPr>
              <w:spacing w:after="0" w:before="0"/>
            </w:pPr>
            <w:r/>
            <w:r>
              <w:rPr>
                <w:b w:val="0"/>
                <w:sz w:val="14"/>
              </w:rPr>
              <w:t>Clause-level EU/ISO/NIST mapping</w:t>
            </w:r>
          </w:p>
        </w:tc>
        <w:tc>
          <w:tcPr>
            <w:tcW w:type="dxa" w:w="2592"/>
            <w:vAlign w:val="top"/>
          </w:tcPr>
          <w:p>
            <w:pPr>
              <w:spacing w:after="0" w:before="0"/>
            </w:pPr>
            <w:r/>
            <w:r>
              <w:rPr>
                <w:b w:val="0"/>
                <w:sz w:val="14"/>
              </w:rPr>
              <w:t>Not first output.</w:t>
            </w:r>
          </w:p>
        </w:tc>
        <w:tc>
          <w:tcPr>
            <w:tcW w:type="dxa" w:w="2880"/>
            <w:vAlign w:val="top"/>
          </w:tcPr>
          <w:p>
            <w:pPr>
              <w:spacing w:after="0" w:before="0"/>
            </w:pPr>
            <w:r/>
            <w:r>
              <w:rPr>
                <w:b w:val="0"/>
                <w:sz w:val="14"/>
              </w:rPr>
              <w:t>Included in backend compliance export.</w:t>
            </w:r>
          </w:p>
        </w:tc>
        <w:tc>
          <w:tcPr>
            <w:tcW w:type="dxa" w:w="2736"/>
            <w:vAlign w:val="top"/>
          </w:tcPr>
          <w:p>
            <w:pPr>
              <w:spacing w:after="0" w:before="0"/>
            </w:pPr>
            <w:r/>
            <w:r>
              <w:rPr>
                <w:b w:val="0"/>
                <w:sz w:val="14"/>
              </w:rPr>
              <w:t>Needed for audit/legal/board pack.</w:t>
            </w:r>
          </w:p>
        </w:tc>
      </w:tr>
    </w:tbl>
    <w:p/>
    <w:p>
      <w:pPr>
        <w:pStyle w:val="Heading1"/>
      </w:pPr>
      <w:r>
        <w:t>21. Non-Functional Requirements</w:t>
      </w:r>
    </w:p>
    <w:tbl>
      <w:tblPr>
        <w:tblStyle w:val="TableGrid"/>
        <w:tblW w:type="auto" w:w="0"/>
        <w:jc w:val="center"/>
        <w:tblLook w:firstColumn="1" w:firstRow="1" w:lastColumn="0" w:lastRow="0" w:noHBand="0" w:noVBand="1" w:val="04A0"/>
      </w:tblPr>
      <w:tblGrid>
        <w:gridCol w:w="5328"/>
        <w:gridCol w:w="5328"/>
      </w:tblGrid>
      <w:tr>
        <w:tc>
          <w:tcPr>
            <w:tcW w:type="dxa" w:w="2016"/>
            <w:shd w:fill="1F4E79"/>
            <w:vAlign w:val="center"/>
          </w:tcPr>
          <w:p>
            <w:pPr>
              <w:spacing w:after="0" w:before="0"/>
            </w:pPr>
            <w:r/>
            <w:r>
              <w:rPr>
                <w:b/>
                <w:color w:val="FFFFFF"/>
                <w:sz w:val="16"/>
              </w:rPr>
              <w:t>Category</w:t>
            </w:r>
          </w:p>
        </w:tc>
        <w:tc>
          <w:tcPr>
            <w:tcW w:type="dxa" w:w="8496"/>
            <w:shd w:fill="1F4E79"/>
            <w:vAlign w:val="center"/>
          </w:tcPr>
          <w:p>
            <w:pPr>
              <w:spacing w:after="0" w:before="0"/>
            </w:pPr>
            <w:r/>
            <w:r>
              <w:rPr>
                <w:b/>
                <w:color w:val="FFFFFF"/>
                <w:sz w:val="16"/>
              </w:rPr>
              <w:t>Requirement</w:t>
            </w:r>
          </w:p>
        </w:tc>
      </w:tr>
      <w:tr>
        <w:tc>
          <w:tcPr>
            <w:tcW w:type="dxa" w:w="2016"/>
            <w:vAlign w:val="top"/>
          </w:tcPr>
          <w:p>
            <w:pPr>
              <w:spacing w:after="0" w:before="0"/>
            </w:pPr>
            <w:r/>
            <w:r>
              <w:rPr>
                <w:b w:val="0"/>
                <w:sz w:val="16"/>
              </w:rPr>
              <w:t>Performance</w:t>
            </w:r>
          </w:p>
        </w:tc>
        <w:tc>
          <w:tcPr>
            <w:tcW w:type="dxa" w:w="8496"/>
            <w:vAlign w:val="top"/>
          </w:tcPr>
          <w:p>
            <w:pPr>
              <w:spacing w:after="0" w:before="0"/>
            </w:pPr>
            <w:r/>
            <w:r>
              <w:rPr>
                <w:b w:val="0"/>
                <w:sz w:val="16"/>
              </w:rPr>
              <w:t>Default ranking result should return in &lt;= 20 seconds from cached profiles. Cold evidence refresh may run asynchronously.</w:t>
            </w:r>
          </w:p>
        </w:tc>
      </w:tr>
      <w:tr>
        <w:tc>
          <w:tcPr>
            <w:tcW w:type="dxa" w:w="2016"/>
            <w:vAlign w:val="top"/>
          </w:tcPr>
          <w:p>
            <w:pPr>
              <w:spacing w:after="0" w:before="0"/>
            </w:pPr>
            <w:r/>
            <w:r>
              <w:rPr>
                <w:b w:val="0"/>
                <w:sz w:val="16"/>
              </w:rPr>
              <w:t>Scalability</w:t>
            </w:r>
          </w:p>
        </w:tc>
        <w:tc>
          <w:tcPr>
            <w:tcW w:type="dxa" w:w="8496"/>
            <w:vAlign w:val="top"/>
          </w:tcPr>
          <w:p>
            <w:pPr>
              <w:spacing w:after="0" w:before="0"/>
            </w:pPr>
            <w:r/>
            <w:r>
              <w:rPr>
                <w:b w:val="0"/>
                <w:sz w:val="16"/>
              </w:rPr>
              <w:t>Support vendor universe of at least 500 vendors and 10,000+ evidence items in MVP architecture.</w:t>
            </w:r>
          </w:p>
        </w:tc>
      </w:tr>
      <w:tr>
        <w:tc>
          <w:tcPr>
            <w:tcW w:type="dxa" w:w="2016"/>
            <w:vAlign w:val="top"/>
          </w:tcPr>
          <w:p>
            <w:pPr>
              <w:spacing w:after="0" w:before="0"/>
            </w:pPr>
            <w:r/>
            <w:r>
              <w:rPr>
                <w:b w:val="0"/>
                <w:sz w:val="16"/>
              </w:rPr>
              <w:t>Explainability</w:t>
            </w:r>
          </w:p>
        </w:tc>
        <w:tc>
          <w:tcPr>
            <w:tcW w:type="dxa" w:w="8496"/>
            <w:vAlign w:val="top"/>
          </w:tcPr>
          <w:p>
            <w:pPr>
              <w:spacing w:after="0" w:before="0"/>
            </w:pPr>
            <w:r/>
            <w:r>
              <w:rPr>
                <w:b w:val="0"/>
                <w:sz w:val="16"/>
              </w:rPr>
              <w:t>Every final score must be traceable to pillar, subfactor, evidence, confidence modifier, and penalty/bonus.</w:t>
            </w:r>
          </w:p>
        </w:tc>
      </w:tr>
      <w:tr>
        <w:tc>
          <w:tcPr>
            <w:tcW w:type="dxa" w:w="2016"/>
            <w:vAlign w:val="top"/>
          </w:tcPr>
          <w:p>
            <w:pPr>
              <w:spacing w:after="0" w:before="0"/>
            </w:pPr>
            <w:r/>
            <w:r>
              <w:rPr>
                <w:b w:val="0"/>
                <w:sz w:val="16"/>
              </w:rPr>
              <w:t>Reliability</w:t>
            </w:r>
          </w:p>
        </w:tc>
        <w:tc>
          <w:tcPr>
            <w:tcW w:type="dxa" w:w="8496"/>
            <w:vAlign w:val="top"/>
          </w:tcPr>
          <w:p>
            <w:pPr>
              <w:spacing w:after="0" w:before="0"/>
            </w:pPr>
            <w:r/>
            <w:r>
              <w:rPr>
                <w:b w:val="0"/>
                <w:sz w:val="16"/>
              </w:rPr>
              <w:t>Assessment runs must be deterministic for a given scoring-rule version and evidence snapshot.</w:t>
            </w:r>
          </w:p>
        </w:tc>
      </w:tr>
      <w:tr>
        <w:tc>
          <w:tcPr>
            <w:tcW w:type="dxa" w:w="2016"/>
            <w:vAlign w:val="top"/>
          </w:tcPr>
          <w:p>
            <w:pPr>
              <w:spacing w:after="0" w:before="0"/>
            </w:pPr>
            <w:r/>
            <w:r>
              <w:rPr>
                <w:b w:val="0"/>
                <w:sz w:val="16"/>
              </w:rPr>
              <w:t>Versioning</w:t>
            </w:r>
          </w:p>
        </w:tc>
        <w:tc>
          <w:tcPr>
            <w:tcW w:type="dxa" w:w="8496"/>
            <w:vAlign w:val="top"/>
          </w:tcPr>
          <w:p>
            <w:pPr>
              <w:spacing w:after="0" w:before="0"/>
            </w:pPr>
            <w:r/>
            <w:r>
              <w:rPr>
                <w:b w:val="0"/>
                <w:sz w:val="16"/>
              </w:rPr>
              <w:t>Scoring rules, evidence snapshots, and industry weights must be versioned.</w:t>
            </w:r>
          </w:p>
        </w:tc>
      </w:tr>
      <w:tr>
        <w:tc>
          <w:tcPr>
            <w:tcW w:type="dxa" w:w="2016"/>
            <w:vAlign w:val="top"/>
          </w:tcPr>
          <w:p>
            <w:pPr>
              <w:spacing w:after="0" w:before="0"/>
            </w:pPr>
            <w:r/>
            <w:r>
              <w:rPr>
                <w:b w:val="0"/>
                <w:sz w:val="16"/>
              </w:rPr>
              <w:t>Security</w:t>
            </w:r>
          </w:p>
        </w:tc>
        <w:tc>
          <w:tcPr>
            <w:tcW w:type="dxa" w:w="8496"/>
            <w:vAlign w:val="top"/>
          </w:tcPr>
          <w:p>
            <w:pPr>
              <w:spacing w:after="0" w:before="0"/>
            </w:pPr>
            <w:r/>
            <w:r>
              <w:rPr>
                <w:b w:val="0"/>
                <w:sz w:val="16"/>
              </w:rPr>
              <w:t>Admin tools must be access-controlled. Uploaded validation documents must be isolated and encrypted.</w:t>
            </w:r>
          </w:p>
        </w:tc>
      </w:tr>
      <w:tr>
        <w:tc>
          <w:tcPr>
            <w:tcW w:type="dxa" w:w="2016"/>
            <w:vAlign w:val="top"/>
          </w:tcPr>
          <w:p>
            <w:pPr>
              <w:spacing w:after="0" w:before="0"/>
            </w:pPr>
            <w:r/>
            <w:r>
              <w:rPr>
                <w:b w:val="0"/>
                <w:sz w:val="16"/>
              </w:rPr>
              <w:t>Privacy</w:t>
            </w:r>
          </w:p>
        </w:tc>
        <w:tc>
          <w:tcPr>
            <w:tcW w:type="dxa" w:w="8496"/>
            <w:vAlign w:val="top"/>
          </w:tcPr>
          <w:p>
            <w:pPr>
              <w:spacing w:after="0" w:before="0"/>
            </w:pPr>
            <w:r/>
            <w:r>
              <w:rPr>
                <w:b w:val="0"/>
                <w:sz w:val="16"/>
              </w:rPr>
              <w:t>User inputs should not be used to train models. Uploaded documents must have retention controls.</w:t>
            </w:r>
          </w:p>
        </w:tc>
      </w:tr>
      <w:tr>
        <w:tc>
          <w:tcPr>
            <w:tcW w:type="dxa" w:w="2016"/>
            <w:vAlign w:val="top"/>
          </w:tcPr>
          <w:p>
            <w:pPr>
              <w:spacing w:after="0" w:before="0"/>
            </w:pPr>
            <w:r/>
            <w:r>
              <w:rPr>
                <w:b w:val="0"/>
                <w:sz w:val="16"/>
              </w:rPr>
              <w:t>Auditability</w:t>
            </w:r>
          </w:p>
        </w:tc>
        <w:tc>
          <w:tcPr>
            <w:tcW w:type="dxa" w:w="8496"/>
            <w:vAlign w:val="top"/>
          </w:tcPr>
          <w:p>
            <w:pPr>
              <w:spacing w:after="0" w:before="0"/>
            </w:pPr>
            <w:r/>
            <w:r>
              <w:rPr>
                <w:b w:val="0"/>
                <w:sz w:val="16"/>
              </w:rPr>
              <w:t>All admin score changes and evidence-grade overrides must be logged.</w:t>
            </w:r>
          </w:p>
        </w:tc>
      </w:tr>
      <w:tr>
        <w:tc>
          <w:tcPr>
            <w:tcW w:type="dxa" w:w="2016"/>
            <w:vAlign w:val="top"/>
          </w:tcPr>
          <w:p>
            <w:pPr>
              <w:spacing w:after="0" w:before="0"/>
            </w:pPr>
            <w:r/>
            <w:r>
              <w:rPr>
                <w:b w:val="0"/>
                <w:sz w:val="16"/>
              </w:rPr>
              <w:t>Data freshness</w:t>
            </w:r>
          </w:p>
        </w:tc>
        <w:tc>
          <w:tcPr>
            <w:tcW w:type="dxa" w:w="8496"/>
            <w:vAlign w:val="top"/>
          </w:tcPr>
          <w:p>
            <w:pPr>
              <w:spacing w:after="0" w:before="0"/>
            </w:pPr>
            <w:r/>
            <w:r>
              <w:rPr>
                <w:b w:val="0"/>
                <w:sz w:val="16"/>
              </w:rPr>
              <w:t>Evidence items must show captured_at/source_date and freshness status.</w:t>
            </w:r>
          </w:p>
        </w:tc>
      </w:tr>
      <w:tr>
        <w:tc>
          <w:tcPr>
            <w:tcW w:type="dxa" w:w="2016"/>
            <w:vAlign w:val="top"/>
          </w:tcPr>
          <w:p>
            <w:pPr>
              <w:spacing w:after="0" w:before="0"/>
            </w:pPr>
            <w:r/>
            <w:r>
              <w:rPr>
                <w:b w:val="0"/>
                <w:sz w:val="16"/>
              </w:rPr>
              <w:t>Fallback</w:t>
            </w:r>
          </w:p>
        </w:tc>
        <w:tc>
          <w:tcPr>
            <w:tcW w:type="dxa" w:w="8496"/>
            <w:vAlign w:val="top"/>
          </w:tcPr>
          <w:p>
            <w:pPr>
              <w:spacing w:after="0" w:before="0"/>
            </w:pPr>
            <w:r/>
            <w:r>
              <w:rPr>
                <w:b w:val="0"/>
                <w:sz w:val="16"/>
              </w:rPr>
              <w:t>If data is missing, app should lower confidence and show missing evidence, not fabricate.</w:t>
            </w:r>
          </w:p>
        </w:tc>
      </w:tr>
    </w:tbl>
    <w:p/>
    <w:p>
      <w:pPr>
        <w:pStyle w:val="Heading1"/>
      </w:pPr>
      <w:r>
        <w:t>22. Testing and Acceptance Criteria</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Pr>
          <w:p>
            <w:pPr>
              <w:spacing w:after="0" w:before="0"/>
            </w:pPr>
            <w:r/>
            <w:r>
              <w:rPr>
                <w:b/>
                <w:color w:val="FFFFFF"/>
                <w:sz w:val="16"/>
              </w:rPr>
              <w:t>Test area</w:t>
            </w:r>
          </w:p>
        </w:tc>
        <w:tc>
          <w:tcPr>
            <w:tcW w:type="dxa" w:w="7488"/>
            <w:shd w:fill="1F4E79"/>
            <w:vAlign w:val="center"/>
          </w:tcPr>
          <w:p>
            <w:pPr>
              <w:spacing w:after="0" w:before="0"/>
            </w:pPr>
            <w:r/>
            <w:r>
              <w:rPr>
                <w:b/>
                <w:color w:val="FFFFFF"/>
                <w:sz w:val="16"/>
              </w:rPr>
              <w:t>Acceptance criteria</w:t>
            </w:r>
          </w:p>
        </w:tc>
      </w:tr>
      <w:tr>
        <w:tc>
          <w:tcPr>
            <w:tcW w:type="dxa" w:w="2880"/>
            <w:vAlign w:val="top"/>
          </w:tcPr>
          <w:p>
            <w:pPr>
              <w:spacing w:after="0" w:before="0"/>
            </w:pPr>
            <w:r/>
            <w:r>
              <w:rPr>
                <w:b w:val="0"/>
                <w:sz w:val="16"/>
              </w:rPr>
              <w:t>Input flow</w:t>
            </w:r>
          </w:p>
        </w:tc>
        <w:tc>
          <w:tcPr>
            <w:tcW w:type="dxa" w:w="7488"/>
            <w:vAlign w:val="top"/>
          </w:tcPr>
          <w:p>
            <w:pPr>
              <w:spacing w:after="0" w:before="0"/>
            </w:pPr>
            <w:r/>
            <w:r>
              <w:rPr>
                <w:b w:val="0"/>
                <w:sz w:val="16"/>
              </w:rPr>
              <w:t>Median test-user completion &lt;= 2 minutes; no input requires expert procurement knowledge.</w:t>
            </w:r>
          </w:p>
        </w:tc>
      </w:tr>
      <w:tr>
        <w:tc>
          <w:tcPr>
            <w:tcW w:type="dxa" w:w="2880"/>
            <w:vAlign w:val="top"/>
          </w:tcPr>
          <w:p>
            <w:pPr>
              <w:spacing w:after="0" w:before="0"/>
            </w:pPr>
            <w:r/>
            <w:r>
              <w:rPr>
                <w:b w:val="0"/>
                <w:sz w:val="16"/>
              </w:rPr>
              <w:t>Scoring determinism</w:t>
            </w:r>
          </w:p>
        </w:tc>
        <w:tc>
          <w:tcPr>
            <w:tcW w:type="dxa" w:w="7488"/>
            <w:vAlign w:val="top"/>
          </w:tcPr>
          <w:p>
            <w:pPr>
              <w:spacing w:after="0" w:before="0"/>
            </w:pPr>
            <w:r/>
            <w:r>
              <w:rPr>
                <w:b w:val="0"/>
                <w:sz w:val="16"/>
              </w:rPr>
              <w:t>Same inputs + same evidence snapshot + same scoring version produce same result.</w:t>
            </w:r>
          </w:p>
        </w:tc>
      </w:tr>
      <w:tr>
        <w:tc>
          <w:tcPr>
            <w:tcW w:type="dxa" w:w="2880"/>
            <w:vAlign w:val="top"/>
          </w:tcPr>
          <w:p>
            <w:pPr>
              <w:spacing w:after="0" w:before="0"/>
            </w:pPr>
            <w:r/>
            <w:r>
              <w:rPr>
                <w:b w:val="0"/>
                <w:sz w:val="16"/>
              </w:rPr>
              <w:t>Evidence traceability</w:t>
            </w:r>
          </w:p>
        </w:tc>
        <w:tc>
          <w:tcPr>
            <w:tcW w:type="dxa" w:w="7488"/>
            <w:vAlign w:val="top"/>
          </w:tcPr>
          <w:p>
            <w:pPr>
              <w:spacing w:after="0" w:before="0"/>
            </w:pPr>
            <w:r/>
            <w:r>
              <w:rPr>
                <w:b w:val="0"/>
                <w:sz w:val="16"/>
              </w:rPr>
              <w:t>Every non-zero subfactor score has evidence or an explicit inferred/proxy marker.</w:t>
            </w:r>
          </w:p>
        </w:tc>
      </w:tr>
      <w:tr>
        <w:tc>
          <w:tcPr>
            <w:tcW w:type="dxa" w:w="2880"/>
            <w:vAlign w:val="top"/>
          </w:tcPr>
          <w:p>
            <w:pPr>
              <w:spacing w:after="0" w:before="0"/>
            </w:pPr>
            <w:r/>
            <w:r>
              <w:rPr>
                <w:b w:val="0"/>
                <w:sz w:val="16"/>
              </w:rPr>
              <w:t>No hallucinated evidence</w:t>
            </w:r>
          </w:p>
        </w:tc>
        <w:tc>
          <w:tcPr>
            <w:tcW w:type="dxa" w:w="7488"/>
            <w:vAlign w:val="top"/>
          </w:tcPr>
          <w:p>
            <w:pPr>
              <w:spacing w:after="0" w:before="0"/>
            </w:pPr>
            <w:r/>
            <w:r>
              <w:rPr>
                <w:b w:val="0"/>
                <w:sz w:val="16"/>
              </w:rPr>
              <w:t>Narrative output cannot mention claims not present in result object/evidence store.</w:t>
            </w:r>
          </w:p>
        </w:tc>
      </w:tr>
      <w:tr>
        <w:tc>
          <w:tcPr>
            <w:tcW w:type="dxa" w:w="2880"/>
            <w:vAlign w:val="top"/>
          </w:tcPr>
          <w:p>
            <w:pPr>
              <w:spacing w:after="0" w:before="0"/>
            </w:pPr>
            <w:r/>
            <w:r>
              <w:rPr>
                <w:b w:val="0"/>
                <w:sz w:val="16"/>
              </w:rPr>
              <w:t>Industry differentiation</w:t>
            </w:r>
          </w:p>
        </w:tc>
        <w:tc>
          <w:tcPr>
            <w:tcW w:type="dxa" w:w="7488"/>
            <w:vAlign w:val="top"/>
          </w:tcPr>
          <w:p>
            <w:pPr>
              <w:spacing w:after="0" w:before="0"/>
            </w:pPr>
            <w:r/>
            <w:r>
              <w:rPr>
                <w:b w:val="0"/>
                <w:sz w:val="16"/>
              </w:rPr>
              <w:t>Same vendor set produces materially different weightings/rationales across at least 4 archetypes.</w:t>
            </w:r>
          </w:p>
        </w:tc>
      </w:tr>
      <w:tr>
        <w:tc>
          <w:tcPr>
            <w:tcW w:type="dxa" w:w="2880"/>
            <w:vAlign w:val="top"/>
          </w:tcPr>
          <w:p>
            <w:pPr>
              <w:spacing w:after="0" w:before="0"/>
            </w:pPr>
            <w:r/>
            <w:r>
              <w:rPr>
                <w:b w:val="0"/>
                <w:sz w:val="16"/>
              </w:rPr>
              <w:t>Risk penalties</w:t>
            </w:r>
          </w:p>
        </w:tc>
        <w:tc>
          <w:tcPr>
            <w:tcW w:type="dxa" w:w="7488"/>
            <w:vAlign w:val="top"/>
          </w:tcPr>
          <w:p>
            <w:pPr>
              <w:spacing w:after="0" w:before="0"/>
            </w:pPr>
            <w:r/>
            <w:r>
              <w:rPr>
                <w:b w:val="0"/>
                <w:sz w:val="16"/>
              </w:rPr>
              <w:t>Known fatal blockers trigger Not Recommended in regulated/high-risk contexts.</w:t>
            </w:r>
          </w:p>
        </w:tc>
      </w:tr>
      <w:tr>
        <w:tc>
          <w:tcPr>
            <w:tcW w:type="dxa" w:w="2880"/>
            <w:vAlign w:val="top"/>
          </w:tcPr>
          <w:p>
            <w:pPr>
              <w:spacing w:after="0" w:before="0"/>
            </w:pPr>
            <w:r/>
            <w:r>
              <w:rPr>
                <w:b w:val="0"/>
                <w:sz w:val="16"/>
              </w:rPr>
              <w:t>Confidence scoring</w:t>
            </w:r>
          </w:p>
        </w:tc>
        <w:tc>
          <w:tcPr>
            <w:tcW w:type="dxa" w:w="7488"/>
            <w:vAlign w:val="top"/>
          </w:tcPr>
          <w:p>
            <w:pPr>
              <w:spacing w:after="0" w:before="0"/>
            </w:pPr>
            <w:r/>
            <w:r>
              <w:rPr>
                <w:b w:val="0"/>
                <w:sz w:val="16"/>
              </w:rPr>
              <w:t>Vendor with claims-only evidence scores lower confidence than documented/tested vendor.</w:t>
            </w:r>
          </w:p>
        </w:tc>
      </w:tr>
      <w:tr>
        <w:tc>
          <w:tcPr>
            <w:tcW w:type="dxa" w:w="2880"/>
            <w:vAlign w:val="top"/>
          </w:tcPr>
          <w:p>
            <w:pPr>
              <w:spacing w:after="0" w:before="0"/>
            </w:pPr>
            <w:r/>
            <w:r>
              <w:rPr>
                <w:b w:val="0"/>
                <w:sz w:val="16"/>
              </w:rPr>
              <w:t>Drill-down</w:t>
            </w:r>
          </w:p>
        </w:tc>
        <w:tc>
          <w:tcPr>
            <w:tcW w:type="dxa" w:w="7488"/>
            <w:vAlign w:val="top"/>
          </w:tcPr>
          <w:p>
            <w:pPr>
              <w:spacing w:after="0" w:before="0"/>
            </w:pPr>
            <w:r/>
            <w:r>
              <w:rPr>
                <w:b w:val="0"/>
                <w:sz w:val="16"/>
              </w:rPr>
              <w:t>Reviewer can inspect pillar &gt; subfactor &gt; evidence &gt; source date &gt; confidence.</w:t>
            </w:r>
          </w:p>
        </w:tc>
      </w:tr>
      <w:tr>
        <w:tc>
          <w:tcPr>
            <w:tcW w:type="dxa" w:w="2880"/>
            <w:vAlign w:val="top"/>
          </w:tcPr>
          <w:p>
            <w:pPr>
              <w:spacing w:after="0" w:before="0"/>
            </w:pPr>
            <w:r/>
            <w:r>
              <w:rPr>
                <w:b w:val="0"/>
                <w:sz w:val="16"/>
              </w:rPr>
              <w:t>Export</w:t>
            </w:r>
          </w:p>
        </w:tc>
        <w:tc>
          <w:tcPr>
            <w:tcW w:type="dxa" w:w="7488"/>
            <w:vAlign w:val="top"/>
          </w:tcPr>
          <w:p>
            <w:pPr>
              <w:spacing w:after="0" w:before="0"/>
            </w:pPr>
            <w:r/>
            <w:r>
              <w:rPr>
                <w:b w:val="0"/>
                <w:sz w:val="16"/>
              </w:rPr>
              <w:t>Board summary and advanced export generate without layout breakage.</w:t>
            </w:r>
          </w:p>
        </w:tc>
      </w:tr>
      <w:tr>
        <w:tc>
          <w:tcPr>
            <w:tcW w:type="dxa" w:w="2880"/>
            <w:vAlign w:val="top"/>
          </w:tcPr>
          <w:p>
            <w:pPr>
              <w:spacing w:after="0" w:before="0"/>
            </w:pPr>
            <w:r/>
            <w:r>
              <w:rPr>
                <w:b w:val="0"/>
                <w:sz w:val="16"/>
              </w:rPr>
              <w:t>Performance</w:t>
            </w:r>
          </w:p>
        </w:tc>
        <w:tc>
          <w:tcPr>
            <w:tcW w:type="dxa" w:w="7488"/>
            <w:vAlign w:val="top"/>
          </w:tcPr>
          <w:p>
            <w:pPr>
              <w:spacing w:after="0" w:before="0"/>
            </w:pPr>
            <w:r/>
            <w:r>
              <w:rPr>
                <w:b w:val="0"/>
                <w:sz w:val="16"/>
              </w:rPr>
              <w:t>Cached result generated &lt;= 20 seconds for 10 vendors.</w:t>
            </w:r>
          </w:p>
        </w:tc>
      </w:tr>
    </w:tbl>
    <w:p/>
    <w:p>
      <w:pPr>
        <w:pStyle w:val="Heading1"/>
      </w:pPr>
      <w:r>
        <w:t>23. MVP Scope</w:t>
      </w:r>
    </w:p>
    <w:tbl>
      <w:tblPr>
        <w:tblStyle w:val="TableGrid"/>
        <w:tblW w:type="auto" w:w="0"/>
        <w:jc w:val="center"/>
        <w:tblLook w:firstColumn="1" w:firstRow="1" w:lastColumn="0" w:lastRow="0" w:noHBand="0" w:noVBand="1" w:val="04A0"/>
      </w:tblPr>
      <w:tblGrid>
        <w:gridCol w:w="3552"/>
        <w:gridCol w:w="3552"/>
        <w:gridCol w:w="3552"/>
      </w:tblGrid>
      <w:tr>
        <w:tc>
          <w:tcPr>
            <w:tcW w:type="dxa" w:w="3024"/>
            <w:shd w:fill="1F4E79"/>
            <w:vAlign w:val="center"/>
          </w:tcPr>
          <w:p>
            <w:pPr>
              <w:spacing w:after="0" w:before="0"/>
            </w:pPr>
            <w:r/>
            <w:r>
              <w:rPr>
                <w:b/>
                <w:color w:val="FFFFFF"/>
                <w:sz w:val="16"/>
              </w:rPr>
              <w:t>MVP component</w:t>
            </w:r>
          </w:p>
        </w:tc>
        <w:tc>
          <w:tcPr>
            <w:tcW w:type="dxa" w:w="1440"/>
            <w:shd w:fill="1F4E79"/>
            <w:vAlign w:val="center"/>
          </w:tcPr>
          <w:p>
            <w:pPr>
              <w:spacing w:after="0" w:before="0"/>
            </w:pPr>
            <w:r/>
            <w:r>
              <w:rPr>
                <w:b/>
                <w:color w:val="FFFFFF"/>
                <w:sz w:val="16"/>
              </w:rPr>
              <w:t>Include in MVP?</w:t>
            </w:r>
          </w:p>
        </w:tc>
        <w:tc>
          <w:tcPr>
            <w:tcW w:type="dxa" w:w="6048"/>
            <w:shd w:fill="1F4E79"/>
            <w:vAlign w:val="center"/>
          </w:tcPr>
          <w:p>
            <w:pPr>
              <w:spacing w:after="0" w:before="0"/>
            </w:pPr>
            <w:r/>
            <w:r>
              <w:rPr>
                <w:b/>
                <w:color w:val="FFFFFF"/>
                <w:sz w:val="16"/>
              </w:rPr>
              <w:t>Notes</w:t>
            </w:r>
          </w:p>
        </w:tc>
      </w:tr>
      <w:tr>
        <w:tc>
          <w:tcPr>
            <w:tcW w:type="dxa" w:w="3024"/>
            <w:vAlign w:val="top"/>
          </w:tcPr>
          <w:p>
            <w:pPr>
              <w:spacing w:after="0" w:before="0"/>
            </w:pPr>
            <w:r/>
            <w:r>
              <w:rPr>
                <w:b w:val="0"/>
                <w:sz w:val="16"/>
              </w:rPr>
              <w:t>Two-minute input flow</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Core product requirement.</w:t>
            </w:r>
          </w:p>
        </w:tc>
      </w:tr>
      <w:tr>
        <w:tc>
          <w:tcPr>
            <w:tcW w:type="dxa" w:w="3024"/>
            <w:vAlign w:val="top"/>
          </w:tcPr>
          <w:p>
            <w:pPr>
              <w:spacing w:after="0" w:before="0"/>
            </w:pPr>
            <w:r/>
            <w:r>
              <w:rPr>
                <w:b w:val="0"/>
                <w:sz w:val="16"/>
              </w:rPr>
              <w:t>Six-pillar results</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Main user-facing output.</w:t>
            </w:r>
          </w:p>
        </w:tc>
      </w:tr>
      <w:tr>
        <w:tc>
          <w:tcPr>
            <w:tcW w:type="dxa" w:w="3024"/>
            <w:vAlign w:val="top"/>
          </w:tcPr>
          <w:p>
            <w:pPr>
              <w:spacing w:after="0" w:before="0"/>
            </w:pPr>
            <w:r/>
            <w:r>
              <w:rPr>
                <w:b w:val="0"/>
                <w:sz w:val="16"/>
              </w:rPr>
              <w:t>12/13-domain backend mapping</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Needed for granularity.</w:t>
            </w:r>
          </w:p>
        </w:tc>
      </w:tr>
      <w:tr>
        <w:tc>
          <w:tcPr>
            <w:tcW w:type="dxa" w:w="3024"/>
            <w:vAlign w:val="top"/>
          </w:tcPr>
          <w:p>
            <w:pPr>
              <w:spacing w:after="0" w:before="0"/>
            </w:pPr>
            <w:r/>
            <w:r>
              <w:rPr>
                <w:b w:val="0"/>
                <w:sz w:val="16"/>
              </w:rPr>
              <w:t>Evidence grading E0-E5</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Core credibility feature.</w:t>
            </w:r>
          </w:p>
        </w:tc>
      </w:tr>
      <w:tr>
        <w:tc>
          <w:tcPr>
            <w:tcW w:type="dxa" w:w="3024"/>
            <w:vAlign w:val="top"/>
          </w:tcPr>
          <w:p>
            <w:pPr>
              <w:spacing w:after="0" w:before="0"/>
            </w:pPr>
            <w:r/>
            <w:r>
              <w:rPr>
                <w:b w:val="0"/>
                <w:sz w:val="16"/>
              </w:rPr>
              <w:t>Dynamic industry weights</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Use 8 archetypes.</w:t>
            </w:r>
          </w:p>
        </w:tc>
      </w:tr>
      <w:tr>
        <w:tc>
          <w:tcPr>
            <w:tcW w:type="dxa" w:w="3024"/>
            <w:vAlign w:val="top"/>
          </w:tcPr>
          <w:p>
            <w:pPr>
              <w:spacing w:after="0" w:before="0"/>
            </w:pPr>
            <w:r/>
            <w:r>
              <w:rPr>
                <w:b w:val="0"/>
                <w:sz w:val="16"/>
              </w:rPr>
              <w:t>Industry adoption maturity</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Use manually curated initial dataset; refresh later.</w:t>
            </w:r>
          </w:p>
        </w:tc>
      </w:tr>
      <w:tr>
        <w:tc>
          <w:tcPr>
            <w:tcW w:type="dxa" w:w="3024"/>
            <w:vAlign w:val="top"/>
          </w:tcPr>
          <w:p>
            <w:pPr>
              <w:spacing w:after="0" w:before="0"/>
            </w:pPr>
            <w:r/>
            <w:r>
              <w:rPr>
                <w:b w:val="0"/>
                <w:sz w:val="16"/>
              </w:rPr>
              <w:t>Vendor profile database</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Start with curated vendors.</w:t>
            </w:r>
          </w:p>
        </w:tc>
      </w:tr>
      <w:tr>
        <w:tc>
          <w:tcPr>
            <w:tcW w:type="dxa" w:w="3024"/>
            <w:vAlign w:val="top"/>
          </w:tcPr>
          <w:p>
            <w:pPr>
              <w:spacing w:after="0" w:before="0"/>
            </w:pPr>
            <w:r/>
            <w:r>
              <w:rPr>
                <w:b w:val="0"/>
                <w:sz w:val="16"/>
              </w:rPr>
              <w:t>Public data scraper</w:t>
            </w:r>
          </w:p>
        </w:tc>
        <w:tc>
          <w:tcPr>
            <w:tcW w:type="dxa" w:w="1440"/>
            <w:vAlign w:val="top"/>
          </w:tcPr>
          <w:p>
            <w:pPr>
              <w:spacing w:after="0" w:before="0"/>
            </w:pPr>
            <w:r/>
            <w:r>
              <w:rPr>
                <w:b w:val="0"/>
                <w:sz w:val="16"/>
              </w:rPr>
              <w:t>Partial</w:t>
            </w:r>
          </w:p>
        </w:tc>
        <w:tc>
          <w:tcPr>
            <w:tcW w:type="dxa" w:w="6048"/>
            <w:vAlign w:val="top"/>
          </w:tcPr>
          <w:p>
            <w:pPr>
              <w:spacing w:after="0" w:before="0"/>
            </w:pPr>
            <w:r/>
            <w:r>
              <w:rPr>
                <w:b w:val="0"/>
                <w:sz w:val="16"/>
              </w:rPr>
              <w:t>Begin with scheduled page fetchers and manual review.</w:t>
            </w:r>
          </w:p>
        </w:tc>
      </w:tr>
      <w:tr>
        <w:tc>
          <w:tcPr>
            <w:tcW w:type="dxa" w:w="3024"/>
            <w:vAlign w:val="top"/>
          </w:tcPr>
          <w:p>
            <w:pPr>
              <w:spacing w:after="0" w:before="0"/>
            </w:pPr>
            <w:r/>
            <w:r>
              <w:rPr>
                <w:b w:val="0"/>
                <w:sz w:val="16"/>
              </w:rPr>
              <w:t>LLM evidence classifier</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Constrained schema only.</w:t>
            </w:r>
          </w:p>
        </w:tc>
      </w:tr>
      <w:tr>
        <w:tc>
          <w:tcPr>
            <w:tcW w:type="dxa" w:w="3024"/>
            <w:vAlign w:val="top"/>
          </w:tcPr>
          <w:p>
            <w:pPr>
              <w:spacing w:after="0" w:before="0"/>
            </w:pPr>
            <w:r/>
            <w:r>
              <w:rPr>
                <w:b w:val="0"/>
                <w:sz w:val="16"/>
              </w:rPr>
              <w:t>Advanced drill-down</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Essential for trust.</w:t>
            </w:r>
          </w:p>
        </w:tc>
      </w:tr>
      <w:tr>
        <w:tc>
          <w:tcPr>
            <w:tcW w:type="dxa" w:w="3024"/>
            <w:vAlign w:val="top"/>
          </w:tcPr>
          <w:p>
            <w:pPr>
              <w:spacing w:after="0" w:before="0"/>
            </w:pPr>
            <w:r/>
            <w:r>
              <w:rPr>
                <w:b w:val="0"/>
                <w:sz w:val="16"/>
              </w:rPr>
              <w:t>Board export</w:t>
            </w:r>
          </w:p>
        </w:tc>
        <w:tc>
          <w:tcPr>
            <w:tcW w:type="dxa" w:w="1440"/>
            <w:vAlign w:val="top"/>
          </w:tcPr>
          <w:p>
            <w:pPr>
              <w:spacing w:after="0" w:before="0"/>
            </w:pPr>
            <w:r/>
            <w:r>
              <w:rPr>
                <w:b w:val="0"/>
                <w:sz w:val="16"/>
              </w:rPr>
              <w:t>Yes</w:t>
            </w:r>
          </w:p>
        </w:tc>
        <w:tc>
          <w:tcPr>
            <w:tcW w:type="dxa" w:w="6048"/>
            <w:vAlign w:val="top"/>
          </w:tcPr>
          <w:p>
            <w:pPr>
              <w:spacing w:after="0" w:before="0"/>
            </w:pPr>
            <w:r/>
            <w:r>
              <w:rPr>
                <w:b w:val="0"/>
                <w:sz w:val="16"/>
              </w:rPr>
              <w:t>Simple DOCX/PDF export.</w:t>
            </w:r>
          </w:p>
        </w:tc>
      </w:tr>
      <w:tr>
        <w:tc>
          <w:tcPr>
            <w:tcW w:type="dxa" w:w="3024"/>
            <w:vAlign w:val="top"/>
          </w:tcPr>
          <w:p>
            <w:pPr>
              <w:spacing w:after="0" w:before="0"/>
            </w:pPr>
            <w:r/>
            <w:r>
              <w:rPr>
                <w:b w:val="0"/>
                <w:sz w:val="16"/>
              </w:rPr>
              <w:t>Full compliance pack</w:t>
            </w:r>
          </w:p>
        </w:tc>
        <w:tc>
          <w:tcPr>
            <w:tcW w:type="dxa" w:w="1440"/>
            <w:vAlign w:val="top"/>
          </w:tcPr>
          <w:p>
            <w:pPr>
              <w:spacing w:after="0" w:before="0"/>
            </w:pPr>
            <w:r/>
            <w:r>
              <w:rPr>
                <w:b w:val="0"/>
                <w:sz w:val="16"/>
              </w:rPr>
              <w:t>No, v2</w:t>
            </w:r>
          </w:p>
        </w:tc>
        <w:tc>
          <w:tcPr>
            <w:tcW w:type="dxa" w:w="6048"/>
            <w:vAlign w:val="top"/>
          </w:tcPr>
          <w:p>
            <w:pPr>
              <w:spacing w:after="0" w:before="0"/>
            </w:pPr>
            <w:r/>
            <w:r>
              <w:rPr>
                <w:b w:val="0"/>
                <w:sz w:val="16"/>
              </w:rPr>
              <w:t>Backend mapping ready; export later.</w:t>
            </w:r>
          </w:p>
        </w:tc>
      </w:tr>
      <w:tr>
        <w:tc>
          <w:tcPr>
            <w:tcW w:type="dxa" w:w="3024"/>
            <w:vAlign w:val="top"/>
          </w:tcPr>
          <w:p>
            <w:pPr>
              <w:spacing w:after="0" w:before="0"/>
            </w:pPr>
            <w:r/>
            <w:r>
              <w:rPr>
                <w:b w:val="0"/>
                <w:sz w:val="16"/>
              </w:rPr>
              <w:t>Automated live agent tests</w:t>
            </w:r>
          </w:p>
        </w:tc>
        <w:tc>
          <w:tcPr>
            <w:tcW w:type="dxa" w:w="1440"/>
            <w:vAlign w:val="top"/>
          </w:tcPr>
          <w:p>
            <w:pPr>
              <w:spacing w:after="0" w:before="0"/>
            </w:pPr>
            <w:r/>
            <w:r>
              <w:rPr>
                <w:b w:val="0"/>
                <w:sz w:val="16"/>
              </w:rPr>
              <w:t>No, v2</w:t>
            </w:r>
          </w:p>
        </w:tc>
        <w:tc>
          <w:tcPr>
            <w:tcW w:type="dxa" w:w="6048"/>
            <w:vAlign w:val="top"/>
          </w:tcPr>
          <w:p>
            <w:pPr>
              <w:spacing w:after="0" w:before="0"/>
            </w:pPr>
            <w:r/>
            <w:r>
              <w:rPr>
                <w:b w:val="0"/>
                <w:sz w:val="16"/>
              </w:rPr>
              <w:t>Start with documented/sandbox scoring.</w:t>
            </w:r>
          </w:p>
        </w:tc>
      </w:tr>
      <w:tr>
        <w:tc>
          <w:tcPr>
            <w:tcW w:type="dxa" w:w="3024"/>
            <w:vAlign w:val="top"/>
          </w:tcPr>
          <w:p>
            <w:pPr>
              <w:spacing w:after="0" w:before="0"/>
            </w:pPr>
            <w:r/>
            <w:r>
              <w:rPr>
                <w:b w:val="0"/>
                <w:sz w:val="16"/>
              </w:rPr>
              <w:t>Customer-reference workflow</w:t>
            </w:r>
          </w:p>
        </w:tc>
        <w:tc>
          <w:tcPr>
            <w:tcW w:type="dxa" w:w="1440"/>
            <w:vAlign w:val="top"/>
          </w:tcPr>
          <w:p>
            <w:pPr>
              <w:spacing w:after="0" w:before="0"/>
            </w:pPr>
            <w:r/>
            <w:r>
              <w:rPr>
                <w:b w:val="0"/>
                <w:sz w:val="16"/>
              </w:rPr>
              <w:t>No, v2</w:t>
            </w:r>
          </w:p>
        </w:tc>
        <w:tc>
          <w:tcPr>
            <w:tcW w:type="dxa" w:w="6048"/>
            <w:vAlign w:val="top"/>
          </w:tcPr>
          <w:p>
            <w:pPr>
              <w:spacing w:after="0" w:before="0"/>
            </w:pPr>
            <w:r/>
            <w:r>
              <w:rPr>
                <w:b w:val="0"/>
                <w:sz w:val="16"/>
              </w:rPr>
              <w:t>Premium/deep mode.</w:t>
            </w:r>
          </w:p>
        </w:tc>
      </w:tr>
    </w:tbl>
    <w:p/>
    <w:p>
      <w:pPr>
        <w:pStyle w:val="Heading1"/>
      </w:pPr>
      <w:r>
        <w:t>24. Implementation Sequence</w:t>
      </w:r>
    </w:p>
    <w:tbl>
      <w:tblPr>
        <w:tblStyle w:val="TableGrid"/>
        <w:tblW w:type="auto" w:w="0"/>
        <w:jc w:val="center"/>
        <w:tblLook w:firstColumn="1" w:firstRow="1" w:lastColumn="0" w:lastRow="0" w:noHBand="0" w:noVBand="1" w:val="04A0"/>
      </w:tblPr>
      <w:tblGrid>
        <w:gridCol w:w="3552"/>
        <w:gridCol w:w="3552"/>
        <w:gridCol w:w="3552"/>
      </w:tblGrid>
      <w:tr>
        <w:tc>
          <w:tcPr>
            <w:tcW w:type="dxa" w:w="2592"/>
            <w:shd w:fill="1F4E79"/>
            <w:vAlign w:val="center"/>
          </w:tcPr>
          <w:p>
            <w:pPr>
              <w:spacing w:after="0" w:before="0"/>
            </w:pPr>
            <w:r/>
            <w:r>
              <w:rPr>
                <w:b/>
                <w:color w:val="FFFFFF"/>
                <w:sz w:val="16"/>
              </w:rPr>
              <w:t>Phase</w:t>
            </w:r>
          </w:p>
        </w:tc>
        <w:tc>
          <w:tcPr>
            <w:tcW w:type="dxa" w:w="4320"/>
            <w:shd w:fill="1F4E79"/>
            <w:vAlign w:val="center"/>
          </w:tcPr>
          <w:p>
            <w:pPr>
              <w:spacing w:after="0" w:before="0"/>
            </w:pPr>
            <w:r/>
            <w:r>
              <w:rPr>
                <w:b/>
                <w:color w:val="FFFFFF"/>
                <w:sz w:val="16"/>
              </w:rPr>
              <w:t>Build focus</w:t>
            </w:r>
          </w:p>
        </w:tc>
        <w:tc>
          <w:tcPr>
            <w:tcW w:type="dxa" w:w="3600"/>
            <w:shd w:fill="1F4E79"/>
            <w:vAlign w:val="center"/>
          </w:tcPr>
          <w:p>
            <w:pPr>
              <w:spacing w:after="0" w:before="0"/>
            </w:pPr>
            <w:r/>
            <w:r>
              <w:rPr>
                <w:b/>
                <w:color w:val="FFFFFF"/>
                <w:sz w:val="16"/>
              </w:rPr>
              <w:t>Deliverables</w:t>
            </w:r>
          </w:p>
        </w:tc>
      </w:tr>
      <w:tr>
        <w:tc>
          <w:tcPr>
            <w:tcW w:type="dxa" w:w="2592"/>
            <w:vAlign w:val="top"/>
          </w:tcPr>
          <w:p>
            <w:pPr>
              <w:spacing w:after="0" w:before="0"/>
            </w:pPr>
            <w:r/>
            <w:r>
              <w:rPr>
                <w:b w:val="0"/>
                <w:sz w:val="16"/>
              </w:rPr>
              <w:t>Phase 1: Data model and scoring skeleton</w:t>
            </w:r>
          </w:p>
        </w:tc>
        <w:tc>
          <w:tcPr>
            <w:tcW w:type="dxa" w:w="4320"/>
            <w:vAlign w:val="top"/>
          </w:tcPr>
          <w:p>
            <w:pPr>
              <w:spacing w:after="0" w:before="0"/>
            </w:pPr>
            <w:r/>
            <w:r>
              <w:rPr>
                <w:b w:val="0"/>
                <w:sz w:val="16"/>
              </w:rPr>
              <w:t>Define schemas, six pillars, domain mapping, industry weights, evidence grades.</w:t>
            </w:r>
          </w:p>
        </w:tc>
        <w:tc>
          <w:tcPr>
            <w:tcW w:type="dxa" w:w="3600"/>
            <w:vAlign w:val="top"/>
          </w:tcPr>
          <w:p>
            <w:pPr>
              <w:spacing w:after="0" w:before="0"/>
            </w:pPr>
            <w:r/>
            <w:r>
              <w:rPr>
                <w:b w:val="0"/>
                <w:sz w:val="16"/>
              </w:rPr>
              <w:t>DB schema, scoring-rule config, static sample vendors.</w:t>
            </w:r>
          </w:p>
        </w:tc>
      </w:tr>
      <w:tr>
        <w:tc>
          <w:tcPr>
            <w:tcW w:type="dxa" w:w="2592"/>
            <w:vAlign w:val="top"/>
          </w:tcPr>
          <w:p>
            <w:pPr>
              <w:spacing w:after="0" w:before="0"/>
            </w:pPr>
            <w:r/>
            <w:r>
              <w:rPr>
                <w:b w:val="0"/>
                <w:sz w:val="16"/>
              </w:rPr>
              <w:t>Phase 2: Input and ranking MVP</w:t>
            </w:r>
          </w:p>
        </w:tc>
        <w:tc>
          <w:tcPr>
            <w:tcW w:type="dxa" w:w="4320"/>
            <w:vAlign w:val="top"/>
          </w:tcPr>
          <w:p>
            <w:pPr>
              <w:spacing w:after="0" w:before="0"/>
            </w:pPr>
            <w:r/>
            <w:r>
              <w:rPr>
                <w:b w:val="0"/>
                <w:sz w:val="16"/>
              </w:rPr>
              <w:t>Build user input flow and deterministic scoring engine.</w:t>
            </w:r>
          </w:p>
        </w:tc>
        <w:tc>
          <w:tcPr>
            <w:tcW w:type="dxa" w:w="3600"/>
            <w:vAlign w:val="top"/>
          </w:tcPr>
          <w:p>
            <w:pPr>
              <w:spacing w:after="0" w:before="0"/>
            </w:pPr>
            <w:r/>
            <w:r>
              <w:rPr>
                <w:b w:val="0"/>
                <w:sz w:val="16"/>
              </w:rPr>
              <w:t>Working flow returns ranked vendors from seeded data.</w:t>
            </w:r>
          </w:p>
        </w:tc>
      </w:tr>
      <w:tr>
        <w:tc>
          <w:tcPr>
            <w:tcW w:type="dxa" w:w="2592"/>
            <w:vAlign w:val="top"/>
          </w:tcPr>
          <w:p>
            <w:pPr>
              <w:spacing w:after="0" w:before="0"/>
            </w:pPr>
            <w:r/>
            <w:r>
              <w:rPr>
                <w:b w:val="0"/>
                <w:sz w:val="16"/>
              </w:rPr>
              <w:t>Phase 3: Evidence and drill-down</w:t>
            </w:r>
          </w:p>
        </w:tc>
        <w:tc>
          <w:tcPr>
            <w:tcW w:type="dxa" w:w="4320"/>
            <w:vAlign w:val="top"/>
          </w:tcPr>
          <w:p>
            <w:pPr>
              <w:spacing w:after="0" w:before="0"/>
            </w:pPr>
            <w:r/>
            <w:r>
              <w:rPr>
                <w:b w:val="0"/>
                <w:sz w:val="16"/>
              </w:rPr>
              <w:t>Attach evidence items to subfactor scores and expose drill-down.</w:t>
            </w:r>
          </w:p>
        </w:tc>
        <w:tc>
          <w:tcPr>
            <w:tcW w:type="dxa" w:w="3600"/>
            <w:vAlign w:val="top"/>
          </w:tcPr>
          <w:p>
            <w:pPr>
              <w:spacing w:after="0" w:before="0"/>
            </w:pPr>
            <w:r/>
            <w:r>
              <w:rPr>
                <w:b w:val="0"/>
                <w:sz w:val="16"/>
              </w:rPr>
              <w:t>Evidence traceability, confidence score, missing evidence.</w:t>
            </w:r>
          </w:p>
        </w:tc>
      </w:tr>
      <w:tr>
        <w:tc>
          <w:tcPr>
            <w:tcW w:type="dxa" w:w="2592"/>
            <w:vAlign w:val="top"/>
          </w:tcPr>
          <w:p>
            <w:pPr>
              <w:spacing w:after="0" w:before="0"/>
            </w:pPr>
            <w:r/>
            <w:r>
              <w:rPr>
                <w:b w:val="0"/>
                <w:sz w:val="16"/>
              </w:rPr>
              <w:t>Phase 4: Industry/adoption layer</w:t>
            </w:r>
          </w:p>
        </w:tc>
        <w:tc>
          <w:tcPr>
            <w:tcW w:type="dxa" w:w="4320"/>
            <w:vAlign w:val="top"/>
          </w:tcPr>
          <w:p>
            <w:pPr>
              <w:spacing w:after="0" w:before="0"/>
            </w:pPr>
            <w:r/>
            <w:r>
              <w:rPr>
                <w:b w:val="0"/>
                <w:sz w:val="16"/>
              </w:rPr>
              <w:t>Add industry archetypes, adoption maturity, vendor sector proof.</w:t>
            </w:r>
          </w:p>
        </w:tc>
        <w:tc>
          <w:tcPr>
            <w:tcW w:type="dxa" w:w="3600"/>
            <w:vAlign w:val="top"/>
          </w:tcPr>
          <w:p>
            <w:pPr>
              <w:spacing w:after="0" w:before="0"/>
            </w:pPr>
            <w:r/>
            <w:r>
              <w:rPr>
                <w:b w:val="0"/>
                <w:sz w:val="16"/>
              </w:rPr>
              <w:t>Industry-adjusted rankings and explanations.</w:t>
            </w:r>
          </w:p>
        </w:tc>
      </w:tr>
      <w:tr>
        <w:tc>
          <w:tcPr>
            <w:tcW w:type="dxa" w:w="2592"/>
            <w:vAlign w:val="top"/>
          </w:tcPr>
          <w:p>
            <w:pPr>
              <w:spacing w:after="0" w:before="0"/>
            </w:pPr>
            <w:r/>
            <w:r>
              <w:rPr>
                <w:b w:val="0"/>
                <w:sz w:val="16"/>
              </w:rPr>
              <w:t>Phase 5: Public data ingestion</w:t>
            </w:r>
          </w:p>
        </w:tc>
        <w:tc>
          <w:tcPr>
            <w:tcW w:type="dxa" w:w="4320"/>
            <w:vAlign w:val="top"/>
          </w:tcPr>
          <w:p>
            <w:pPr>
              <w:spacing w:after="0" w:before="0"/>
            </w:pPr>
            <w:r/>
            <w:r>
              <w:rPr>
                <w:b w:val="0"/>
                <w:sz w:val="16"/>
              </w:rPr>
              <w:t>Build fetchers/scrapers for vendor docs, pricing, trust centres, status pages.</w:t>
            </w:r>
          </w:p>
        </w:tc>
        <w:tc>
          <w:tcPr>
            <w:tcW w:type="dxa" w:w="3600"/>
            <w:vAlign w:val="top"/>
          </w:tcPr>
          <w:p>
            <w:pPr>
              <w:spacing w:after="0" w:before="0"/>
            </w:pPr>
            <w:r/>
            <w:r>
              <w:rPr>
                <w:b w:val="0"/>
                <w:sz w:val="16"/>
              </w:rPr>
              <w:t>Evidence ingestion queue, source freshness.</w:t>
            </w:r>
          </w:p>
        </w:tc>
      </w:tr>
      <w:tr>
        <w:tc>
          <w:tcPr>
            <w:tcW w:type="dxa" w:w="2592"/>
            <w:vAlign w:val="top"/>
          </w:tcPr>
          <w:p>
            <w:pPr>
              <w:spacing w:after="0" w:before="0"/>
            </w:pPr>
            <w:r/>
            <w:r>
              <w:rPr>
                <w:b w:val="0"/>
                <w:sz w:val="16"/>
              </w:rPr>
              <w:t>Phase 6: LLM evidence classifier</w:t>
            </w:r>
          </w:p>
        </w:tc>
        <w:tc>
          <w:tcPr>
            <w:tcW w:type="dxa" w:w="4320"/>
            <w:vAlign w:val="top"/>
          </w:tcPr>
          <w:p>
            <w:pPr>
              <w:spacing w:after="0" w:before="0"/>
            </w:pPr>
            <w:r/>
            <w:r>
              <w:rPr>
                <w:b w:val="0"/>
                <w:sz w:val="16"/>
              </w:rPr>
              <w:t>Extract and classify evidence into strict schema.</w:t>
            </w:r>
          </w:p>
        </w:tc>
        <w:tc>
          <w:tcPr>
            <w:tcW w:type="dxa" w:w="3600"/>
            <w:vAlign w:val="top"/>
          </w:tcPr>
          <w:p>
            <w:pPr>
              <w:spacing w:after="0" w:before="0"/>
            </w:pPr>
            <w:r/>
            <w:r>
              <w:rPr>
                <w:b w:val="0"/>
                <w:sz w:val="16"/>
              </w:rPr>
              <w:t>Evidence grading assistant with admin review.</w:t>
            </w:r>
          </w:p>
        </w:tc>
      </w:tr>
      <w:tr>
        <w:tc>
          <w:tcPr>
            <w:tcW w:type="dxa" w:w="2592"/>
            <w:vAlign w:val="top"/>
          </w:tcPr>
          <w:p>
            <w:pPr>
              <w:spacing w:after="0" w:before="0"/>
            </w:pPr>
            <w:r/>
            <w:r>
              <w:rPr>
                <w:b w:val="0"/>
                <w:sz w:val="16"/>
              </w:rPr>
              <w:t>Phase 7: Risk engine</w:t>
            </w:r>
          </w:p>
        </w:tc>
        <w:tc>
          <w:tcPr>
            <w:tcW w:type="dxa" w:w="4320"/>
            <w:vAlign w:val="top"/>
          </w:tcPr>
          <w:p>
            <w:pPr>
              <w:spacing w:after="0" w:before="0"/>
            </w:pPr>
            <w:r/>
            <w:r>
              <w:rPr>
                <w:b w:val="0"/>
                <w:sz w:val="16"/>
              </w:rPr>
              <w:t>Add blockers, penalties, missing-evidence penalties.</w:t>
            </w:r>
          </w:p>
        </w:tc>
        <w:tc>
          <w:tcPr>
            <w:tcW w:type="dxa" w:w="3600"/>
            <w:vAlign w:val="top"/>
          </w:tcPr>
          <w:p>
            <w:pPr>
              <w:spacing w:after="0" w:before="0"/>
            </w:pPr>
            <w:r/>
            <w:r>
              <w:rPr>
                <w:b w:val="0"/>
                <w:sz w:val="16"/>
              </w:rPr>
              <w:t>Risk flags and Not Recommended logic.</w:t>
            </w:r>
          </w:p>
        </w:tc>
      </w:tr>
      <w:tr>
        <w:tc>
          <w:tcPr>
            <w:tcW w:type="dxa" w:w="2592"/>
            <w:vAlign w:val="top"/>
          </w:tcPr>
          <w:p>
            <w:pPr>
              <w:spacing w:after="0" w:before="0"/>
            </w:pPr>
            <w:r/>
            <w:r>
              <w:rPr>
                <w:b w:val="0"/>
                <w:sz w:val="16"/>
              </w:rPr>
              <w:t>Phase 8: Exports and admin</w:t>
            </w:r>
          </w:p>
        </w:tc>
        <w:tc>
          <w:tcPr>
            <w:tcW w:type="dxa" w:w="4320"/>
            <w:vAlign w:val="top"/>
          </w:tcPr>
          <w:p>
            <w:pPr>
              <w:spacing w:after="0" w:before="0"/>
            </w:pPr>
            <w:r/>
            <w:r>
              <w:rPr>
                <w:b w:val="0"/>
                <w:sz w:val="16"/>
              </w:rPr>
              <w:t>Board pack, advanced report, admin evidence review.</w:t>
            </w:r>
          </w:p>
        </w:tc>
        <w:tc>
          <w:tcPr>
            <w:tcW w:type="dxa" w:w="3600"/>
            <w:vAlign w:val="top"/>
          </w:tcPr>
          <w:p>
            <w:pPr>
              <w:spacing w:after="0" w:before="0"/>
            </w:pPr>
            <w:r/>
            <w:r>
              <w:rPr>
                <w:b w:val="0"/>
                <w:sz w:val="16"/>
              </w:rPr>
              <w:t>Exportable outputs and governance tooling.</w:t>
            </w:r>
          </w:p>
        </w:tc>
      </w:tr>
    </w:tbl>
    <w:p/>
    <w:p>
      <w:pPr>
        <w:pStyle w:val="Heading1"/>
      </w:pPr>
      <w:r>
        <w:t>25. Product Backlog</w:t>
      </w:r>
    </w:p>
    <w:tbl>
      <w:tblPr>
        <w:tblStyle w:val="TableGrid"/>
        <w:tblW w:type="auto" w:w="0"/>
        <w:jc w:val="center"/>
        <w:tblLook w:firstColumn="1" w:firstRow="1" w:lastColumn="0" w:lastRow="0" w:noHBand="0" w:noVBand="1" w:val="04A0"/>
      </w:tblPr>
      <w:tblGrid>
        <w:gridCol w:w="5328"/>
        <w:gridCol w:w="5328"/>
      </w:tblGrid>
      <w:tr>
        <w:tc>
          <w:tcPr>
            <w:tcW w:type="dxa" w:w="2448"/>
            <w:shd w:fill="1F4E79"/>
            <w:vAlign w:val="center"/>
          </w:tcPr>
          <w:p>
            <w:pPr>
              <w:spacing w:after="0" w:before="0"/>
            </w:pPr>
            <w:r/>
            <w:r>
              <w:rPr>
                <w:b/>
                <w:color w:val="FFFFFF"/>
                <w:sz w:val="16"/>
              </w:rPr>
              <w:t>Epic</w:t>
            </w:r>
          </w:p>
        </w:tc>
        <w:tc>
          <w:tcPr>
            <w:tcW w:type="dxa" w:w="8064"/>
            <w:shd w:fill="1F4E79"/>
            <w:vAlign w:val="center"/>
          </w:tcPr>
          <w:p>
            <w:pPr>
              <w:spacing w:after="0" w:before="0"/>
            </w:pPr>
            <w:r/>
            <w:r>
              <w:rPr>
                <w:b/>
                <w:color w:val="FFFFFF"/>
                <w:sz w:val="16"/>
              </w:rPr>
              <w:t>Key stories</w:t>
            </w:r>
          </w:p>
        </w:tc>
      </w:tr>
      <w:tr>
        <w:tc>
          <w:tcPr>
            <w:tcW w:type="dxa" w:w="2448"/>
            <w:vAlign w:val="top"/>
          </w:tcPr>
          <w:p>
            <w:pPr>
              <w:spacing w:after="0" w:before="0"/>
            </w:pPr>
            <w:r/>
            <w:r>
              <w:rPr>
                <w:b w:val="0"/>
                <w:sz w:val="16"/>
              </w:rPr>
              <w:t>User input</w:t>
            </w:r>
          </w:p>
        </w:tc>
        <w:tc>
          <w:tcPr>
            <w:tcW w:type="dxa" w:w="8064"/>
            <w:vAlign w:val="top"/>
          </w:tcPr>
          <w:p>
            <w:pPr>
              <w:spacing w:after="0" w:before="0"/>
            </w:pPr>
            <w:r/>
            <w:r>
              <w:rPr>
                <w:b w:val="0"/>
                <w:sz w:val="16"/>
              </w:rPr>
              <w:t>As a user, I can complete context inputs in under two minutes. As a user, I can choose recommended vendors or select my own.</w:t>
            </w:r>
          </w:p>
        </w:tc>
      </w:tr>
      <w:tr>
        <w:tc>
          <w:tcPr>
            <w:tcW w:type="dxa" w:w="2448"/>
            <w:vAlign w:val="top"/>
          </w:tcPr>
          <w:p>
            <w:pPr>
              <w:spacing w:after="0" w:before="0"/>
            </w:pPr>
            <w:r/>
            <w:r>
              <w:rPr>
                <w:b w:val="0"/>
                <w:sz w:val="16"/>
              </w:rPr>
              <w:t>Ranking output</w:t>
            </w:r>
          </w:p>
        </w:tc>
        <w:tc>
          <w:tcPr>
            <w:tcW w:type="dxa" w:w="8064"/>
            <w:vAlign w:val="top"/>
          </w:tcPr>
          <w:p>
            <w:pPr>
              <w:spacing w:after="0" w:before="0"/>
            </w:pPr>
            <w:r/>
            <w:r>
              <w:rPr>
                <w:b w:val="0"/>
                <w:sz w:val="16"/>
              </w:rPr>
              <w:t>As a user, I receive ranked vendors with final score, confidence, and rationale.</w:t>
            </w:r>
          </w:p>
        </w:tc>
      </w:tr>
      <w:tr>
        <w:tc>
          <w:tcPr>
            <w:tcW w:type="dxa" w:w="2448"/>
            <w:vAlign w:val="top"/>
          </w:tcPr>
          <w:p>
            <w:pPr>
              <w:spacing w:after="0" w:before="0"/>
            </w:pPr>
            <w:r/>
            <w:r>
              <w:rPr>
                <w:b w:val="0"/>
                <w:sz w:val="16"/>
              </w:rPr>
              <w:t>Pillar scoring</w:t>
            </w:r>
          </w:p>
        </w:tc>
        <w:tc>
          <w:tcPr>
            <w:tcW w:type="dxa" w:w="8064"/>
            <w:vAlign w:val="top"/>
          </w:tcPr>
          <w:p>
            <w:pPr>
              <w:spacing w:after="0" w:before="0"/>
            </w:pPr>
            <w:r/>
            <w:r>
              <w:rPr>
                <w:b w:val="0"/>
                <w:sz w:val="16"/>
              </w:rPr>
              <w:t>As a user, I can view six pillar scores. As a reviewer, I can expand subfactor detail.</w:t>
            </w:r>
          </w:p>
        </w:tc>
      </w:tr>
      <w:tr>
        <w:tc>
          <w:tcPr>
            <w:tcW w:type="dxa" w:w="2448"/>
            <w:vAlign w:val="top"/>
          </w:tcPr>
          <w:p>
            <w:pPr>
              <w:spacing w:after="0" w:before="0"/>
            </w:pPr>
            <w:r/>
            <w:r>
              <w:rPr>
                <w:b w:val="0"/>
                <w:sz w:val="16"/>
              </w:rPr>
              <w:t>Evidence engine</w:t>
            </w:r>
          </w:p>
        </w:tc>
        <w:tc>
          <w:tcPr>
            <w:tcW w:type="dxa" w:w="8064"/>
            <w:vAlign w:val="top"/>
          </w:tcPr>
          <w:p>
            <w:pPr>
              <w:spacing w:after="0" w:before="0"/>
            </w:pPr>
            <w:r/>
            <w:r>
              <w:rPr>
                <w:b w:val="0"/>
                <w:sz w:val="16"/>
              </w:rPr>
              <w:t>As an admin, I can view, approve, downgrade, or remove evidence items.</w:t>
            </w:r>
          </w:p>
        </w:tc>
      </w:tr>
      <w:tr>
        <w:tc>
          <w:tcPr>
            <w:tcW w:type="dxa" w:w="2448"/>
            <w:vAlign w:val="top"/>
          </w:tcPr>
          <w:p>
            <w:pPr>
              <w:spacing w:after="0" w:before="0"/>
            </w:pPr>
            <w:r/>
            <w:r>
              <w:rPr>
                <w:b w:val="0"/>
                <w:sz w:val="16"/>
              </w:rPr>
              <w:t>Industry rules</w:t>
            </w:r>
          </w:p>
        </w:tc>
        <w:tc>
          <w:tcPr>
            <w:tcW w:type="dxa" w:w="8064"/>
            <w:vAlign w:val="top"/>
          </w:tcPr>
          <w:p>
            <w:pPr>
              <w:spacing w:after="0" w:before="0"/>
            </w:pPr>
            <w:r/>
            <w:r>
              <w:rPr>
                <w:b w:val="0"/>
                <w:sz w:val="16"/>
              </w:rPr>
              <w:t>As a user, I see rankings adjusted by my sector. As admin, I can update industry weights.</w:t>
            </w:r>
          </w:p>
        </w:tc>
      </w:tr>
      <w:tr>
        <w:tc>
          <w:tcPr>
            <w:tcW w:type="dxa" w:w="2448"/>
            <w:vAlign w:val="top"/>
          </w:tcPr>
          <w:p>
            <w:pPr>
              <w:spacing w:after="0" w:before="0"/>
            </w:pPr>
            <w:r/>
            <w:r>
              <w:rPr>
                <w:b w:val="0"/>
                <w:sz w:val="16"/>
              </w:rPr>
              <w:t>Adoption logic</w:t>
            </w:r>
          </w:p>
        </w:tc>
        <w:tc>
          <w:tcPr>
            <w:tcW w:type="dxa" w:w="8064"/>
            <w:vAlign w:val="top"/>
          </w:tcPr>
          <w:p>
            <w:pPr>
              <w:spacing w:after="0" w:before="0"/>
            </w:pPr>
            <w:r/>
            <w:r>
              <w:rPr>
                <w:b w:val="0"/>
                <w:sz w:val="16"/>
              </w:rPr>
              <w:t>As a user, I see whether sector maturity and vendor sector proof affected the score.</w:t>
            </w:r>
          </w:p>
        </w:tc>
      </w:tr>
      <w:tr>
        <w:tc>
          <w:tcPr>
            <w:tcW w:type="dxa" w:w="2448"/>
            <w:vAlign w:val="top"/>
          </w:tcPr>
          <w:p>
            <w:pPr>
              <w:spacing w:after="0" w:before="0"/>
            </w:pPr>
            <w:r/>
            <w:r>
              <w:rPr>
                <w:b w:val="0"/>
                <w:sz w:val="16"/>
              </w:rPr>
              <w:t>Risk flags</w:t>
            </w:r>
          </w:p>
        </w:tc>
        <w:tc>
          <w:tcPr>
            <w:tcW w:type="dxa" w:w="8064"/>
            <w:vAlign w:val="top"/>
          </w:tcPr>
          <w:p>
            <w:pPr>
              <w:spacing w:after="0" w:before="0"/>
            </w:pPr>
            <w:r/>
            <w:r>
              <w:rPr>
                <w:b w:val="0"/>
                <w:sz w:val="16"/>
              </w:rPr>
              <w:t>As a user, I see the most important risks. As admin, I can inspect triggered rules.</w:t>
            </w:r>
          </w:p>
        </w:tc>
      </w:tr>
      <w:tr>
        <w:tc>
          <w:tcPr>
            <w:tcW w:type="dxa" w:w="2448"/>
            <w:vAlign w:val="top"/>
          </w:tcPr>
          <w:p>
            <w:pPr>
              <w:spacing w:after="0" w:before="0"/>
            </w:pPr>
            <w:r/>
            <w:r>
              <w:rPr>
                <w:b w:val="0"/>
                <w:sz w:val="16"/>
              </w:rPr>
              <w:t>Vendor profiles</w:t>
            </w:r>
          </w:p>
        </w:tc>
        <w:tc>
          <w:tcPr>
            <w:tcW w:type="dxa" w:w="8064"/>
            <w:vAlign w:val="top"/>
          </w:tcPr>
          <w:p>
            <w:pPr>
              <w:spacing w:after="0" w:before="0"/>
            </w:pPr>
            <w:r/>
            <w:r>
              <w:rPr>
                <w:b w:val="0"/>
                <w:sz w:val="16"/>
              </w:rPr>
              <w:t>As an admin, I can edit vendor capabilities, evidence, and data freshness.</w:t>
            </w:r>
          </w:p>
        </w:tc>
      </w:tr>
      <w:tr>
        <w:tc>
          <w:tcPr>
            <w:tcW w:type="dxa" w:w="2448"/>
            <w:vAlign w:val="top"/>
          </w:tcPr>
          <w:p>
            <w:pPr>
              <w:spacing w:after="0" w:before="0"/>
            </w:pPr>
            <w:r/>
            <w:r>
              <w:rPr>
                <w:b w:val="0"/>
                <w:sz w:val="16"/>
              </w:rPr>
              <w:t>Exports</w:t>
            </w:r>
          </w:p>
        </w:tc>
        <w:tc>
          <w:tcPr>
            <w:tcW w:type="dxa" w:w="8064"/>
            <w:vAlign w:val="top"/>
          </w:tcPr>
          <w:p>
            <w:pPr>
              <w:spacing w:after="0" w:before="0"/>
            </w:pPr>
            <w:r/>
            <w:r>
              <w:rPr>
                <w:b w:val="0"/>
                <w:sz w:val="16"/>
              </w:rPr>
              <w:t>As a user, I can download a board summary or advanced assessment.</w:t>
            </w:r>
          </w:p>
        </w:tc>
      </w:tr>
      <w:tr>
        <w:tc>
          <w:tcPr>
            <w:tcW w:type="dxa" w:w="2448"/>
            <w:vAlign w:val="top"/>
          </w:tcPr>
          <w:p>
            <w:pPr>
              <w:spacing w:after="0" w:before="0"/>
            </w:pPr>
            <w:r/>
            <w:r>
              <w:rPr>
                <w:b w:val="0"/>
                <w:sz w:val="16"/>
              </w:rPr>
              <w:t>Audit</w:t>
            </w:r>
          </w:p>
        </w:tc>
        <w:tc>
          <w:tcPr>
            <w:tcW w:type="dxa" w:w="8064"/>
            <w:vAlign w:val="top"/>
          </w:tcPr>
          <w:p>
            <w:pPr>
              <w:spacing w:after="0" w:before="0"/>
            </w:pPr>
            <w:r/>
            <w:r>
              <w:rPr>
                <w:b w:val="0"/>
                <w:sz w:val="16"/>
              </w:rPr>
              <w:t>As an admin, all score/evidence changes are logged.</w:t>
            </w:r>
          </w:p>
        </w:tc>
      </w:tr>
    </w:tbl>
    <w:p/>
    <w:p>
      <w:pPr>
        <w:pStyle w:val="Heading1"/>
      </w:pPr>
      <w:r>
        <w:t>26. Open Decisions</w:t>
      </w:r>
    </w:p>
    <w:p>
      <w:pPr>
        <w:pStyle w:val="ListBullet"/>
      </w:pPr>
      <w:r>
        <w:t>Initial vendor universe: which vendors are included in MVP and which categories are in/out?</w:t>
      </w:r>
    </w:p>
    <w:p>
      <w:pPr>
        <w:pStyle w:val="ListBullet"/>
      </w:pPr>
      <w:r>
        <w:t>Evidence source policy: which public sources are accepted for production scoring?</w:t>
      </w:r>
    </w:p>
    <w:p>
      <w:pPr>
        <w:pStyle w:val="ListBullet"/>
      </w:pPr>
      <w:r>
        <w:t>Data licensing: which analyst reports or third-party sources can legally be used?</w:t>
      </w:r>
    </w:p>
    <w:p>
      <w:pPr>
        <w:pStyle w:val="ListBullet"/>
      </w:pPr>
      <w:r>
        <w:t>Region strategy: should MVP include UK/EU/US jurisdiction modifiers or only industry modifiers?</w:t>
      </w:r>
    </w:p>
    <w:p>
      <w:pPr>
        <w:pStyle w:val="ListBullet"/>
      </w:pPr>
      <w:r>
        <w:t>Scoring calibration: should weights be manually set at launch or calibrated against sample vendor assessments?</w:t>
      </w:r>
    </w:p>
    <w:p>
      <w:pPr>
        <w:pStyle w:val="ListBullet"/>
      </w:pPr>
      <w:r>
        <w:t>Export format: should MVP export DOCX, PDF, or both?</w:t>
      </w:r>
    </w:p>
    <w:p>
      <w:pPr>
        <w:pStyle w:val="ListBullet"/>
      </w:pPr>
      <w:r>
        <w:t>User accounts: anonymous single-run assessments versus authenticated saved projects?</w:t>
      </w:r>
    </w:p>
    <w:p>
      <w:pPr>
        <w:pStyle w:val="ListBullet"/>
      </w:pPr>
      <w:r>
        <w:t>Vendor self-submission: should vendors be able to submit evidence later?</w:t>
      </w:r>
    </w:p>
    <w:p>
      <w:pPr>
        <w:pStyle w:val="ListBullet"/>
      </w:pPr>
      <w:r>
        <w:t>Human review: which evidence grades require analyst approval before affecting production scores?</w:t>
      </w:r>
    </w:p>
    <w:p>
      <w:pPr>
        <w:pStyle w:val="ListBullet"/>
      </w:pPr>
      <w:r>
        <w:t>Pricing model: free teaser, paid report, enterprise subscription, or analyst dashboard?</w:t>
      </w:r>
    </w:p>
    <w:p>
      <w:pPr>
        <w:pStyle w:val="Heading1"/>
      </w:pPr>
      <w:r>
        <w:t>27. Final Recommended Product Shape</w:t>
      </w:r>
    </w:p>
    <w:tbl>
      <w:tblPr>
        <w:tblStyle w:val="TableGrid"/>
        <w:tblW w:type="auto" w:w="0"/>
        <w:tblLook w:firstColumn="1" w:firstRow="1" w:lastColumn="0" w:lastRow="0" w:noHBand="0" w:noVBand="1" w:val="04A0"/>
      </w:tblPr>
      <w:tblGrid>
        <w:gridCol w:w="10656"/>
      </w:tblGrid>
      <w:tr>
        <w:tc>
          <w:tcPr>
            <w:tcW w:type="dxa" w:w="10656"/>
            <w:shd w:fill="FFF2CC"/>
          </w:tcPr>
          <w:p>
            <w:r>
              <w:rPr>
                <w:b/>
                <w:sz w:val="20"/>
              </w:rPr>
              <w:t>Final Recommendation</w:t>
            </w:r>
            <w:r>
              <w:rPr>
                <w:sz w:val="18"/>
              </w:rPr>
              <w:br/>
              <w:t>Build a sector-aware, evidence-weighted enterprise AI vendor ranking app. Use a two-minute input flow and a six-pillar output. Keep the full v2.0 framework, fail conditions, evidence pack, regulatory mapping, and industry overlays in the backend and advanced/export layers.</w:t>
            </w:r>
          </w:p>
        </w:tc>
      </w:tr>
    </w:tbl>
    <w:p/>
    <w:p>
      <w:pPr>
        <w:pStyle w:val="ListBullet"/>
      </w:pPr>
      <w:r>
        <w:t>Do not expose the full 12-domain framework by default.</w:t>
      </w:r>
    </w:p>
    <w:p>
      <w:pPr>
        <w:pStyle w:val="ListBullet"/>
      </w:pPr>
      <w:r>
        <w:t>Do not remove the full framework from backend logic.</w:t>
      </w:r>
    </w:p>
    <w:p>
      <w:pPr>
        <w:pStyle w:val="ListBullet"/>
      </w:pPr>
      <w:r>
        <w:t>Do not let vendor claims score as verified evidence.</w:t>
      </w:r>
    </w:p>
    <w:p>
      <w:pPr>
        <w:pStyle w:val="ListBullet"/>
      </w:pPr>
      <w:r>
        <w:t>Do not hard-code generic rankings detached from user context.</w:t>
      </w:r>
    </w:p>
    <w:p>
      <w:pPr>
        <w:pStyle w:val="ListBullet"/>
      </w:pPr>
      <w:r>
        <w:t>Do not treat adoption percentage as platform quality.</w:t>
      </w:r>
    </w:p>
    <w:p>
      <w:pPr>
        <w:pStyle w:val="ListBullet"/>
      </w:pPr>
      <w:r>
        <w:t>Do not overstate final certainty; always show confidence and validation gaps.</w:t>
      </w:r>
    </w:p>
    <w:p>
      <w:pPr>
        <w:pStyle w:val="Heading1"/>
      </w:pPr>
      <w:r>
        <w:t>Appendix A. Source Framework Dependencies</w:t>
      </w:r>
    </w:p>
    <w:p>
      <w:pPr>
        <w:pStyle w:val="ListBullet"/>
      </w:pPr>
      <w:r>
        <w:t>Enterprise AI Assessment Framework v2.0: 12-domain methodology, decision thresholds, score definitions, fail conditions, evidence packs, standards mapping, industry overlays, and capital resilience domain.</w:t>
      </w:r>
    </w:p>
    <w:p>
      <w:pPr>
        <w:pStyle w:val="ListBullet"/>
      </w:pPr>
      <w:r>
        <w:t>Product-model refinement: six-pillar app UX, two-minute input flow, evidence-weighted scoring, public/proxy data architecture, industry adoption maturity logic, market strength and vendor strategy logic.</w:t>
      </w:r>
    </w:p>
    <w:p>
      <w:pPr>
        <w:pStyle w:val="ListBullet"/>
      </w:pPr>
      <w:r>
        <w:t>Backend retention decision: full regulatory mapping, automatic fail conditions, full evidence pack, gold-set testing methodology, due-diligence questionnaire, and clause-level mappings remain in backend/advanced/export mode.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working specification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AnalystGenius | Enterprise AI Platform Ranking Engine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44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