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27.7 %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27.7%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(Moreira et al., 2024; Muñoz Pilozo et al.,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34.8 minutos en la condición híbrida y 28.5 minutos en la condición sin componente tabular. Como muestran la Tabla 13 y la Figura 6, en la condición híbrida la pérdida de validación descendió a 0.0001 al final del entrenamiento, mientras que en la condición sin componente tabular se estabilizó en 0.0660.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2408" w:type="dxa"/>
            <w:tcBorders/>
            <w:vAlign w:val="center"/>
          </w:tcPr>
          <w:p>
            <w:pPr>
              <w:pStyle w:val="CONTTBFB"/>
              <w:spacing w:after="0" w:line="240" w:lineRule="auto"/>
              <w:jc w:val="left"/>
            </w:pPr>
            <w:r>
              <w:rPr>
                <w:sz w:val="18"/>
                <w:szCs w:val="18"/>
              </w:rPr>
              <w:t xml:space="preserve">CareER-GPT híbrido</w:t>
            </w:r>
          </w:p>
        </w:tc>
        <w:tc>
          <w:tcPr>
            <w:tcW w:w="935" w:type="dxa"/>
            <w:tcBorders/>
            <w:vAlign w:val="center"/>
          </w:tcPr>
          <w:p>
            <w:pPr>
              <w:pStyle w:val="CONTTBFB"/>
              <w:spacing w:after="0" w:line="240" w:lineRule="auto"/>
              <w:jc w:val="center"/>
            </w:pPr>
            <w:r>
              <w:rPr>
                <w:sz w:val="18"/>
                <w:szCs w:val="18"/>
              </w:rPr>
              <w:t xml:space="preserve">4 358 144</w:t>
            </w:r>
          </w:p>
        </w:tc>
        <w:tc>
          <w:tcPr>
            <w:tcW w:w="935" w:type="dxa"/>
            <w:tcBorders/>
            <w:vAlign w:val="center"/>
          </w:tcPr>
          <w:p>
            <w:pPr>
              <w:pStyle w:val="CONTTBFB"/>
              <w:spacing w:after="0" w:line="240" w:lineRule="auto"/>
              <w:jc w:val="center"/>
            </w:pPr>
            <w:r>
              <w:rPr>
                <w:sz w:val="18"/>
                <w:szCs w:val="18"/>
              </w:rPr>
              <w:t xml:space="preserve">34.8</w:t>
            </w:r>
          </w:p>
        </w:tc>
        <w:tc>
          <w:tcPr>
            <w:tcW w:w="935" w:type="dxa"/>
            <w:tcBorders/>
            <w:vAlign w:val="center"/>
          </w:tcPr>
          <w:p>
            <w:pPr>
              <w:pStyle w:val="CONTTBFB"/>
              <w:spacing w:after="0" w:line="240" w:lineRule="auto"/>
              <w:jc w:val="center"/>
            </w:pPr>
            <w:r>
              <w:rPr>
                <w:sz w:val="18"/>
                <w:szCs w:val="18"/>
              </w:rPr>
              <w:t xml:space="preserve">1.5398</w:t>
            </w:r>
          </w:p>
        </w:tc>
        <w:tc>
          <w:tcPr>
            <w:tcW w:w="935" w:type="dxa"/>
            <w:tcBorders/>
            <w:vAlign w:val="center"/>
          </w:tcPr>
          <w:p>
            <w:pPr>
              <w:pStyle w:val="CONTTBFB"/>
              <w:spacing w:after="0" w:line="240" w:lineRule="auto"/>
              <w:jc w:val="center"/>
            </w:pPr>
            <w:r>
              <w:rPr>
                <w:sz w:val="18"/>
                <w:szCs w:val="18"/>
              </w:rPr>
              <w:t xml:space="preserve">0.0001</w:t>
            </w:r>
          </w:p>
        </w:tc>
        <w:tc>
          <w:tcPr>
            <w:tcW w:w="935" w:type="dxa"/>
            <w:tcBorders/>
            <w:vAlign w:val="center"/>
          </w:tcPr>
          <w:p>
            <w:pPr>
              <w:pStyle w:val="CONTTBFB"/>
              <w:spacing w:after="0" w:line="240" w:lineRule="auto"/>
              <w:jc w:val="center"/>
            </w:pPr>
            <w:r>
              <w:rPr>
                <w:sz w:val="18"/>
                <w:szCs w:val="18"/>
              </w:rPr>
              <w:t xml:space="preserve">0.0001</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935"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35" w:type="dxa"/>
            <w:tcBorders>
              <w:bottom w:val="single" w:sz="4" w:space="0" w:color="auto"/>
            </w:tcBorders>
            <w:vAlign w:val="center"/>
          </w:tcPr>
          <w:p>
            <w:pPr>
              <w:pStyle w:val="CONTTBFB"/>
              <w:spacing w:after="0" w:line="240" w:lineRule="auto"/>
              <w:jc w:val="center"/>
            </w:pPr>
            <w:r>
              <w:rPr>
                <w:sz w:val="18"/>
                <w:szCs w:val="18"/>
              </w:rPr>
              <w:t xml:space="preserve">28.5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2.1349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0.0649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0.0660</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Ruta educativa sugerida. Primera opción recomendada: EDUCACIÓN SECUNDARIA DE LA ESPECIALIDAD DE MATEMÁTICA, FÍSICA, COMPUTACIÓN E INFORMÁTICA, con la mayor probabilidad estimada de ingreso (42.2 %). Alternativas: ARQUITECTURA Y URBANISMO (36.7 %) y INGENIERÍA AGRONÓMICA (36.7 %). Tu fortaleza en Comunicación es coherente con estas opciones. Para mejorar tus posibilidades, refuerza Ciencia y Tecnología antes del examen. Estas probabilidades son [...]</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posibilidades de ingresar a la carrera de Ingeniería en Computación e Informática. 1. Preparación Preuniversitaria: - Cepreuna Previa: Esta es una excelente base para comenzar su preparación universitaria. La CEPRENA es un programa de formación continua diseñado [...]</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AGRONÓMICA, con la mayor probabilidad estimada de ingreso (17.6 %). Alternativas: INGENIERÍA GEOLÓGICA (15.2 %) y EDUCACIÓN SECUNDARIA DE LA ESPECIALIDAD DE MATEMÁTICA, FÍSICA, COMPUTACIÓN E INFORMÁTICA (13.2 %). Tu fortaleza en Comunicación es coherente con estas opciones. Para mejorar tus posibilidades, refuerza Ciencia y Tecnología antes del examen. Estas probabilidades son estimaciones [...]</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EDUCACIÓN SECUNDARIA DE LA ESPECIALIDAD DE MATEMÁTICA, FÍSICA, COMPUTACIÓN E INFORMÁTICA, con la mayor probabilidad estimada de ingreso (42.2 %). Alternativas: ARQUITECTURA Y URBANISMO (36.7 %) y INGENIERÍA AGRONÓMICA (36.7 %). Tu fortaleza en Comunicación es coherente con estas opciones. Para mejorar tus posibilidades, refuerza Ciencia y Tecnología antes del examen. Estas probabilidades son [...]</w:t>
            </w:r>
          </w:p>
        </w:tc>
      </w:tr>
    </w:tbl>
    <w:p>
      <w:pPr>
        <w:pStyle w:val="NotasL4L5"/>
      </w:pPr>
      <w:r>
        <w:rPr>
          <w:i/>
        </w:rPr>
        <w:t xml:space="preserve">Nota.</w:t>
      </w:r>
      <w:r>
        <w:t xml:space="preserve"> Se muestran las primeras 60 palabras de cada ruta; [...] indica texto omitido. Se eliminaron los símbolos de formato del modelo base.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0.540, lo que muestra que la coherencia depende de que el modelo reciba 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0.342: generó textos extensos, con formato propio y sin respetar el orden del ranking, con una coherencia de 0.253. El modelo ajustado sin el componente tabular alcanzó 0.783; reprodujo la estructura de la ruta, con un ROUGE-L de 0.852, cercano al de 0.836 que comparten referencias de personas distintas, pero al no conocer las probabilidades recomendó un programa distinto o en otro orden en el 46.0 %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0.143</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0.631</w:t>
            </w:r>
          </w:p>
          <w:p>
            <w:pPr>
              <w:pStyle w:val="CONTTBFB"/>
              <w:spacing w:after="0" w:line="240" w:lineRule="auto"/>
              <w:jc w:val="center"/>
            </w:pPr>
            <w:r>
              <w:rPr>
                <w:sz w:val="18"/>
                <w:szCs w:val="18"/>
              </w:rPr>
              <w:t xml:space="preserve">[0.629, 0.632]</w:t>
            </w:r>
          </w:p>
        </w:tc>
        <w:tc>
          <w:tcPr>
            <w:tcW w:w="1350" w:type="dxa"/>
            <w:tcBorders/>
            <w:vAlign w:val="center"/>
          </w:tcPr>
          <w:p>
            <w:pPr>
              <w:pStyle w:val="CONTTBFB"/>
              <w:spacing w:after="0" w:line="240" w:lineRule="auto"/>
              <w:jc w:val="center"/>
            </w:pPr>
            <w:r>
              <w:rPr>
                <w:sz w:val="18"/>
                <w:szCs w:val="18"/>
              </w:rPr>
              <w:t xml:space="preserve">0.253</w:t>
            </w:r>
          </w:p>
          <w:p>
            <w:pPr>
              <w:pStyle w:val="CONTTBFB"/>
              <w:spacing w:after="0" w:line="240" w:lineRule="auto"/>
              <w:jc w:val="center"/>
            </w:pPr>
            <w:r>
              <w:rPr>
                <w:sz w:val="18"/>
                <w:szCs w:val="18"/>
              </w:rPr>
              <w:t xml:space="preserve">[0.207, 0.303]</w:t>
            </w:r>
          </w:p>
        </w:tc>
        <w:tc>
          <w:tcPr>
            <w:tcW w:w="1350" w:type="dxa"/>
            <w:tcBorders/>
            <w:vAlign w:val="center"/>
          </w:tcPr>
          <w:p>
            <w:pPr>
              <w:pStyle w:val="CONTTBFB"/>
              <w:spacing w:after="0" w:line="240" w:lineRule="auto"/>
              <w:jc w:val="center"/>
            </w:pPr>
            <w:r>
              <w:rPr>
                <w:sz w:val="18"/>
                <w:szCs w:val="18"/>
              </w:rPr>
              <w:t xml:space="preserve">0.342</w:t>
            </w:r>
          </w:p>
          <w:p>
            <w:pPr>
              <w:pStyle w:val="CONTTBFB"/>
              <w:spacing w:after="0" w:line="240" w:lineRule="auto"/>
              <w:jc w:val="center"/>
            </w:pPr>
            <w:r>
              <w:rPr>
                <w:sz w:val="18"/>
                <w:szCs w:val="18"/>
              </w:rPr>
              <w:t xml:space="preserve">[0.326, 0.359]</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0.852</w:t>
            </w:r>
          </w:p>
          <w:p>
            <w:pPr>
              <w:pStyle w:val="CONTTBFB"/>
              <w:spacing w:after="0" w:line="240" w:lineRule="auto"/>
              <w:jc w:val="center"/>
            </w:pPr>
            <w:r>
              <w:rPr>
                <w:sz w:val="18"/>
                <w:szCs w:val="18"/>
              </w:rPr>
              <w:t xml:space="preserve">[0.847, 0.857]</w:t>
            </w:r>
          </w:p>
        </w:tc>
        <w:tc>
          <w:tcPr>
            <w:tcW w:w="1350" w:type="dxa"/>
            <w:tcBorders/>
            <w:vAlign w:val="center"/>
          </w:tcPr>
          <w:p>
            <w:pPr>
              <w:pStyle w:val="CONTTBFB"/>
              <w:spacing w:after="0" w:line="240" w:lineRule="auto"/>
              <w:jc w:val="center"/>
            </w:pPr>
            <w:r>
              <w:rPr>
                <w:sz w:val="18"/>
                <w:szCs w:val="18"/>
              </w:rPr>
              <w:t xml:space="preserve">0.957</w:t>
            </w:r>
          </w:p>
          <w:p>
            <w:pPr>
              <w:pStyle w:val="CONTTBFB"/>
              <w:spacing w:after="0" w:line="240" w:lineRule="auto"/>
              <w:jc w:val="center"/>
            </w:pPr>
            <w:r>
              <w:rPr>
                <w:sz w:val="18"/>
                <w:szCs w:val="18"/>
              </w:rPr>
              <w:t xml:space="preserve">[0.953, 0.961]</w:t>
            </w:r>
          </w:p>
        </w:tc>
        <w:tc>
          <w:tcPr>
            <w:tcW w:w="1350" w:type="dxa"/>
            <w:tcBorders/>
            <w:vAlign w:val="center"/>
          </w:tcPr>
          <w:p>
            <w:pPr>
              <w:pStyle w:val="CONTTBFB"/>
              <w:spacing w:after="0" w:line="240" w:lineRule="auto"/>
              <w:jc w:val="center"/>
            </w:pPr>
            <w:r>
              <w:rPr>
                <w:sz w:val="18"/>
                <w:szCs w:val="18"/>
              </w:rPr>
              <w:t xml:space="preserve">0.540</w:t>
            </w:r>
          </w:p>
          <w:p>
            <w:pPr>
              <w:pStyle w:val="CONTTBFB"/>
              <w:spacing w:after="0" w:line="240" w:lineRule="auto"/>
              <w:jc w:val="center"/>
            </w:pPr>
            <w:r>
              <w:rPr>
                <w:sz w:val="18"/>
                <w:szCs w:val="18"/>
              </w:rPr>
              <w:t xml:space="preserve">[0.487, 0.593]</w:t>
            </w:r>
          </w:p>
        </w:tc>
        <w:tc>
          <w:tcPr>
            <w:tcW w:w="1350" w:type="dxa"/>
            <w:tcBorders/>
            <w:vAlign w:val="center"/>
          </w:tcPr>
          <w:p>
            <w:pPr>
              <w:pStyle w:val="CONTTBFB"/>
              <w:spacing w:after="0" w:line="240" w:lineRule="auto"/>
              <w:jc w:val="center"/>
            </w:pPr>
            <w:r>
              <w:rPr>
                <w:sz w:val="18"/>
                <w:szCs w:val="18"/>
              </w:rPr>
              <w:t xml:space="preserve">0.783</w:t>
            </w:r>
          </w:p>
          <w:p>
            <w:pPr>
              <w:pStyle w:val="CONTTBFB"/>
              <w:spacing w:after="0" w:line="240" w:lineRule="auto"/>
              <w:jc w:val="center"/>
            </w:pPr>
            <w:r>
              <w:rPr>
                <w:sz w:val="18"/>
                <w:szCs w:val="18"/>
              </w:rPr>
              <w:t xml:space="preserve">[0.764, 0.802]</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192.2 % y al modelo ajustado sin componente tabular en 27.7 %, en ambos casos con p &lt; .001 y un tamaño del efecto grande (r = 0.867).</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0.342</w:t>
            </w:r>
          </w:p>
        </w:tc>
        <w:tc>
          <w:tcPr>
            <w:tcW w:w="900" w:type="dxa"/>
            <w:tcBorders/>
            <w:vAlign w:val="center"/>
          </w:tcPr>
          <w:p>
            <w:pPr>
              <w:pStyle w:val="CONTTBFB"/>
              <w:spacing w:after="0" w:line="240" w:lineRule="auto"/>
              <w:jc w:val="center"/>
            </w:pPr>
            <w:r>
              <w:rPr>
                <w:sz w:val="18"/>
                <w:szCs w:val="18"/>
              </w:rPr>
              <w:t xml:space="preserve">192.2</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0.783</w:t>
            </w:r>
          </w:p>
        </w:tc>
        <w:tc>
          <w:tcPr>
            <w:tcW w:w="900" w:type="dxa"/>
            <w:tcBorders>
              <w:bottom w:val="single" w:sz="4" w:space="0" w:color="auto"/>
            </w:tcBorders>
            <w:vAlign w:val="center"/>
          </w:tcPr>
          <w:p>
            <w:pPr>
              <w:pStyle w:val="CONTTBFB"/>
              <w:spacing w:after="0" w:line="240" w:lineRule="auto"/>
              <w:jc w:val="center"/>
            </w:pPr>
            <w:r>
              <w:rPr>
                <w:sz w:val="18"/>
                <w:szCs w:val="18"/>
              </w:rPr>
              <w:t xml:space="preserve">27.7</w:t>
            </w:r>
          </w:p>
        </w:tc>
        <w:tc>
          <w:tcPr>
            <w:tcW w:w="900" w:type="dxa"/>
            <w:tcBorders>
              <w:bottom w:val="single" w:sz="4" w:space="0" w:color="auto"/>
            </w:tcBorders>
            <w:vAlign w:val="center"/>
          </w:tcPr>
          <w:p>
            <w:pPr>
              <w:pStyle w:val="CONTTBFB"/>
              <w:spacing w:after="0" w:line="240" w:lineRule="auto"/>
              <w:jc w:val="center"/>
            </w:pPr>
            <w:r>
              <w:rPr>
                <w:sz w:val="18"/>
                <w:szCs w:val="18"/>
              </w:rPr>
              <w:t xml:space="preserve">45 150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35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0.852, sino en su contenido: sin el ranking, la coherencia descendió a 0.540, y con él alcanzó 1.000.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depende de que el modelo reciba el ranking del componente tabular: sin él, descendió a 0.540.</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192.2 % al modelo base y en 27.7 %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Cuentas Yupanqui, [Completar iniciales]. (2024). [Completar referencia: título, fuente y enlace del estudio sobre deserción y rendimiento en la Universidad Nacional del Altiplano.]</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Moreira, S., Montenegro, Z., y Fernando, D. (2024). Técnicas de machine learning para predecir la deserción estudiantil universitaria: una revisión sistemática de la literatura. Revista Científica Multidisciplinar. [Completar volumen, número y DOI.]</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S. (2023). La inteligencia artificial aplicada al sector educativo: una revisión sistemática de la literatura. [Completar fuente.]</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[insertar enlace del repositorio].</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