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 de Puno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no alcanzó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[Completar con los resultados del ajuste con LoRA y de la integración híbrida.]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it did not reach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[Complete with the results of LoRA fine-tuning and hybrid integration.]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Universidad Nacional del Altiplano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(Millan, 2025).</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(Zheng et al., 2023).</w:t>
      </w:r>
    </w:p>
    <w:p>
      <w:pPr>
        <w:pStyle w:val="Ttulo3"/>
      </w:pPr>
      <w:r>
        <w:t xml:space="preserve">Adaptación de bajo rango (LoRA)</w:t>
      </w:r>
    </w:p>
    <w:p>
      <w:pPr>
        <w:pStyle w:val="NORML3"/>
      </w:pPr>
      <w:r>
        <w:t xml:space="preserve">Según Song et al. (2025) y Zhang et al. (2025),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(Gao et al., 2025; Liu et al., 2025). Su variante cuantizada, QLoRA, permite además ajustar modelos de varios miles de millones de parámetros en una sola unidad de procesamiento gráfico (Dettmers et al., 2023).</w:t>
      </w:r>
    </w:p>
    <w:p>
      <w:pPr>
        <w:pStyle w:val="NORML3"/>
      </w:pPr>
      <w:r>
        <w:t xml:space="preserve">Formalmente, dada una matriz de pesos preentrenada W₀ de dimensión d × k, LoRA no la modifica, sino que representa su actualización como el producto de dos matrices de bajo rango, B de dimensión d × r y A de dimensión r × k, con r mucho menor que d y k (Hu et al., 2021).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Hu et al. (2021).</w:t>
      </w:r>
    </w:p>
    <w:p>
      <w:pPr>
        <w:pStyle w:val="NORML3"/>
      </w:pPr>
      <w:r>
        <w:t xml:space="preserve">QLoRA extiende este esquema cuantizando los pesos congelados del modelo base en 4 bits con el tipo de dato NormalFloat, diseñado para pesos con distribución normal, y aplicando una doble cuantización de las constantes de escala; los adaptadores A y B se mantienen en mayor precisión (Dettmers et al., 2023).</w:t>
      </w:r>
    </w:p>
    <w:p>
      <w:pPr>
        <w:pStyle w:val="Ttulo3"/>
      </w:pPr>
      <w:r>
        <w:t xml:space="preserve">Modelos de lenguaje grandes</w:t>
      </w:r>
    </w:p>
    <w:p>
      <w:pPr>
        <w:pStyle w:val="NORML3"/>
      </w:pPr>
      <w:r>
        <w:t xml:space="preserve">Singhal et al. (2023)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(Negueruela Gómez, 2024; H. Zhang et al., 2026).</w:t>
      </w:r>
    </w:p>
    <w:p>
      <w:pPr>
        <w:pStyle w:val="NORML3"/>
      </w:pPr>
      <w:r>
        <w:t xml:space="preserve">Estos modelos se basan en la arquitectura Transformer, cuyo componente central es el mecanismo de atención, que pondera la relevancia de cada elemento de la secuencia respecto de los demás (Vaswani et al., 2017):</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LoRA se aplica precisamente sobre las matrices de proyección de este mecanismo.</w:t>
      </w:r>
    </w:p>
    <w:p>
      <w:pPr>
        <w:pStyle w:val="NORML3"/>
      </w:pPr>
      <w:r>
        <w:t xml:space="preserve">Un modelo de lenguaje causal se entrena para predecir cada elemento de la secuencia a partir de los anteriores,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(Li et al., 2023).</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(Zavala Guirado et al., 2024). Entre ellos destaca XGBoost, un sistema de potenciación del gradiente sobre árboles de decisión, diseñado para ser escalable y regularizado (Chen y Guestrin, 2016).</w:t>
      </w:r>
    </w:p>
    <w:p>
      <w:pPr>
        <w:pStyle w:val="NORML3"/>
      </w:pPr>
      <w:r>
        <w:t xml:space="preserve">XGBoost construye un conjunto de K árboles de forma secuencial, donde cada árbol corrige los errores de los anteriores, minimizando una función objetivo que combina la pérdida de predicción con un término de regularización (Chen y Guestrin, 2016):</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(Cen et al., 2024; Nass et al., 2023).</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(Kung et al., 2023).</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(Fernandez et al., 2025; Navarro Forero et al., 2025).</w:t>
      </w:r>
    </w:p>
    <w:p>
      <w:pPr>
        <w:pStyle w:val="Ttulo3"/>
      </w:pPr>
      <w:r>
        <w:t xml:space="preserve">Orientación vocacional</w:t>
      </w:r>
    </w:p>
    <w:p>
      <w:pPr>
        <w:pStyle w:val="NORML3"/>
      </w:pPr>
      <w:r>
        <w:t xml:space="preserve">Según Cisneros-Bravo et al. (2023) y Alejandro (2024),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(Flores Meléndez et al., 2020).</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(Yupanquin, 2024).</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(Aguilar-Reyes et al., 2025).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(Moreira et al., 2024; Muñoz Pilozo et al., 2024).</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(Jardon et al., 2024). Desde un enfoque integral, no depende solo de las habilidades cognitivas, sino también de la motivación, de la adecuación entre intereses y carrera elegida y de las condiciones institucionales (Escalante López et al., 2023). La literatura reciente destaca además la autoeficacia, la gestión del tiempo y la percepción del apoyo institucional como factores de la perseverancia (Rodas, 2024).</w:t>
      </w:r>
    </w:p>
    <w:p>
      <w:pPr>
        <w:pStyle w:val="Ttulo3"/>
      </w:pPr>
      <w:r>
        <w:t xml:space="preserve">Deserción estudiantil</w:t>
      </w:r>
    </w:p>
    <w:p>
      <w:pPr>
        <w:pStyle w:val="NORML3"/>
      </w:pPr>
      <w:r>
        <w:t xml:space="preserve">La deserción es el abandono del proceso educativo antes de su culminación. Según Torres-Delgado et al. (2024), es un fenómeno multicausal en el que se entrelazan factores académicos, sociales, familiares y personales que afectan la decisión de dejar los estudios.</w:t>
      </w:r>
    </w:p>
    <w:p>
      <w:pPr>
        <w:pStyle w:val="Ttulo3"/>
      </w:pPr>
      <w:r>
        <w:t xml:space="preserve">Inteligencia artificial</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(Ramos-Rivera et al., 2025; Sancho Escrivá et al., 2020).</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r>
        <w:t xml:space="preserve">García y Serradilla (2021) tuvieron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Concluyeron que existe un interés insuficiente de la industria y la academia por los modelos neuronales en español, lo que representa un nicho para el desarrollo de recursos en este idioma.</w:t>
      </w:r>
    </w:p>
    <w:p>
      <w:pPr>
        <w:pStyle w:val="NORML3"/>
      </w:pPr>
      <w:r>
        <w:t xml:space="preserve">Mena (2023)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r>
        <w:t xml:space="preserve">Hu et al. (2021)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r>
        <w:t xml:space="preserve">Dettmers et al. (2023)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r>
        <w:t xml:space="preserve">Armando et al. (2023), en la investigación titulada "URKU: Adaptación de LLaMA 2 para la generación de texto en kichwa usando técnicas de Low-Rank Adaptation (LoRA)", tuvieron como propósito adaptar LLaMA 2 al kichwa, crear un corpus de alta calidad y establecer un benchmark para la evaluación, generación y traducción de textos. El modelo URKU superó a modelos previos en generación de texto en kichwa, y los autores concluyeron que constituye un avance para la inclusión lingüística y la preservación cultural en idiomas con recursos limitados.</w:t>
      </w:r>
    </w:p>
    <w:p>
      <w:pPr>
        <w:pStyle w:val="NORML3"/>
      </w:pPr>
      <w:r>
        <w:t xml:space="preserve">Castejon (2025)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el componente RAG obtuvo una relevancia de contexto de 0.98 y una fidelidad de 0.67. Concluyó que el sistema, que integra LLM, RAG y Text2SQL, funciona eficazmente y que una ingeniería de instrucciones adecuada elimina las alucinaciones.</w:t>
      </w:r>
    </w:p>
    <w:p>
      <w:pPr>
        <w:pStyle w:val="NORML3"/>
      </w:pPr>
      <w:r>
        <w:t xml:space="preserve">Fang et al. (2024)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r>
        <w:t xml:space="preserve">Fernandez et al. (2025) estudiaron el ajuste fino de modelos de lenguaje para convertirlos en tutores de matemática y física en educación básica, entrenándolos con problemas específicos como los del conjunto GSM8K. Los resultados mostraron que el ajuste fino mejora la precisión en la resolución de problemas y la claridad con que el modelo explica los conceptos, lo que lo convierte en una herramienta educativa valiosa en ciencias.</w:t>
      </w:r>
    </w:p>
    <w:p>
      <w:pPr>
        <w:pStyle w:val="NORML3"/>
      </w:pPr>
      <w:r>
        <w:t xml:space="preserve">En otro estudio, Fernandez et al. (2025)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r>
        <w:t xml:space="preserve">Ramos-Rivera et al. (2025)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r>
        <w:t xml:space="preserve">Millan (2025),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r>
        <w:t xml:space="preserve">Martínez Sixto et al. (2025)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r>
        <w:t xml:space="preserve">Cisneros-Bravo et al. (2023)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r>
        <w:t xml:space="preserve">Carballo-Mendívil et al. (2025)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r>
        <w:t xml:space="preserve">Balarezo et al. (2024)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r>
        <w:t xml:space="preserve">Yatco y Jacha (2024),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r>
        <w:t xml:space="preserve">Guadalupe y Rodriguez (2025), en el estudio "Modelo predictivo basado en machine learning para la reducción de la deserción estudiantil en las universidades privadas del Perú: caso Universidad Privada San Juan Bautista", desarrollaron un modelo predictivo con enfoque cuantitativo y diseño preexperimental longitudinal. El modelo anticipó eficazmente la deserción, y concluyeron que los factores personales, académicos y socioeconómicos son determinantes y que las intervenciones específicas pueden mejorar la retención.</w:t>
      </w:r>
    </w:p>
    <w:p>
      <w:pPr>
        <w:pStyle w:val="NORML3"/>
      </w:pPr>
      <w:r>
        <w:t xml:space="preserve">Rodas (2024),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r>
        <w:t xml:space="preserve">Velasquez (2023)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r>
        <w:t xml:space="preserve">Rodriguez (2023) analizó la relación entre la inteligencia artificial y el rendimiento académico de los estudiantes de la Universidad Nacional del Altiplano,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(Ferreyra et al., 2017), y las cifras de deserción en el primer año, antes de la pandemia, rondaban el 31 % en Colombia, el 21 % en Chile y el 33 % en el Perú (Behr, 2020).</w:t>
      </w:r>
    </w:p>
    <w:p>
      <w:pPr>
        <w:pStyle w:val="NORML12"/>
      </w:pPr>
      <w:r>
        <w:t xml:space="preserve">En el caso peruano, según el II Informe Bienal sobre la Realidad Universitaria de la SUNEDU, alrededor del 15.8 % de los estudiantes abandonó las aulas universitarias entre 2012 y 2018 (Superintendencia Nacional de Educación Superior Universitaria, 2020), y la limitada disponibilidad de herramientas de orientación vocacional basadas en evidencia agrava este panorama. Escalante López et al. (2023)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Universidad Nacional del Altiplano (Cuentas Yupanqui, 2024), institución en la que la inteligencia artificial ha mostrado potencial para mejorar el rendimiento académico (Rodriguez, 2023).</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(Rodas, 2024).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Universidad Nacional del Altiplano de 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Universidad Nacional del Altiplano de 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y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(Mann y Whitney, 1947), con el delta de Cliff como tamaño del efecto (Cliff, 1993):</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valores absolutos de 0.147, 0.33 y 0.474 delimitan efectos pequeños, medianos y grandes. En las variables categóricas se aplicó la prueba chi cuadrado de independencia, con la V de Cramér (Cramér, 1946):</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(Hanley y McNeil, 1982):</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(Saito y Rehmsmeier, 2015),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(Zadrozny y Elkan, 2002), y la calidad de la calibración se evaluó con el puntaje de Brier (Brier, 1950),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(Lin, 2004):</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(Zhang et al., 2020):</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(Järvelin y Kekäläinen, 2002),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(Voorhees, 1999),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(Wilcoxon, 1945).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4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4</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5),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5</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Ttulo4"/>
      </w:pPr>
      <w:r>
        <w:t xml:space="preserve">Desempeño predictivo del modelo</w:t>
      </w:r>
    </w:p>
    <w:p>
      <w:pPr>
        <w:pStyle w:val="NORML4L5"/>
      </w:pPr>
      <w:r>
        <w:t xml:space="preserve">La Tabla 6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6</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7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4 presenta las curvas correspondientes.</w:t>
      </w:r>
    </w:p>
    <w:p>
      <w:pPr>
        <w:pStyle w:val="TITTBFGL4L5"/>
      </w:pPr>
      <w:r>
        <w:t xml:space="preserve">Tabla </w:t>
      </w:r>
      <w:fldSimple w:instr=" SEQ Tabla \* ARABIC ">
        <w:r>
          <w:rPr>
            <w:noProof/>
          </w:rPr>
          <w:t>7</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4</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4" name="Figura 5004"/>
            <wp:cNvGraphicFramePr>
              <a:graphicFrameLocks noChangeAspect="1"/>
            </wp:cNvGraphicFramePr>
            <a:graphic>
              <a:graphicData uri="http://schemas.openxmlformats.org/drawingml/2006/picture">
                <pic:pic>
                  <pic:nvPicPr>
                    <pic:cNvPr id="5004" name="careergpt_fig_roc_pr.png"/>
                    <pic:cNvPicPr/>
                  </pic:nvPicPr>
                  <pic:blipFill>
                    <a:blip r:embed="rId21"/>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5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4 y 5.</w:t>
      </w:r>
    </w:p>
    <w:p>
      <w:pPr>
        <w:pStyle w:val="TITTBFGL4L5"/>
      </w:pPr>
      <w:r>
        <w:t xml:space="preserve">Figura </w:t>
      </w:r>
      <w:fldSimple w:instr=" SEQ Figura \* ARABIC ">
        <w:r>
          <w:rPr>
            <w:noProof/>
          </w:rPr>
          <w:t>5</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5" name="Figura 5005"/>
            <wp:cNvGraphicFramePr>
              <a:graphicFrameLocks noChangeAspect="1"/>
            </wp:cNvGraphicFramePr>
            <a:graphic>
              <a:graphicData uri="http://schemas.openxmlformats.org/drawingml/2006/picture">
                <pic:pic>
                  <pic:nvPicPr>
                    <pic:cNvPr id="5005" name="careergpt_fig_importancia.png"/>
                    <pic:cNvPicPr/>
                  </pic:nvPicPr>
                  <pic:blipFill>
                    <a:blip r:embed="rId22"/>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8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8</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9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TITTBFGL4L5"/>
      </w:pPr>
      <w:r>
        <w:t xml:space="preserve">Tabla </w:t>
      </w:r>
      <w:fldSimple w:instr=" SEQ Tabla \* ARABIC ">
        <w:r>
          <w:rPr>
            <w:noProof/>
          </w:rPr>
          <w:t>9</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10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10</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11,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12 presenta un par de ejemplo.</w:t>
      </w:r>
    </w:p>
    <w:p>
      <w:pPr>
        <w:pStyle w:val="TITTBFGL3"/>
      </w:pPr>
      <w:r>
        <w:t xml:space="preserve">Tabla </w:t>
      </w:r>
      <w:fldSimple w:instr=" SEQ Tabla \* ARABIC ">
        <w:r>
          <w:rPr>
            <w:noProof/>
          </w:rPr>
          <w:t>11</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12</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sz w:val="20"/>
                <w:szCs w:val="20"/>
              </w:rPr>
              <w:t xml:space="preserve">Perfil del postulante: procede de un colegio público de área urbana (UGEL MELGAR); promedio de secundaria con desempeño satisfactorio; mayor fortaleza en Matemática y menor en Ciencia y Tecnología; postulaciones anteriores: 0; preparación preuniversitaria: ninguna; área de interés: biomédicas. Probabilidades estimadas de ingreso: BIOLOGÍA: ECOLOGÍA 6.8 %; BIOLOGÍA: PESQUERÍA 6.8 %; MEDICINA VETERINARIA Y ZOOTECNIA 5.4 %.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BIOLOGÍA: ECOLOGÍA, con la mayor probabilidad estimada de ingreso (6.8 %). Alternativas: BIOLOGÍA: PESQUERÍA (6.8 %) y MEDICINA VETERINARIA Y ZOOTECNIA (5.4 %). Tu fortaleza en Matemática es coherente con estas opciones. Para mejorar tus posibilidades, refuerza Ciencia y Tecnología antes del examen y considera una preparación preuniversitaria estructurada.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NORML3"/>
      </w:pPr>
      <w:r>
        <w:t xml:space="preserve">[Pendiente. Esta sección se completa tras el ajuste fino del modelo de lenguaje con el corpus CareER-Dataset. Debe presentar la configuración final, la curva de pérdida de entrenamiento y validación, los valores de ROUGE-L y BERTScore en la partición de prueba con su intervalo de confianza, ejemplos de rutas generadas y el contraste de la hipótesis específica 3 frente al umbral de 0.80 mediante la prueba binomial exacta. Incluir la curva de pérdida como Figura 7.]</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13 y la Figura 6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13</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6</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6" name="Figura 5006"/>
            <wp:cNvGraphicFramePr>
              <a:graphicFrameLocks noChangeAspect="1"/>
            </wp:cNvGraphicFramePr>
            <a:graphic>
              <a:graphicData uri="http://schemas.openxmlformats.org/drawingml/2006/picture">
                <pic:pic>
                  <pic:nvPicPr>
                    <pic:cNvPr id="5006" name="careergpt_fig_ranking.png"/>
                    <pic:cNvPicPr/>
                  </pic:nvPicPr>
                  <pic:blipFill>
                    <a:blip r:embed="rId23"/>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14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14</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[Pendiente de la ejecución del ajuste con LoRA. Presentar para las tres condiciones, modelo base sin ajuste, modelo con LoRA sin componente tabular y CareER-GPT híbrido, los valores de ROUGE-L, BERTScore, coherencia y métrica combinada con su intervalo de confianza, y el contraste de la hipótesis específica 4.]</w:t>
      </w:r>
    </w:p>
    <w:p>
      <w:pPr>
        <w:pStyle w:val="NORML4L5"/>
      </w:pPr>
      <w:r>
        <w:t xml:space="preserve">Contraste parcial de la hipótesis específica 4. En la dimensión del rankeo, el componente tabular no superó a la referencia por popularidad, por lo que en esta dimensión no se verifica la mejora planteada. El contraste definitivo requiere la comparación de las rutas generadas.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Carballo-Mendívil et al. (2025)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Guadalupe y Rodriguez (2025), quienes identificaron los factores académicos y socioeconómicos como determinantes, y con Carballo-Mendívil et al. (2025), que destacaron el promedio de bachillerato y las condiciones económicas. También son coherentes con Yatco y Jacha (2024), para quienes las variables sociodemográficas permiten anticipar trayectorias de riesgo.</w:t>
      </w:r>
    </w:p>
    <w:p>
      <w:pPr>
        <w:pStyle w:val="NORML12"/>
      </w:pPr>
      <w:r>
        <w:t xml:space="preserve">La equivalencia práctica entre XGBoost y la regresión logística es consistente con Aguilar-Reyes et al. (2025), que compararon modelos de regresión y árboles de clasificación en el estudio del rendimiento académico, y matiza lo señalado por Fang et al. (2024)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(Cisneros-Bravo et al., 2023; Rodas, 2024),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Millan (2025),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Armando et al. (2023), que destacaron la calidad del corpus como factor clave del ajuste con LoRA, y de Mena (2023) y Dettmers et al. (2023), que mostraron la viabilidad del ajuste cuantizado con recursos limitados. [Completar la discusión de los objetivos específicos 3 y 4 con los resultados del ajuste y de la integración, contrastándolos con Hu et al. (2021), Mena (2023), Millan (2025) y Martínez Sixto et al. (2025).]</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[Pendiente de la ejecución del ajuste con LoRA: conclusión del objetivo específico 3 y decisión sobre la hipótesis específica 3.]</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[Completar con la comparación de las rutas generadas y la decisión sobre la hipótesis específica 4.]</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Universidad Nacional del Altiplano,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p>
      <w:pPr>
        <w:pStyle w:val="BIBLIOGRAFIA"/>
      </w:pPr>
      <w:r>
        <w:t xml:space="preserve">Aguilar-Reyes, J. E., Mejía-Peñafiel, E. F., Morocho-Barrionuevo, T. P., y Velasco-Castelo, G.-M. (2025). Estudio del rendimiento académico mediante la comparación de modelos de regresión y árboles de clasificación. Telos: Revista de Estudios Interdisciplinarios en Ciencias Sociales, 27(1), 94-115. https://doi.org/10.36390/telos271.08</w:t>
      </w:r>
    </w:p>
    <w:p>
      <w:pPr>
        <w:pStyle w:val="BIBLIOGRAFIA"/>
      </w:pPr>
      <w:r>
        <w:t xml:space="preserve">Alejandro, S. Y. (2024). Orientación vocacional y profesional: la inteligencia artificial y su impacto en la educación. Revista Scientific, 9(34), 285-300. https://doi.org/10.29394/scientific.issn.2542-2987.2024.9.34.13.285-300</w:t>
      </w:r>
    </w:p>
    <w:p>
      <w:pPr>
        <w:pStyle w:val="BIBLIOGRAFIA"/>
      </w:pPr>
      <w:r>
        <w:t xml:space="preserve">Armando, J., Caranqui, L., y Riofrío, D. (2023). URKU: Adaptación de LLaMA 2 para la generación de texto en kichwa usando técnicas de Low-Rank Adaptation (LoRA) [Tesis de maestría, Universidad San Francisco de Quito]. http://bit.ly/COPETheses</w:t>
      </w:r>
    </w:p>
    <w:p>
      <w:pPr>
        <w:pStyle w:val="BIBLIOGRAFIA"/>
      </w:pPr>
      <w:r>
        <w:t xml:space="preserve">Balarezo, M., Pia, M., Hurtado, A., Alfredo, W., Churata, G., Francis, H., Atiquipa, S., Franklin, E., Felix, T., y Erick, R. (2024). Diseño de un asistente inteligente RAG para la Comisión de Eliminación de Barreras Burocráticas de INDECOPI-2024 [Tesis de maestría, Universidad Peruana de Ciencias Aplicadas]. http://hdl.handle.net/10757/684330</w:t>
      </w:r>
    </w:p>
    <w:p>
      <w:pPr>
        <w:pStyle w:val="BIBLIOGRAFIA"/>
      </w:pPr>
      <w:r>
        <w:t xml:space="preserve">Behr, A. (2020). [Completar referencia: autor, título, fuente y DOI de la cita sobre tasas de deserción en el primer año en Colombia, Chile y Perú.]</w:t>
      </w:r>
    </w:p>
    <w:p>
      <w:pPr>
        <w:pStyle w:val="BIBLIOGRAFIA"/>
      </w:pPr>
      <w:r>
        <w:t xml:space="preserve">Brier, G. W. (1950). Verification of forecasts expressed in terms of probability. Monthly Weather Review, 78(1), 1-3. https://doi.org/10.1175/1520-0493(1950)078&lt;0001:VOFEIT&gt;2.0.CO;2</w:t>
      </w:r>
    </w:p>
    <w:p>
      <w:pPr>
        <w:pStyle w:val="BIBLIOGRAFIA"/>
      </w:pPr>
      <w:r>
        <w:t xml:space="preserve">Carballo-Mendívil, B., Arellano-González, A., Ríos-Vázquez, N. J., y Lizardi-Duarte, M. del P. (2025). Predicting student dropout from day one: XGBoost-based early warning system using pre-enrollment data. Applied Sciences, 15(16). https://doi.org/10.3390/app15169202</w:t>
      </w:r>
    </w:p>
    <w:p>
      <w:pPr>
        <w:pStyle w:val="BIBLIOGRAFIA"/>
      </w:pPr>
      <w:r>
        <w:t xml:space="preserve">Castejon, F. (2025). SoroIA: Diseño e implementación de un sistema conversacional basado en modelos grandes de lenguaje para el Museo Sorolla [Tesis de maestría, Universidad Politécnica de Madrid]. https://oa.upm.es/90917/1/TFM_FEDERICO_CASTEJON_LOZANO.pdf</w:t>
      </w:r>
    </w:p>
    <w:p>
      <w:pPr>
        <w:pStyle w:val="BIBLIOGRAFIA"/>
      </w:pPr>
      <w:r>
        <w:t xml:space="preserve">Cen, C., Luo, G., Tian, Y., Fu, B., Chen, Y., Huang, S., Jiang, T., y Huang, G. (2024). Enhancing the dissemination of Cantonese Opera among youth via Bilibili: A study on intangible cultural heritage transmission. Humanities and Social Sciences Communications, 11(1). https://doi.org/10.1057/s41599-024-03537-w</w:t>
      </w:r>
    </w:p>
    <w:p>
      <w:pPr>
        <w:pStyle w:val="BIBLIOGRAFIA"/>
      </w:pPr>
      <w:r>
        <w:t xml:space="preserve">Chen, T., y Guestrin, C. (2016). XGBoost: A scalable tree boosting system. En Proceedings of the 22nd ACM SIGKDD International Conference on Knowledge Discovery and Data Mining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RIDE Revista Iberoamericana para la Investigación y el Desarrollo Educativo, 14(27). https://doi.org/10.23913/ride.v14i27.1715</w:t>
      </w:r>
    </w:p>
    <w:p>
      <w:pPr>
        <w:pStyle w:val="BIBLIOGRAFIA"/>
      </w:pPr>
      <w:r>
        <w:t xml:space="preserve">Cliff, N. (1993). Dominance statistics: Ordinal analyses to answer ordinal questions. Psychological Bulletin, 114(3), 494-509. https://doi.org/10.1037/0033-2909.114.3.494</w:t>
      </w:r>
    </w:p>
    <w:p>
      <w:pPr>
        <w:pStyle w:val="BIBLIOGRAFIA"/>
      </w:pPr>
      <w:r>
        <w:t xml:space="preserve">Cramér, H. (1946). Mathematical methods of statistics. Princeton University Press.</w:t>
      </w:r>
    </w:p>
    <w:p>
      <w:pPr>
        <w:pStyle w:val="BIBLIOGRAFIA"/>
      </w:pPr>
      <w:r>
        <w:t xml:space="preserve">Cuentas Yupanqui, [Completar iniciales]. (2024). [Completar referencia: título, fuente y enlace del estudio sobre deserción y rendimiento en la Universidad Nacional del Altiplano.]</w:t>
      </w:r>
    </w:p>
    <w:p>
      <w:pPr>
        <w:pStyle w:val="BIBLIOGRAFIA"/>
      </w:pPr>
      <w:r>
        <w:t xml:space="preserve">Dettmers, T., Pagnoni, A., Holtzman, A., y Zettlemoyer, L. (2023). QLoRA: Efficient finetuning of quantized LLMs. En Advances in Neural Information Processing Systems 36. https://doi.org/10.48550/arXiv.2305.14314</w:t>
      </w:r>
    </w:p>
    <w:p>
      <w:pPr>
        <w:pStyle w:val="BIBLIOGRAFIA"/>
      </w:pPr>
      <w:r>
        <w:t xml:space="preserve">Escalante López, J. I., Medina Valderrama, C. J., y Vásquez Muñoz, A. (2023). La deserción universitaria: un problema no resuelto en el Perú. Hacedor - AIAPÆC, 7(1), 60-72. https://doi.org/10.26495/rch.v7i1.2421</w:t>
      </w:r>
    </w:p>
    <w:p>
      <w:pPr>
        <w:pStyle w:val="BIBLIOGRAFIA"/>
      </w:pPr>
      <w:r>
        <w:t xml:space="preserve">Fang, X., Xu, W., Tan, F. A., Zhang, J., Hu, Z., Qi, Y., Nickleach, S., Socolinsky, D., Sengamedu, S., y Faloutsos, C. (2024). Large language models (LLMs) on tabular data: Prediction, generation, and understanding. A survey. Transactions on Machine Learning Research. http://arxiv.org/abs/2402.17944</w:t>
      </w:r>
    </w:p>
    <w:p>
      <w:pPr>
        <w:pStyle w:val="BIBLIOGRAFIA"/>
      </w:pPr>
      <w:r>
        <w:t xml:space="preserve">Fernandez, J. M., Petrocelli, D., Matuk, R., Lanson, D., Zamudio, E., Cagnina, L., Gil Costa, V., y Errecalde, M. (2025). Fine-tuning y adaptación de modelos de lenguaje abiertos en infraestructura HPC para aplicaciones de dominio específico. SEDICI, Universidad Nacional de La Plata. http://sedici.unlp.edu.ar/handle/10915/183892</w:t>
      </w:r>
    </w:p>
    <w:p>
      <w:pPr>
        <w:pStyle w:val="BIBLIOGRAFIA"/>
      </w:pPr>
      <w:r>
        <w:t xml:space="preserve">Ferreyra, M. M., Avitabile, C., Botero Álvarez, J., Haimovich Paz, F., y Urzúa, S. (2017). Momento decisivo: la educación superior en América Latina y el Caribe. Banco Mundial. https://doi.org/10.1596/978-1-4648-1014-5</w:t>
      </w:r>
    </w:p>
    <w:p>
      <w:pPr>
        <w:pStyle w:val="BIBLIOGRAFIA"/>
      </w:pPr>
      <w:r>
        <w:t xml:space="preserve">Flores Meléndez, M., Góngora Cortés, J. J., López Cabrera, M. V., y Eraña Rojas, I. E. (2020). The «call» of medicine. Use of new mentoring models for vocational orientation. Educación Médica, 21(2), 145-148. https://doi.org/10.1016/j.edumed.2018.11.008</w:t>
      </w:r>
    </w:p>
    <w:p>
      <w:pPr>
        <w:pStyle w:val="BIBLIOGRAFIA"/>
      </w:pPr>
      <w:r>
        <w:t xml:space="preserve">Gao, D., Chen, S., Yang, Z., Yang, L., Gao, H., Wu, M., Yu, S., Xuan, Q., Zhang, W., Yang, L., y Cai, X. (2025). MLoRA+: Transformer-fusion mixture-of-LoRA network for multi-domain click-through rate prediction. Expert Systems with Applications, 297. https://doi.org/10.1016/j.eswa.2025.129486</w:t>
      </w:r>
    </w:p>
    <w:p>
      <w:pPr>
        <w:pStyle w:val="BIBLIOGRAFIA"/>
      </w:pPr>
      <w:r>
        <w:t xml:space="preserve">García, G., y Serradilla, F. (2021). Modelos de Transformers para la clasificación de texto [Tesis de maestría, Universidad Politécnica de Madrid].</w:t>
      </w:r>
    </w:p>
    <w:p>
      <w:pPr>
        <w:pStyle w:val="BIBLIOGRAFIA"/>
      </w:pPr>
      <w:r>
        <w:t xml:space="preserve">Guadalupe, V., y Rodriguez, C. (2025). Modelo predictivo basado en machine learning para la reducción de la deserción estudiantil en las universidades privadas del Perú: caso Universidad Privada San Juan Bautista [Tesis doctoral, Universidad Nacional Federico Villarreal].</w:t>
      </w:r>
    </w:p>
    <w:p>
      <w:pPr>
        <w:pStyle w:val="BIBLIOGRAFIA"/>
      </w:pPr>
      <w:r>
        <w:t xml:space="preserve">Hanley, J. A., y McNeil, B. J. (1982). The meaning and use of the area under a receiver operating characteristic (ROC) curve. Radiology, 143(1), 29-36. https://doi.org/10.1148/radiology.143.1.7063747</w:t>
      </w:r>
    </w:p>
    <w:p>
      <w:pPr>
        <w:pStyle w:val="BIBLIOGRAFIA"/>
      </w:pPr>
      <w:r>
        <w:t xml:space="preserve">Hu, E. J., Shen, Y., Wallis, P., Allen-Zhu, Z., Li, Y., Wang, S., Wang, L., y Chen, W. (2021). LoRA: Low-rank adaptation of large language models. arXiv. https://doi.org/10.48550/arXiv.2106.09685</w:t>
      </w:r>
    </w:p>
    <w:p>
      <w:pPr>
        <w:pStyle w:val="BIBLIOGRAFIA"/>
      </w:pPr>
      <w:r>
        <w:t xml:space="preserve">Jardon, M., Granizo, J., Yaselga, W., y Cocha, M. (2024). Impacto de los asistentes virtuales de inteligencia artificial en el rendimiento académico de estudiantes universitarios. Revista Social Fronteriza, 4. https://doi.org/10.59814/resofro.2024.4(4)e338</w:t>
      </w:r>
    </w:p>
    <w:p>
      <w:pPr>
        <w:pStyle w:val="BIBLIOGRAFIA"/>
      </w:pPr>
      <w:r>
        <w:t xml:space="preserve">Järvelin, K., y Kekäläinen, J. (2002). Cumulated gain-based evaluation of IR techniques. ACM Transactions on Information Systems, 20(4), 422-446. https://doi.org/10.1145/582415.582418</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PLOS Digital Health, 2(2), e0000198. https://doi.org/10.1371/journal.pdig.0000198</w:t>
      </w:r>
    </w:p>
    <w:p>
      <w:pPr>
        <w:pStyle w:val="BIBLIOGRAFIA"/>
      </w:pPr>
      <w:r>
        <w:t xml:space="preserve">Li, Y., Li, Z., Zhang, K., Dan, R., Jiang, S., y Zhang, Y. (2023). ChatDoctor: A medical chat model fine-tuned on a large language model Meta-AI (LLaMA) using medical domain knowledge. Cureus. https://doi.org/10.7759/cureus.40895</w:t>
      </w:r>
    </w:p>
    <w:p>
      <w:pPr>
        <w:pStyle w:val="BIBLIOGRAFIA"/>
      </w:pPr>
      <w:r>
        <w:t xml:space="preserve">Lin, C.-Y. (2004). ROUGE: A package for automatic evaluation of summaries. En Text Summarization Branches Out (pp. 74-81). Association for Computational Linguistics.</w:t>
      </w:r>
    </w:p>
    <w:p>
      <w:pPr>
        <w:pStyle w:val="BIBLIOGRAFIA"/>
      </w:pPr>
      <w:r>
        <w:t xml:space="preserve">Liu, Z., Liu, Z., Feng, R., Feng, P., Chu, J., y Peng, X. (2025). LoRA-TCN: A pre-trained/fine-tuning learning paradigm for drift adaptation. Sensors and Actuators B: Chemical, 446. https://doi.org/10.1016/j.snb.2025.138644</w:t>
      </w:r>
    </w:p>
    <w:p>
      <w:pPr>
        <w:pStyle w:val="BIBLIOGRAFIA"/>
      </w:pPr>
      <w:r>
        <w:t xml:space="preserve">Mann, H. B., y Whitney, D. R. (1947). On a test of whether one of two random variables is stochastically larger than the other. The Annals of Mathematical Statistics, 18(1), 50-60. https://doi.org/10.1214/aoms/1177730491</w:t>
      </w:r>
    </w:p>
    <w:p>
      <w:pPr>
        <w:pStyle w:val="BIBLIOGRAFIA"/>
      </w:pPr>
      <w:r>
        <w:t xml:space="preserve">Martínez Sixto, L., Fernández y Fernández, C. A., y Millán Hernández, C. E. (2025). Comparación del desempeño de LLMs en la generación de diagramas de clases UML mediante un sistema RAG. Revista de Investigación en Tecnologías de la Información, 13(31), 64-79. https://doi.org/10.36825/riti.13.31.007</w:t>
      </w:r>
    </w:p>
    <w:p>
      <w:pPr>
        <w:pStyle w:val="BIBLIOGRAFIA"/>
      </w:pPr>
      <w:r>
        <w:t xml:space="preserve">Mena, S. (2023). Usos y aplicaciones de modelos de lenguaje masivos en español [Tesis de maestría, Universidad San Francisco de Quito].</w:t>
      </w:r>
    </w:p>
    <w:p>
      <w:pPr>
        <w:pStyle w:val="BIBLIOGRAFIA"/>
      </w:pPr>
      <w:r>
        <w:t xml:space="preserve">Millan, M. (2025). Estudio comparativo de sistemas de recomendación mediante filtrado colaborativo, basado en contenido y propuestas híbridas [Tesis de maestría, Universidad Loyola Andalucía]. https://repositorio.uloyola.es/bitstream/handle/20.500.12412/6735/TFM%20Mar%C3%ADa%20Mill%C3%A1n.pdf</w:t>
      </w:r>
    </w:p>
    <w:p>
      <w:pPr>
        <w:pStyle w:val="BIBLIOGRAFIA"/>
      </w:pPr>
      <w:r>
        <w:t xml:space="preserve">Moreira, S., Montenegro, Z., y Fernando, D. (2024). Técnicas de machine learning para predecir la deserción estudiantil universitaria: una revisión sistemática de la literatura. Revista Científica Multidisciplinar. [Completar volumen, número y DOI.]</w:t>
      </w:r>
    </w:p>
    <w:p>
      <w:pPr>
        <w:pStyle w:val="BIBLIOGRAFIA"/>
      </w:pPr>
      <w:r>
        <w:t xml:space="preserve">Muñoz Pilozo, A. G., Villalva Pilozo, A. M., Medina Castro, A. R., y Pilozo Mendoza, J. J. (2024). Factores determinantes en el éxito del proceso de enseñanza-aprendizaje. Revista Scientific, 9(33),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E3S Web of Conferences, 389.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https://doi.org/10.26507/paper.4223</w:t>
      </w:r>
    </w:p>
    <w:p>
      <w:pPr>
        <w:pStyle w:val="BIBLIOGRAFIA"/>
      </w:pPr>
      <w:r>
        <w:t xml:space="preserve">Negueruela Gómez, I. (2024). Análisis y evaluación de LLMs con técnicas RAG para el desarrollo y despliegue de un asistente virtual [Trabajo de fin de estudios, Universidad de Cantabria]. https://repositorio.unican.es/xmlui/handle/10902/33837</w:t>
      </w:r>
    </w:p>
    <w:p>
      <w:pPr>
        <w:pStyle w:val="BIBLIOGRAFIA"/>
      </w:pPr>
      <w:r>
        <w:t xml:space="preserve">Ramos-Rivera, R. E., Santana Mancilla, P. C., García-Mancilla, J., y Gaytán-Lugo, L. S. (2025). Modelos de lenguaje en educación: inteligencia artificial generativa para optimizar el análisis del desempeño docente. Innovación Académica, Universidad Autónoma de Nuevo León, 1(2), 70-81. https://doi.org/10.29105/innoacad.v1i2.36</w:t>
      </w:r>
    </w:p>
    <w:p>
      <w:pPr>
        <w:pStyle w:val="BIBLIOGRAFIA"/>
      </w:pPr>
      <w:r>
        <w:t xml:space="preserve">Rodas, A. (2024). Orientación vocacional y deserción universitaria en una universidad de Lima - 2024 [Tesis de maestría, Universidad César Vallejo].</w:t>
      </w:r>
    </w:p>
    <w:p>
      <w:pPr>
        <w:pStyle w:val="BIBLIOGRAFIA"/>
      </w:pPr>
      <w:r>
        <w:t xml:space="preserve">Rodriguez, Y. (2023). Inteligencia artificial y rendimiento académico de los estudiantes de educación superior en la región Puno, 2022 [Tesis de maestría, Universidad Alas Peruanas].</w:t>
      </w:r>
    </w:p>
    <w:p>
      <w:pPr>
        <w:pStyle w:val="BIBLIOGRAFIA"/>
      </w:pPr>
      <w:r>
        <w:t xml:space="preserve">Saito, T., y Rehmsmeier, M. (2015). The precision-recall plot is more informative than the ROC plot when evaluating binary classifiers on imbalanced datasets. PLOS ONE, 10(3),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Revista de Comunicación y Salud, 10(1), 19-41. https://doi.org/10.35669/rcys.2020.10(1).19-41</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Nature, 620(7972), 172-180. https://doi.org/10.1038/s41586-023-06291-2</w:t>
      </w:r>
    </w:p>
    <w:p>
      <w:pPr>
        <w:pStyle w:val="BIBLIOGRAFIA"/>
      </w:pPr>
      <w:r>
        <w:t xml:space="preserve">Song, Y., Lv, C., Zhu, K., y Qiu, X. (2025). LoRA fine-tuning of Llama3 large model for intelligent fishery field. Discover Computing, 28(1). https://doi.org/10.1007/s10791-025-09663-6</w:t>
      </w:r>
    </w:p>
    <w:p>
      <w:pPr>
        <w:pStyle w:val="BIBLIOGRAFIA"/>
      </w:pPr>
      <w:r>
        <w:t xml:space="preserve">Superintendencia Nacional de Educación Superior Universitaria. (2020). II Informe bienal sobre la realidad universitaria en el Perú. SUNEDU.</w:t>
      </w:r>
    </w:p>
    <w:p>
      <w:pPr>
        <w:pStyle w:val="BIBLIOGRAFIA"/>
      </w:pPr>
      <w:r>
        <w:t xml:space="preserve">Torres-Delgado, G., Ramos-Pulido, S., y Hernández-Gress, N. (2024). Satisfaction with research-based learning and academic performance by big data analysis. Engineering Proceedings, 74(1). https://doi.org/10.3390/engproc2024074074</w:t>
      </w:r>
    </w:p>
    <w:p>
      <w:pPr>
        <w:pStyle w:val="BIBLIOGRAFIA"/>
      </w:pPr>
      <w:r>
        <w:t xml:space="preserve">Vaswani, A., Shazeer, N., Parmar, N., Uszkoreit, J., Jones, L., Gomez, A. N., Kaiser, Ł., y Polosukhin, I. (2017). Attention is all you need. En Advances in Neural Information Processing Systems 30 (pp. 5998-6008).</w:t>
      </w:r>
    </w:p>
    <w:p>
      <w:pPr>
        <w:pStyle w:val="BIBLIOGRAFIA"/>
      </w:pPr>
      <w:r>
        <w:t xml:space="preserve">Velasquez, S. (2023). La inteligencia artificial aplicada al sector educativo: una revisión sistemática de la literatura. [Completar fuente.]</w:t>
      </w:r>
    </w:p>
    <w:p>
      <w:pPr>
        <w:pStyle w:val="BIBLIOGRAFIA"/>
      </w:pPr>
      <w:r>
        <w:t xml:space="preserve">Voorhees, E. M. (1999). The TREC-8 question answering track report. En Proceedings of the Eighth Text REtrieval Conference (pp. 77-82). National Institute of Standards and Technology.</w:t>
      </w:r>
    </w:p>
    <w:p>
      <w:pPr>
        <w:pStyle w:val="BIBLIOGRAFIA"/>
      </w:pPr>
      <w:r>
        <w:t xml:space="preserve">Wilcoxon, F. (1945). Individual comparisons by ranking methods. Biometrics Bulletin, 1(6), 80-83. https://doi.org/10.2307/3001968</w:t>
      </w:r>
    </w:p>
    <w:p>
      <w:pPr>
        <w:pStyle w:val="BIBLIOGRAFIA"/>
      </w:pPr>
      <w:r>
        <w:t xml:space="preserve">Yatco, W., y Jacha, J. (2024). Modelo machine learning para predicción de deserción estudiantil [Tesis de segunda especialidad, Universidad Peruana Unión].</w:t>
      </w:r>
    </w:p>
    <w:p>
      <w:pPr>
        <w:pStyle w:val="BIBLIOGRAFIA"/>
      </w:pPr>
      <w:r>
        <w:t xml:space="preserve">Yupanquin, L. A. (2024). Perfil del egresado y la formación profesional en estudiantes del último año de arquitectura de la Universidad Femenina del Sagrado Corazón, 2020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Proceedings of the Eighth ACM SIGKDD International Conference on Knowledge Discovery and Data Mining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RIDE Revista Iberoamericana para la Investigación y el Desarrollo Educativo, 14(28). https://doi.org/10.23913/ride.v14i28.1878</w:t>
      </w:r>
    </w:p>
    <w:p>
      <w:pPr>
        <w:pStyle w:val="BIBLIOGRAFIA"/>
      </w:pPr>
      <w:r>
        <w:t xml:space="preserve">Zhang, H., Li, Z., y Liu, J. (2026). SceneLLM: Implicit language reasoning in LLM for dynamic scene graph generation. Pattern Recognition, 170. https://doi.org/10.1016/j.patcog.2025.111992</w:t>
      </w:r>
    </w:p>
    <w:p>
      <w:pPr>
        <w:pStyle w:val="BIBLIOGRAFIA"/>
      </w:pPr>
      <w:r>
        <w:t xml:space="preserve">Zhang, J. C., Xiong, Y. J., Xia, C. M., Zhu, D. H., y Zhan, H. J. (2025). LoRA2: Multi-scale low-rank approximations for fine-tuning large language models. Neurocomputing, 650. https://doi.org/10.1016/j.neucom.2025.130859</w:t>
      </w:r>
    </w:p>
    <w:p>
      <w:pPr>
        <w:pStyle w:val="BIBLIOGRAFIA"/>
      </w:pPr>
      <w:r>
        <w:t xml:space="preserve">Zhang, T., Kishore, V., Wu, F., Weinberger, K. Q., y Artzi, Y. (2020). BERTScore: Evaluating text generation with BERT. En International Conference on Learning Representations. https://doi.org/10.48550/arXiv.1904.09675</w:t>
      </w:r>
    </w:p>
    <w:p>
      <w:pPr>
        <w:pStyle w:val="BIBLIOGRAFIA"/>
      </w:pPr>
      <w:r>
        <w:t xml:space="preserve">Zheng, L., Chiang, W.-L., Sheng, Y., Zhuang, S., Wu, Z., Zhuang, Y., Lin, Z., Li, Z., Li, D., Xing, E. P., Zhang, H., Gonzalez, J. E., y Stoica, I. (2023). Judging LLM-as-a-judge with MT-Bench and Chatbot Arena. http://arxiv.org/abs/2306.05685</w:t>
      </w:r>
    </w:p>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MRR;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[insertar enlace del repositorio].</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roc_pr.png"/><Relationship Id="rId22" Type="http://schemas.openxmlformats.org/officeDocument/2006/relationships/image" Target="media/careergpt_fig_importancia.png"/><Relationship Id="rId23"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