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ECON3350 Research Report 1</w:t>
      </w:r>
    </w:p>
    <w:p>
      <w:r>
        <w:t>This report answers all eight research questions using concise empirical evidence, clear model-selection logic, and direct discussion of the economic implications of the results.</w:t>
      </w:r>
    </w:p>
    <w:p>
      <w:r>
        <w:br w:type="page"/>
      </w:r>
    </w:p>
    <w:p>
      <w:pPr>
        <w:pStyle w:val="Heading2"/>
      </w:pPr>
      <w:r>
        <w:t>Question 1</w:t>
      </w:r>
    </w:p>
    <w:p>
      <w:pPr>
        <w:pStyle w:val="Heading3"/>
      </w:pPr>
      <w:r>
        <w:t>1(a) Exploratory Plots and Series Properties</w:t>
      </w:r>
    </w:p>
    <w:p>
      <w:pPr>
        <w:jc w:val="center"/>
      </w:pPr>
      <w:r>
        <w:drawing>
          <wp:inline xmlns:a="http://schemas.openxmlformats.org/drawingml/2006/main" xmlns:pic="http://schemas.openxmlformats.org/drawingml/2006/picture">
            <wp:extent cx="5852160" cy="1950720"/>
            <wp:docPr id="1" name="Picture 1"/>
            <wp:cNvGraphicFramePr>
              <a:graphicFrameLocks noChangeAspect="1"/>
            </wp:cNvGraphicFramePr>
            <a:graphic>
              <a:graphicData uri="http://schemas.openxmlformats.org/drawingml/2006/picture">
                <pic:pic>
                  <pic:nvPicPr>
                    <pic:cNvPr id="0" name="fig1_log_levels.png"/>
                    <pic:cNvPicPr/>
                  </pic:nvPicPr>
                  <pic:blipFill>
                    <a:blip r:embed="rId9"/>
                    <a:stretch>
                      <a:fillRect/>
                    </a:stretch>
                  </pic:blipFill>
                  <pic:spPr>
                    <a:xfrm>
                      <a:off x="0" y="0"/>
                      <a:ext cx="5852160" cy="1950720"/>
                    </a:xfrm>
                    <a:prstGeom prst="rect"/>
                  </pic:spPr>
                </pic:pic>
              </a:graphicData>
            </a:graphic>
          </wp:inline>
        </w:drawing>
      </w:r>
    </w:p>
    <w:p>
      <w:pPr>
        <w:jc w:val="center"/>
      </w:pPr>
      <w:r>
        <w:t>Figure 1: fig1_log_levels.png</w:t>
      </w:r>
    </w:p>
    <w:p>
      <w:pPr>
        <w:jc w:val="center"/>
      </w:pPr>
      <w:r>
        <w:drawing>
          <wp:inline xmlns:a="http://schemas.openxmlformats.org/drawingml/2006/main" xmlns:pic="http://schemas.openxmlformats.org/drawingml/2006/picture">
            <wp:extent cx="5852160" cy="2926080"/>
            <wp:docPr id="2" name="Picture 2"/>
            <wp:cNvGraphicFramePr>
              <a:graphicFrameLocks noChangeAspect="1"/>
            </wp:cNvGraphicFramePr>
            <a:graphic>
              <a:graphicData uri="http://schemas.openxmlformats.org/drawingml/2006/picture">
                <pic:pic>
                  <pic:nvPicPr>
                    <pic:cNvPr id="0" name="fig2_log_diffs.png"/>
                    <pic:cNvPicPr/>
                  </pic:nvPicPr>
                  <pic:blipFill>
                    <a:blip r:embed="rId10"/>
                    <a:stretch>
                      <a:fillRect/>
                    </a:stretch>
                  </pic:blipFill>
                  <pic:spPr>
                    <a:xfrm>
                      <a:off x="0" y="0"/>
                      <a:ext cx="5852160" cy="2926080"/>
                    </a:xfrm>
                    <a:prstGeom prst="rect"/>
                  </pic:spPr>
                </pic:pic>
              </a:graphicData>
            </a:graphic>
          </wp:inline>
        </w:drawing>
      </w:r>
    </w:p>
    <w:p>
      <w:pPr>
        <w:jc w:val="center"/>
      </w:pPr>
      <w:r>
        <w:t>Figure 2: fig2_log_diffs.png</w:t>
      </w:r>
    </w:p>
    <w:p>
      <w:r>
        <w:t>The log price level, log real GDP per capita, and log real consumption all trend upward over the full sample. This is the clearest visual sign that the level series are not fluctuating around a fixed constant mean. The price index grows especially quickly during the high-inflation period of the 1970s and early 1980s. Real GDP per capita and real consumption both rise strongly over time and move closely together, with visible slowdowns around major recessions.</w:t>
      </w:r>
    </w:p>
    <w:p>
      <w:r>
        <w:t>Once the logged series are differenced, the trend is largely removed. Quarterly inflation, GDP growth, and consumption growth fluctuate around relatively stable means, although inflation is visibly more volatile in the 1970s and again around the post-pandemic inflation episode. The nominal T-bill rate is more persistent than the differenced real variables: it rises sharply into the Volcker period, trends down for decades, remains near zero after the Global Financial Crisis, and then rises again from 2022. Overall, the plots suggest that p_t, y_t, and c_t are trending level series, while Delta p_t, Delta y_t, and Delta c_t are much closer to stationary growth-rate processes.</w:t>
      </w:r>
    </w:p>
    <w:p>
      <w:pPr>
        <w:pStyle w:val="Heading3"/>
      </w:pPr>
      <w:r>
        <w:t>1(b)(i) Trend Regressions on Log Levels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Series</w:t>
            </w:r>
          </w:p>
        </w:tc>
        <w:tc>
          <w:tcPr>
            <w:tcW w:type="dxa" w:w="1728"/>
          </w:tcPr>
          <w:p>
            <w:r>
              <w:t>Intercept</w:t>
            </w:r>
          </w:p>
        </w:tc>
        <w:tc>
          <w:tcPr>
            <w:tcW w:type="dxa" w:w="1728"/>
          </w:tcPr>
          <w:p>
            <w:r>
              <w:t>Trend</w:t>
            </w:r>
          </w:p>
        </w:tc>
        <w:tc>
          <w:tcPr>
            <w:tcW w:type="dxa" w:w="1728"/>
          </w:tcPr>
          <w:p>
            <w:r>
              <w:t>SE(Trend)</w:t>
            </w:r>
          </w:p>
        </w:tc>
        <w:tc>
          <w:tcPr>
            <w:tcW w:type="dxa" w:w="1728"/>
          </w:tcPr>
          <w:p>
            <w:r>
              <w:t>R-squared</w:t>
            </w:r>
          </w:p>
        </w:tc>
      </w:tr>
      <w:tr>
        <w:tc>
          <w:tcPr>
            <w:tcW w:type="dxa" w:w="1728"/>
          </w:tcPr>
          <w:p>
            <w:r>
              <w:t>p_t</w:t>
            </w:r>
          </w:p>
        </w:tc>
        <w:tc>
          <w:tcPr>
            <w:tcW w:type="dxa" w:w="1728"/>
          </w:tcPr>
          <w:p>
            <w:r>
              <w:t>0.270678</w:t>
            </w:r>
          </w:p>
        </w:tc>
        <w:tc>
          <w:tcPr>
            <w:tcW w:type="dxa" w:w="1728"/>
          </w:tcPr>
          <w:p>
            <w:r>
              <w:t>0.010125</w:t>
            </w:r>
          </w:p>
        </w:tc>
        <w:tc>
          <w:tcPr>
            <w:tcW w:type="dxa" w:w="1728"/>
          </w:tcPr>
          <w:p>
            <w:r>
              <w:t>0.000147</w:t>
            </w:r>
          </w:p>
        </w:tc>
        <w:tc>
          <w:tcPr>
            <w:tcW w:type="dxa" w:w="1728"/>
          </w:tcPr>
          <w:p>
            <w:r>
              <w:t>0.9487</w:t>
            </w:r>
          </w:p>
        </w:tc>
      </w:tr>
      <w:tr>
        <w:tc>
          <w:tcPr>
            <w:tcW w:type="dxa" w:w="1728"/>
          </w:tcPr>
          <w:p>
            <w:r>
              <w:t>y_t</w:t>
            </w:r>
          </w:p>
        </w:tc>
        <w:tc>
          <w:tcPr>
            <w:tcW w:type="dxa" w:w="1728"/>
          </w:tcPr>
          <w:p>
            <w:r>
              <w:t>9.945124</w:t>
            </w:r>
          </w:p>
        </w:tc>
        <w:tc>
          <w:tcPr>
            <w:tcW w:type="dxa" w:w="1728"/>
          </w:tcPr>
          <w:p>
            <w:r>
              <w:t>0.004757</w:t>
            </w:r>
          </w:p>
        </w:tc>
        <w:tc>
          <w:tcPr>
            <w:tcW w:type="dxa" w:w="1728"/>
          </w:tcPr>
          <w:p>
            <w:r>
              <w:t>0.000042</w:t>
            </w:r>
          </w:p>
        </w:tc>
        <w:tc>
          <w:tcPr>
            <w:tcW w:type="dxa" w:w="1728"/>
          </w:tcPr>
          <w:p>
            <w:r>
              <w:t>0.9799</w:t>
            </w:r>
          </w:p>
        </w:tc>
      </w:tr>
      <w:tr>
        <w:tc>
          <w:tcPr>
            <w:tcW w:type="dxa" w:w="1728"/>
          </w:tcPr>
          <w:p>
            <w:r>
              <w:t>c_t</w:t>
            </w:r>
          </w:p>
        </w:tc>
        <w:tc>
          <w:tcPr>
            <w:tcW w:type="dxa" w:w="1728"/>
          </w:tcPr>
          <w:p>
            <w:r>
              <w:t>9.428678</w:t>
            </w:r>
          </w:p>
        </w:tc>
        <w:tc>
          <w:tcPr>
            <w:tcW w:type="dxa" w:w="1728"/>
          </w:tcPr>
          <w:p>
            <w:r>
              <w:t>0.005305</w:t>
            </w:r>
          </w:p>
        </w:tc>
        <w:tc>
          <w:tcPr>
            <w:tcW w:type="dxa" w:w="1728"/>
          </w:tcPr>
          <w:p>
            <w:r>
              <w:t>0.000043</w:t>
            </w:r>
          </w:p>
        </w:tc>
        <w:tc>
          <w:tcPr>
            <w:tcW w:type="dxa" w:w="1728"/>
          </w:tcPr>
          <w:p>
            <w:r>
              <w:t>0.9834</w:t>
            </w:r>
          </w:p>
        </w:tc>
      </w:tr>
    </w:tbl>
    <w:p/>
    <w:p>
      <w:r>
        <w:t>All three estimated trend coefficients are economically and statistically important. The high R^2 values show that a deterministic linear trend captures most of the long-run movement in each logged level series.</w:t>
      </w:r>
    </w:p>
    <w:p>
      <w:pPr>
        <w:pStyle w:val="Heading3"/>
      </w:pPr>
      <w:r>
        <w:t>1(b)(ii) Means of First Differences</w:t>
      </w:r>
    </w:p>
    <w:tbl>
      <w:tblPr>
        <w:tblStyle w:val="TableGrid"/>
        <w:tblW w:type="auto" w:w="0"/>
        <w:tblLook w:firstColumn="1" w:firstRow="1" w:lastColumn="0" w:lastRow="0" w:noHBand="0" w:noVBand="1" w:val="04A0"/>
      </w:tblPr>
      <w:tblGrid>
        <w:gridCol w:w="4320"/>
        <w:gridCol w:w="4320"/>
      </w:tblGrid>
      <w:tr>
        <w:tc>
          <w:tcPr>
            <w:tcW w:type="dxa" w:w="4320"/>
          </w:tcPr>
          <w:p>
            <w:r>
              <w:t>Series</w:t>
            </w:r>
          </w:p>
        </w:tc>
        <w:tc>
          <w:tcPr>
            <w:tcW w:type="dxa" w:w="4320"/>
          </w:tcPr>
          <w:p>
            <w:r>
              <w:t>Mean</w:t>
            </w:r>
          </w:p>
        </w:tc>
      </w:tr>
      <w:tr>
        <w:tc>
          <w:tcPr>
            <w:tcW w:type="dxa" w:w="4320"/>
          </w:tcPr>
          <w:p>
            <w:r>
              <w:t>Delta p_t</w:t>
            </w:r>
          </w:p>
        </w:tc>
        <w:tc>
          <w:tcPr>
            <w:tcW w:type="dxa" w:w="4320"/>
          </w:tcPr>
          <w:p>
            <w:r>
              <w:t>0.009310</w:t>
            </w:r>
          </w:p>
        </w:tc>
      </w:tr>
      <w:tr>
        <w:tc>
          <w:tcPr>
            <w:tcW w:type="dxa" w:w="4320"/>
          </w:tcPr>
          <w:p>
            <w:r>
              <w:t>Delta y_t</w:t>
            </w:r>
          </w:p>
        </w:tc>
        <w:tc>
          <w:tcPr>
            <w:tcW w:type="dxa" w:w="4320"/>
          </w:tcPr>
          <w:p>
            <w:r>
              <w:t>0.004919</w:t>
            </w:r>
          </w:p>
        </w:tc>
      </w:tr>
      <w:tr>
        <w:tc>
          <w:tcPr>
            <w:tcW w:type="dxa" w:w="4320"/>
          </w:tcPr>
          <w:p>
            <w:r>
              <w:t>Delta c_t</w:t>
            </w:r>
          </w:p>
        </w:tc>
        <w:tc>
          <w:tcPr>
            <w:tcW w:type="dxa" w:w="4320"/>
          </w:tcPr>
          <w:p>
            <w:r>
              <w:t>0.005379</w:t>
            </w:r>
          </w:p>
        </w:tc>
      </w:tr>
    </w:tbl>
    <w:p/>
    <w:p>
      <w:pPr>
        <w:pStyle w:val="Heading3"/>
      </w:pPr>
      <w:r>
        <w:t>1(b)(iii) Why Estimate Both?</w:t>
      </w:r>
    </w:p>
    <w:p>
      <w:r>
        <w:t>Both exercises are trying to measure the same long-run feature: the average rate at which each series grows over time. In a random-walk-with-drift representation, the drift is the average quarterly change. A regression of the level on a time trend estimates that average growth through the slope coefficient, while the sample mean of first differences estimates it directly.</w:t>
      </w:r>
    </w:p>
    <w:p>
      <w:r>
        <w:t>That is why the two estimates should be close. They are indeed very similar for output and consumption. The price series shows the largest gap because US inflation is not stable over the whole sample: the high-inflation 1970s and disinflationary 1980s make a single linear trend in levels a less precise summary than the mean of quarterly inflation.</w:t>
      </w:r>
    </w:p>
    <w:p>
      <w:r>
        <w:br w:type="page"/>
      </w:r>
    </w:p>
    <w:p>
      <w:pPr>
        <w:pStyle w:val="Heading2"/>
      </w:pPr>
      <w:r>
        <w:t>Question 2</w:t>
      </w:r>
    </w:p>
    <w:p>
      <w:pPr>
        <w:pStyle w:val="Heading3"/>
      </w:pPr>
      <w:r>
        <w:t>Model Selection Logic</w:t>
      </w:r>
    </w:p>
    <w:p>
      <w:r>
        <w:t>For inflation, the relevant object is Delta p_t, not the price level. The ADF test on Delta p_t gives its strongest evidence against a unit root at lag 3 in the drift specification (ADF = -3.2457, p = 0.0199), and the KPSS statistic under the drift specification is 0.1128, which does not reject stationarity at conventional levels. So it is reasonable to model inflation directly with ARMA models.</w:t>
      </w:r>
    </w:p>
    <w:p>
      <w:r>
        <w:t>For the nominal interest rate r_t, the ADF test does not reject a unit root in the usual drift specification (ADF = -2.3787, p = 0.1789). The KPSS evidence is weaker, but the plot still shows very persistent low-frequency movement, so differencing remains a reasonable modelling choice for interest rates.</w:t>
      </w:r>
    </w:p>
    <w:p>
      <w:r>
        <w:t>A search over ARIMA models with p,q = 0,...,4 was then used. For inflation, only models that were both well-ranked by information criteria and passed Ljung-Box residual checks were kept. The three best adequate models were: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Inflation model</w:t>
            </w:r>
          </w:p>
        </w:tc>
        <w:tc>
          <w:tcPr>
            <w:tcW w:type="dxa" w:w="2160"/>
          </w:tcPr>
          <w:p>
            <w:r>
              <w:t>AIC</w:t>
            </w:r>
          </w:p>
        </w:tc>
        <w:tc>
          <w:tcPr>
            <w:tcW w:type="dxa" w:w="2160"/>
          </w:tcPr>
          <w:p>
            <w:r>
              <w:t>BIC</w:t>
            </w:r>
          </w:p>
        </w:tc>
        <w:tc>
          <w:tcPr>
            <w:tcW w:type="dxa" w:w="2160"/>
          </w:tcPr>
          <w:p>
            <w:r>
              <w:t>Ljung-Box p-value</w:t>
            </w:r>
          </w:p>
        </w:tc>
      </w:tr>
      <w:tr>
        <w:tc>
          <w:tcPr>
            <w:tcW w:type="dxa" w:w="2160"/>
          </w:tcPr>
          <w:p>
            <w:r>
              <w:t>ARMA(3,3)</w:t>
            </w:r>
          </w:p>
        </w:tc>
        <w:tc>
          <w:tcPr>
            <w:tcW w:type="dxa" w:w="2160"/>
          </w:tcPr>
          <w:p>
            <w:r>
              <w:t>-2686.38</w:t>
            </w:r>
          </w:p>
        </w:tc>
        <w:tc>
          <w:tcPr>
            <w:tcW w:type="dxa" w:w="2160"/>
          </w:tcPr>
          <w:p>
            <w:r>
              <w:t>-2657.92</w:t>
            </w:r>
          </w:p>
        </w:tc>
        <w:tc>
          <w:tcPr>
            <w:tcW w:type="dxa" w:w="2160"/>
          </w:tcPr>
          <w:p>
            <w:r>
              <w:t>0.1010</w:t>
            </w:r>
          </w:p>
        </w:tc>
      </w:tr>
      <w:tr>
        <w:tc>
          <w:tcPr>
            <w:tcW w:type="dxa" w:w="2160"/>
          </w:tcPr>
          <w:p>
            <w:r>
              <w:t>ARMA(3,4)</w:t>
            </w:r>
          </w:p>
        </w:tc>
        <w:tc>
          <w:tcPr>
            <w:tcW w:type="dxa" w:w="2160"/>
          </w:tcPr>
          <w:p>
            <w:r>
              <w:t>-2685.15</w:t>
            </w:r>
          </w:p>
        </w:tc>
        <w:tc>
          <w:tcPr>
            <w:tcW w:type="dxa" w:w="2160"/>
          </w:tcPr>
          <w:p>
            <w:r>
              <w:t>-2653.13</w:t>
            </w:r>
          </w:p>
        </w:tc>
        <w:tc>
          <w:tcPr>
            <w:tcW w:type="dxa" w:w="2160"/>
          </w:tcPr>
          <w:p>
            <w:r>
              <w:t>0.0895</w:t>
            </w:r>
          </w:p>
        </w:tc>
      </w:tr>
      <w:tr>
        <w:tc>
          <w:tcPr>
            <w:tcW w:type="dxa" w:w="2160"/>
          </w:tcPr>
          <w:p>
            <w:r>
              <w:t>ARMA(4,3)</w:t>
            </w:r>
          </w:p>
        </w:tc>
        <w:tc>
          <w:tcPr>
            <w:tcW w:type="dxa" w:w="2160"/>
          </w:tcPr>
          <w:p>
            <w:r>
              <w:t>-2684.73</w:t>
            </w:r>
          </w:p>
        </w:tc>
        <w:tc>
          <w:tcPr>
            <w:tcW w:type="dxa" w:w="2160"/>
          </w:tcPr>
          <w:p>
            <w:r>
              <w:t>-2652.72</w:t>
            </w:r>
          </w:p>
        </w:tc>
        <w:tc>
          <w:tcPr>
            <w:tcW w:type="dxa" w:w="2160"/>
          </w:tcPr>
          <w:p>
            <w:r>
              <w:t>0.0663</w:t>
            </w:r>
          </w:p>
        </w:tc>
      </w:tr>
    </w:tbl>
    <w:p/>
    <w:p>
      <w:r>
        <w:t>For interest rates, the three best short-order models by AIC were: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Interest-rate model</w:t>
            </w:r>
          </w:p>
        </w:tc>
        <w:tc>
          <w:tcPr>
            <w:tcW w:type="dxa" w:w="2160"/>
          </w:tcPr>
          <w:p>
            <w:r>
              <w:t>AIC</w:t>
            </w:r>
          </w:p>
        </w:tc>
        <w:tc>
          <w:tcPr>
            <w:tcW w:type="dxa" w:w="2160"/>
          </w:tcPr>
          <w:p>
            <w:r>
              <w:t>BIC</w:t>
            </w:r>
          </w:p>
        </w:tc>
        <w:tc>
          <w:tcPr>
            <w:tcW w:type="dxa" w:w="2160"/>
          </w:tcPr>
          <w:p>
            <w:r>
              <w:t>Ljung-Box p-value</w:t>
            </w:r>
          </w:p>
        </w:tc>
      </w:tr>
      <w:tr>
        <w:tc>
          <w:tcPr>
            <w:tcW w:type="dxa" w:w="2160"/>
          </w:tcPr>
          <w:p>
            <w:r>
              <w:t>ARIMA(1,1,4)</w:t>
            </w:r>
          </w:p>
        </w:tc>
        <w:tc>
          <w:tcPr>
            <w:tcW w:type="dxa" w:w="2160"/>
          </w:tcPr>
          <w:p>
            <w:r>
              <w:t>485.74</w:t>
            </w:r>
          </w:p>
        </w:tc>
        <w:tc>
          <w:tcPr>
            <w:tcW w:type="dxa" w:w="2160"/>
          </w:tcPr>
          <w:p>
            <w:r>
              <w:t>510.64</w:t>
            </w:r>
          </w:p>
        </w:tc>
        <w:tc>
          <w:tcPr>
            <w:tcW w:type="dxa" w:w="2160"/>
          </w:tcPr>
          <w:p>
            <w:r>
              <w:t>0.0011</w:t>
            </w:r>
          </w:p>
        </w:tc>
      </w:tr>
      <w:tr>
        <w:tc>
          <w:tcPr>
            <w:tcW w:type="dxa" w:w="2160"/>
          </w:tcPr>
          <w:p>
            <w:r>
              <w:t>ARIMA(2,1,4)</w:t>
            </w:r>
          </w:p>
        </w:tc>
        <w:tc>
          <w:tcPr>
            <w:tcW w:type="dxa" w:w="2160"/>
          </w:tcPr>
          <w:p>
            <w:r>
              <w:t>485.83</w:t>
            </w:r>
          </w:p>
        </w:tc>
        <w:tc>
          <w:tcPr>
            <w:tcW w:type="dxa" w:w="2160"/>
          </w:tcPr>
          <w:p>
            <w:r>
              <w:t>514.28</w:t>
            </w:r>
          </w:p>
        </w:tc>
        <w:tc>
          <w:tcPr>
            <w:tcW w:type="dxa" w:w="2160"/>
          </w:tcPr>
          <w:p>
            <w:r>
              <w:t>0.0036</w:t>
            </w:r>
          </w:p>
        </w:tc>
      </w:tr>
      <w:tr>
        <w:tc>
          <w:tcPr>
            <w:tcW w:type="dxa" w:w="2160"/>
          </w:tcPr>
          <w:p>
            <w:r>
              <w:t>ARIMA(3,1,4)</w:t>
            </w:r>
          </w:p>
        </w:tc>
        <w:tc>
          <w:tcPr>
            <w:tcW w:type="dxa" w:w="2160"/>
          </w:tcPr>
          <w:p>
            <w:r>
              <w:t>487.13</w:t>
            </w:r>
          </w:p>
        </w:tc>
        <w:tc>
          <w:tcPr>
            <w:tcW w:type="dxa" w:w="2160"/>
          </w:tcPr>
          <w:p>
            <w:r>
              <w:t>519.14</w:t>
            </w:r>
          </w:p>
        </w:tc>
        <w:tc>
          <w:tcPr>
            <w:tcW w:type="dxa" w:w="2160"/>
          </w:tcPr>
          <w:p>
            <w:r>
              <w:t>0.0037</w:t>
            </w:r>
          </w:p>
        </w:tc>
      </w:tr>
    </w:tbl>
    <w:p/>
    <w:p>
      <w:r>
        <w:t>These are the best-fitting low-order differenced models, but none fully removes residual autocorrelation at 12 lags. That should be acknowledged explicitly because the question asks for model choice, not just information-criterion ranking. The inflation forecasts below are based only on the inflation models.</w:t>
      </w:r>
    </w:p>
    <w:p>
      <w:pPr>
        <w:pStyle w:val="Heading3"/>
      </w:pPr>
      <w:r>
        <w:t>2(a) Inflation Forecasts for 2024-2025</w:t>
      </w:r>
    </w:p>
    <w:p>
      <w:pPr>
        <w:jc w:val="center"/>
      </w:pPr>
      <w:r>
        <w:drawing>
          <wp:inline xmlns:a="http://schemas.openxmlformats.org/drawingml/2006/main" xmlns:pic="http://schemas.openxmlformats.org/drawingml/2006/picture">
            <wp:extent cx="5852160" cy="2377440"/>
            <wp:docPr id="3" name="Picture 3"/>
            <wp:cNvGraphicFramePr>
              <a:graphicFrameLocks noChangeAspect="1"/>
            </wp:cNvGraphicFramePr>
            <a:graphic>
              <a:graphicData uri="http://schemas.openxmlformats.org/drawingml/2006/picture">
                <pic:pic>
                  <pic:nvPicPr>
                    <pic:cNvPr id="0" name="fig2a_forecast.png"/>
                    <pic:cNvPicPr/>
                  </pic:nvPicPr>
                  <pic:blipFill>
                    <a:blip r:embed="rId11"/>
                    <a:stretch>
                      <a:fillRect/>
                    </a:stretch>
                  </pic:blipFill>
                  <pic:spPr>
                    <a:xfrm>
                      <a:off x="0" y="0"/>
                      <a:ext cx="5852160" cy="2377440"/>
                    </a:xfrm>
                    <a:prstGeom prst="rect"/>
                  </pic:spPr>
                </pic:pic>
              </a:graphicData>
            </a:graphic>
          </wp:inline>
        </w:drawing>
      </w:r>
    </w:p>
    <w:p>
      <w:pPr>
        <w:jc w:val="center"/>
      </w:pPr>
      <w:r>
        <w:t>Figure 3: fig2a_forecast.png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Quarter</w:t>
            </w:r>
          </w:p>
        </w:tc>
        <w:tc>
          <w:tcPr>
            <w:tcW w:type="dxa" w:w="1440"/>
          </w:tcPr>
          <w:p>
            <w:r>
              <w:t>ARMA(3,3)</w:t>
            </w:r>
          </w:p>
        </w:tc>
        <w:tc>
          <w:tcPr>
            <w:tcW w:type="dxa" w:w="1440"/>
          </w:tcPr>
          <w:p>
            <w:r>
              <w:t>ARMA(3,4)</w:t>
            </w:r>
          </w:p>
        </w:tc>
        <w:tc>
          <w:tcPr>
            <w:tcW w:type="dxa" w:w="1440"/>
          </w:tcPr>
          <w:p>
            <w:r>
              <w:t>ARMA(4,3)</w:t>
            </w:r>
          </w:p>
        </w:tc>
        <w:tc>
          <w:tcPr>
            <w:tcW w:type="dxa" w:w="1440"/>
          </w:tcPr>
          <w:p>
            <w:r>
              <w:t>95% CI Lower</w:t>
            </w:r>
          </w:p>
        </w:tc>
        <w:tc>
          <w:tcPr>
            <w:tcW w:type="dxa" w:w="1440"/>
          </w:tcPr>
          <w:p>
            <w:r>
              <w:t>95% CI Upper</w:t>
            </w:r>
          </w:p>
        </w:tc>
      </w:tr>
      <w:tr>
        <w:tc>
          <w:tcPr>
            <w:tcW w:type="dxa" w:w="1440"/>
          </w:tcPr>
          <w:p>
            <w:r>
              <w:t>2024Q1</w:t>
            </w:r>
          </w:p>
        </w:tc>
        <w:tc>
          <w:tcPr>
            <w:tcW w:type="dxa" w:w="1440"/>
          </w:tcPr>
          <w:p>
            <w:r>
              <w:t>0.008699</w:t>
            </w:r>
          </w:p>
        </w:tc>
        <w:tc>
          <w:tcPr>
            <w:tcW w:type="dxa" w:w="1440"/>
          </w:tcPr>
          <w:p>
            <w:r>
              <w:t>0.008574</w:t>
            </w:r>
          </w:p>
        </w:tc>
        <w:tc>
          <w:tcPr>
            <w:tcW w:type="dxa" w:w="1440"/>
          </w:tcPr>
          <w:p>
            <w:r>
              <w:t>0.008674</w:t>
            </w:r>
          </w:p>
        </w:tc>
        <w:tc>
          <w:tcPr>
            <w:tcW w:type="dxa" w:w="1440"/>
          </w:tcPr>
          <w:p>
            <w:r>
              <w:t>0.006158</w:t>
            </w:r>
          </w:p>
        </w:tc>
        <w:tc>
          <w:tcPr>
            <w:tcW w:type="dxa" w:w="1440"/>
          </w:tcPr>
          <w:p>
            <w:r>
              <w:t>0.011240</w:t>
            </w:r>
          </w:p>
        </w:tc>
      </w:tr>
      <w:tr>
        <w:tc>
          <w:tcPr>
            <w:tcW w:type="dxa" w:w="1440"/>
          </w:tcPr>
          <w:p>
            <w:r>
              <w:t>2024Q2</w:t>
            </w:r>
          </w:p>
        </w:tc>
        <w:tc>
          <w:tcPr>
            <w:tcW w:type="dxa" w:w="1440"/>
          </w:tcPr>
          <w:p>
            <w:r>
              <w:t>0.008529</w:t>
            </w:r>
          </w:p>
        </w:tc>
        <w:tc>
          <w:tcPr>
            <w:tcW w:type="dxa" w:w="1440"/>
          </w:tcPr>
          <w:p>
            <w:r>
              <w:t>0.008351</w:t>
            </w:r>
          </w:p>
        </w:tc>
        <w:tc>
          <w:tcPr>
            <w:tcW w:type="dxa" w:w="1440"/>
          </w:tcPr>
          <w:p>
            <w:r>
              <w:t>0.008462</w:t>
            </w:r>
          </w:p>
        </w:tc>
        <w:tc>
          <w:tcPr>
            <w:tcW w:type="dxa" w:w="1440"/>
          </w:tcPr>
          <w:p>
            <w:r>
              <w:t>0.003916</w:t>
            </w:r>
          </w:p>
        </w:tc>
        <w:tc>
          <w:tcPr>
            <w:tcW w:type="dxa" w:w="1440"/>
          </w:tcPr>
          <w:p>
            <w:r>
              <w:t>0.013141</w:t>
            </w:r>
          </w:p>
        </w:tc>
      </w:tr>
      <w:tr>
        <w:tc>
          <w:tcPr>
            <w:tcW w:type="dxa" w:w="1440"/>
          </w:tcPr>
          <w:p>
            <w:r>
              <w:t>2024Q3</w:t>
            </w:r>
          </w:p>
        </w:tc>
        <w:tc>
          <w:tcPr>
            <w:tcW w:type="dxa" w:w="1440"/>
          </w:tcPr>
          <w:p>
            <w:r>
              <w:t>0.008932</w:t>
            </w:r>
          </w:p>
        </w:tc>
        <w:tc>
          <w:tcPr>
            <w:tcW w:type="dxa" w:w="1440"/>
          </w:tcPr>
          <w:p>
            <w:r>
              <w:t>0.008804</w:t>
            </w:r>
          </w:p>
        </w:tc>
        <w:tc>
          <w:tcPr>
            <w:tcW w:type="dxa" w:w="1440"/>
          </w:tcPr>
          <w:p>
            <w:r>
              <w:t>0.008878</w:t>
            </w:r>
          </w:p>
        </w:tc>
        <w:tc>
          <w:tcPr>
            <w:tcW w:type="dxa" w:w="1440"/>
          </w:tcPr>
          <w:p>
            <w:r>
              <w:t>0.002346</w:t>
            </w:r>
          </w:p>
        </w:tc>
        <w:tc>
          <w:tcPr>
            <w:tcW w:type="dxa" w:w="1440"/>
          </w:tcPr>
          <w:p>
            <w:r>
              <w:t>0.015518</w:t>
            </w:r>
          </w:p>
        </w:tc>
      </w:tr>
      <w:tr>
        <w:tc>
          <w:tcPr>
            <w:tcW w:type="dxa" w:w="1440"/>
          </w:tcPr>
          <w:p>
            <w:r>
              <w:t>2024Q4</w:t>
            </w:r>
          </w:p>
        </w:tc>
        <w:tc>
          <w:tcPr>
            <w:tcW w:type="dxa" w:w="1440"/>
          </w:tcPr>
          <w:p>
            <w:r>
              <w:t>0.008852</w:t>
            </w:r>
          </w:p>
        </w:tc>
        <w:tc>
          <w:tcPr>
            <w:tcW w:type="dxa" w:w="1440"/>
          </w:tcPr>
          <w:p>
            <w:r>
              <w:t>0.008684</w:t>
            </w:r>
          </w:p>
        </w:tc>
        <w:tc>
          <w:tcPr>
            <w:tcW w:type="dxa" w:w="1440"/>
          </w:tcPr>
          <w:p>
            <w:r>
              <w:t>0.008812</w:t>
            </w:r>
          </w:p>
        </w:tc>
        <w:tc>
          <w:tcPr>
            <w:tcW w:type="dxa" w:w="1440"/>
          </w:tcPr>
          <w:p>
            <w:r>
              <w:t>0.000034</w:t>
            </w:r>
          </w:p>
        </w:tc>
        <w:tc>
          <w:tcPr>
            <w:tcW w:type="dxa" w:w="1440"/>
          </w:tcPr>
          <w:p>
            <w:r>
              <w:t>0.017671</w:t>
            </w:r>
          </w:p>
        </w:tc>
      </w:tr>
      <w:tr>
        <w:tc>
          <w:tcPr>
            <w:tcW w:type="dxa" w:w="1440"/>
          </w:tcPr>
          <w:p>
            <w:r>
              <w:t>2025Q1</w:t>
            </w:r>
          </w:p>
        </w:tc>
        <w:tc>
          <w:tcPr>
            <w:tcW w:type="dxa" w:w="1440"/>
          </w:tcPr>
          <w:p>
            <w:r>
              <w:t>0.008798</w:t>
            </w:r>
          </w:p>
        </w:tc>
        <w:tc>
          <w:tcPr>
            <w:tcW w:type="dxa" w:w="1440"/>
          </w:tcPr>
          <w:p>
            <w:r>
              <w:t>0.008691</w:t>
            </w:r>
          </w:p>
        </w:tc>
        <w:tc>
          <w:tcPr>
            <w:tcW w:type="dxa" w:w="1440"/>
          </w:tcPr>
          <w:p>
            <w:r>
              <w:t>0.008758</w:t>
            </w:r>
          </w:p>
        </w:tc>
        <w:tc>
          <w:tcPr>
            <w:tcW w:type="dxa" w:w="1440"/>
          </w:tcPr>
          <w:p>
            <w:r>
              <w:t>-0.001036</w:t>
            </w:r>
          </w:p>
        </w:tc>
        <w:tc>
          <w:tcPr>
            <w:tcW w:type="dxa" w:w="1440"/>
          </w:tcPr>
          <w:p>
            <w:r>
              <w:t>0.018631</w:t>
            </w:r>
          </w:p>
        </w:tc>
      </w:tr>
      <w:tr>
        <w:tc>
          <w:tcPr>
            <w:tcW w:type="dxa" w:w="1440"/>
          </w:tcPr>
          <w:p>
            <w:r>
              <w:t>2025Q2</w:t>
            </w:r>
          </w:p>
        </w:tc>
        <w:tc>
          <w:tcPr>
            <w:tcW w:type="dxa" w:w="1440"/>
          </w:tcPr>
          <w:p>
            <w:r>
              <w:t>0.008867</w:t>
            </w:r>
          </w:p>
        </w:tc>
        <w:tc>
          <w:tcPr>
            <w:tcW w:type="dxa" w:w="1440"/>
          </w:tcPr>
          <w:p>
            <w:r>
              <w:t>0.008804</w:t>
            </w:r>
          </w:p>
        </w:tc>
        <w:tc>
          <w:tcPr>
            <w:tcW w:type="dxa" w:w="1440"/>
          </w:tcPr>
          <w:p>
            <w:r>
              <w:t>0.008848</w:t>
            </w:r>
          </w:p>
        </w:tc>
        <w:tc>
          <w:tcPr>
            <w:tcW w:type="dxa" w:w="1440"/>
          </w:tcPr>
          <w:p>
            <w:r>
              <w:t>-0.001702</w:t>
            </w:r>
          </w:p>
        </w:tc>
        <w:tc>
          <w:tcPr>
            <w:tcW w:type="dxa" w:w="1440"/>
          </w:tcPr>
          <w:p>
            <w:r>
              <w:t>0.019436</w:t>
            </w:r>
          </w:p>
        </w:tc>
      </w:tr>
      <w:tr>
        <w:tc>
          <w:tcPr>
            <w:tcW w:type="dxa" w:w="1440"/>
          </w:tcPr>
          <w:p>
            <w:r>
              <w:t>2025Q3</w:t>
            </w:r>
          </w:p>
        </w:tc>
        <w:tc>
          <w:tcPr>
            <w:tcW w:type="dxa" w:w="1440"/>
          </w:tcPr>
          <w:p>
            <w:r>
              <w:t>0.008878</w:t>
            </w:r>
          </w:p>
        </w:tc>
        <w:tc>
          <w:tcPr>
            <w:tcW w:type="dxa" w:w="1440"/>
          </w:tcPr>
          <w:p>
            <w:r>
              <w:t>0.008785</w:t>
            </w:r>
          </w:p>
        </w:tc>
        <w:tc>
          <w:tcPr>
            <w:tcW w:type="dxa" w:w="1440"/>
          </w:tcPr>
          <w:p>
            <w:r>
              <w:t>0.008857</w:t>
            </w:r>
          </w:p>
        </w:tc>
        <w:tc>
          <w:tcPr>
            <w:tcW w:type="dxa" w:w="1440"/>
          </w:tcPr>
          <w:p>
            <w:r>
              <w:t>-0.002360</w:t>
            </w:r>
          </w:p>
        </w:tc>
        <w:tc>
          <w:tcPr>
            <w:tcW w:type="dxa" w:w="1440"/>
          </w:tcPr>
          <w:p>
            <w:r>
              <w:t>0.020117</w:t>
            </w:r>
          </w:p>
        </w:tc>
      </w:tr>
      <w:tr>
        <w:tc>
          <w:tcPr>
            <w:tcW w:type="dxa" w:w="1440"/>
          </w:tcPr>
          <w:p>
            <w:r>
              <w:t>2025Q4</w:t>
            </w:r>
          </w:p>
        </w:tc>
        <w:tc>
          <w:tcPr>
            <w:tcW w:type="dxa" w:w="1440"/>
          </w:tcPr>
          <w:p>
            <w:r>
              <w:t>0.008875</w:t>
            </w:r>
          </w:p>
        </w:tc>
        <w:tc>
          <w:tcPr>
            <w:tcW w:type="dxa" w:w="1440"/>
          </w:tcPr>
          <w:p>
            <w:r>
              <w:t>0.008817</w:t>
            </w:r>
          </w:p>
        </w:tc>
        <w:tc>
          <w:tcPr>
            <w:tcW w:type="dxa" w:w="1440"/>
          </w:tcPr>
          <w:p>
            <w:r>
              <w:t>0.008856</w:t>
            </w:r>
          </w:p>
        </w:tc>
        <w:tc>
          <w:tcPr>
            <w:tcW w:type="dxa" w:w="1440"/>
          </w:tcPr>
          <w:p>
            <w:r>
              <w:t>-0.002857</w:t>
            </w:r>
          </w:p>
        </w:tc>
        <w:tc>
          <w:tcPr>
            <w:tcW w:type="dxa" w:w="1440"/>
          </w:tcPr>
          <w:p>
            <w:r>
              <w:t>0.020607</w:t>
            </w:r>
          </w:p>
        </w:tc>
      </w:tr>
    </w:tbl>
    <w:p/>
    <w:p>
      <w:r>
        <w:t>All three inflation models forecast a return toward a long-run quarterly inflation rate just under 0.009. That is exactly what we should expect from stationary ARMA dynamics: as the forecast horizon grows, the effect of current shocks dies out and the forecast converges toward the unconditional mean.</w:t>
      </w:r>
    </w:p>
    <w:p>
      <w:pPr>
        <w:pStyle w:val="Heading3"/>
      </w:pPr>
      <w:r>
        <w:t>2(b) Policy Use and Forecast Uncertainty</w:t>
      </w:r>
    </w:p>
    <w:p>
      <w:r>
        <w:t>These forecasts are useful because monetary policy is forward-looking. If inflation is forecast to remain above target, a central bank has evidence for maintaining or tightening policy. If inflation is expected to ease, policymakers may judge that nominal rates are already restrictive enough. Fiscal policy also uses inflation projections to budget indexed spending and assess the real burden of nominal liabilities.</w:t>
      </w:r>
    </w:p>
    <w:p>
      <w:r>
        <w:t>There are several layers of uncertainty, and the question asks us to discuss them conceptually and quantitatively.</w:t>
      </w:r>
    </w:p>
    <w:p>
      <w:r>
        <w:t>First, there is innovation uncertainty: future shocks are inherently unpredictable. This is visible in the widening confidence intervals. For the ARMA(3,3) model, the 95% interval width increases from about 0.0051 in 2024Q1 to about 0.0235 by 2025Q4.</w:t>
      </w:r>
    </w:p>
    <w:p>
      <w:r>
        <w:t>Second, there is parameter uncertainty: the AR and MA coefficients are estimated rather than known. The forecast intervals shown by standard ARIMA routines mainly reflect innovation uncertainty, so the true uncertainty is somewhat larger than the reported bands.</w:t>
      </w:r>
    </w:p>
    <w:p>
      <w:r>
        <w:t>Third, there is model uncertainty: even among the three best adequate models, the one-step-ahead forecasts differ. In 2024Q1, the range is from 0.008574 to 0.008699. That spread is not huge, but it shows that model choice still matters.</w:t>
      </w:r>
    </w:p>
    <w:p>
      <w:r>
        <w:t>Fourth, there is structural uncertainty: ARIMA models assume the future will resemble the past. They cannot anticipate regime changes such as a major energy shock, a change in monetary-policy reaction function, or a sudden supply disruption. For policy, this is often the most important source of real-world forecast risk.</w:t>
      </w:r>
    </w:p>
    <w:p>
      <w:r>
        <w:br w:type="page"/>
      </w:r>
    </w:p>
    <w:p>
      <w:pPr>
        <w:pStyle w:val="Heading2"/>
      </w:pPr>
      <w:r>
        <w:t>Question 3</w:t>
      </w:r>
    </w:p>
    <w:p>
      <w:r>
        <w:t>Using the supplied P_t values for 2024Q1 to 2025Q3 and the sample value P_2023Q4 = 14.5465, the realised inflation rates are: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Quarter</w:t>
            </w:r>
          </w:p>
        </w:tc>
        <w:tc>
          <w:tcPr>
            <w:tcW w:type="dxa" w:w="1728"/>
          </w:tcPr>
          <w:p>
            <w:r>
              <w:t>Actual Delta p_t</w:t>
            </w:r>
          </w:p>
        </w:tc>
        <w:tc>
          <w:tcPr>
            <w:tcW w:type="dxa" w:w="1728"/>
          </w:tcPr>
          <w:p>
            <w:r>
              <w:t>ARMA(3,3)</w:t>
            </w:r>
          </w:p>
        </w:tc>
        <w:tc>
          <w:tcPr>
            <w:tcW w:type="dxa" w:w="1728"/>
          </w:tcPr>
          <w:p>
            <w:r>
              <w:t>ARMA(3,4)</w:t>
            </w:r>
          </w:p>
        </w:tc>
        <w:tc>
          <w:tcPr>
            <w:tcW w:type="dxa" w:w="1728"/>
          </w:tcPr>
          <w:p>
            <w:r>
              <w:t>ARMA(4,3)</w:t>
            </w:r>
          </w:p>
        </w:tc>
      </w:tr>
      <w:tr>
        <w:tc>
          <w:tcPr>
            <w:tcW w:type="dxa" w:w="1728"/>
          </w:tcPr>
          <w:p>
            <w:r>
              <w:t>2024Q1</w:t>
            </w:r>
          </w:p>
        </w:tc>
        <w:tc>
          <w:tcPr>
            <w:tcW w:type="dxa" w:w="1728"/>
          </w:tcPr>
          <w:p>
            <w:r>
              <w:t>0.007977</w:t>
            </w:r>
          </w:p>
        </w:tc>
        <w:tc>
          <w:tcPr>
            <w:tcW w:type="dxa" w:w="1728"/>
          </w:tcPr>
          <w:p>
            <w:r>
              <w:t>0.008699</w:t>
            </w:r>
          </w:p>
        </w:tc>
        <w:tc>
          <w:tcPr>
            <w:tcW w:type="dxa" w:w="1728"/>
          </w:tcPr>
          <w:p>
            <w:r>
              <w:t>0.008574</w:t>
            </w:r>
          </w:p>
        </w:tc>
        <w:tc>
          <w:tcPr>
            <w:tcW w:type="dxa" w:w="1728"/>
          </w:tcPr>
          <w:p>
            <w:r>
              <w:t>0.008674</w:t>
            </w:r>
          </w:p>
        </w:tc>
      </w:tr>
      <w:tr>
        <w:tc>
          <w:tcPr>
            <w:tcW w:type="dxa" w:w="1728"/>
          </w:tcPr>
          <w:p>
            <w:r>
              <w:t>2024Q2</w:t>
            </w:r>
          </w:p>
        </w:tc>
        <w:tc>
          <w:tcPr>
            <w:tcW w:type="dxa" w:w="1728"/>
          </w:tcPr>
          <w:p>
            <w:r>
              <w:t>0.008286</w:t>
            </w:r>
          </w:p>
        </w:tc>
        <w:tc>
          <w:tcPr>
            <w:tcW w:type="dxa" w:w="1728"/>
          </w:tcPr>
          <w:p>
            <w:r>
              <w:t>0.008529</w:t>
            </w:r>
          </w:p>
        </w:tc>
        <w:tc>
          <w:tcPr>
            <w:tcW w:type="dxa" w:w="1728"/>
          </w:tcPr>
          <w:p>
            <w:r>
              <w:t>0.008351</w:t>
            </w:r>
          </w:p>
        </w:tc>
        <w:tc>
          <w:tcPr>
            <w:tcW w:type="dxa" w:w="1728"/>
          </w:tcPr>
          <w:p>
            <w:r>
              <w:t>0.008462</w:t>
            </w:r>
          </w:p>
        </w:tc>
      </w:tr>
      <w:tr>
        <w:tc>
          <w:tcPr>
            <w:tcW w:type="dxa" w:w="1728"/>
          </w:tcPr>
          <w:p>
            <w:r>
              <w:t>2024Q3</w:t>
            </w:r>
          </w:p>
        </w:tc>
        <w:tc>
          <w:tcPr>
            <w:tcW w:type="dxa" w:w="1728"/>
          </w:tcPr>
          <w:p>
            <w:r>
              <w:t>0.007614</w:t>
            </w:r>
          </w:p>
        </w:tc>
        <w:tc>
          <w:tcPr>
            <w:tcW w:type="dxa" w:w="1728"/>
          </w:tcPr>
          <w:p>
            <w:r>
              <w:t>0.008932</w:t>
            </w:r>
          </w:p>
        </w:tc>
        <w:tc>
          <w:tcPr>
            <w:tcW w:type="dxa" w:w="1728"/>
          </w:tcPr>
          <w:p>
            <w:r>
              <w:t>0.008804</w:t>
            </w:r>
          </w:p>
        </w:tc>
        <w:tc>
          <w:tcPr>
            <w:tcW w:type="dxa" w:w="1728"/>
          </w:tcPr>
          <w:p>
            <w:r>
              <w:t>0.008878</w:t>
            </w:r>
          </w:p>
        </w:tc>
      </w:tr>
      <w:tr>
        <w:tc>
          <w:tcPr>
            <w:tcW w:type="dxa" w:w="1728"/>
          </w:tcPr>
          <w:p>
            <w:r>
              <w:t>2024Q4</w:t>
            </w:r>
          </w:p>
        </w:tc>
        <w:tc>
          <w:tcPr>
            <w:tcW w:type="dxa" w:w="1728"/>
          </w:tcPr>
          <w:p>
            <w:r>
              <w:t>0.006356</w:t>
            </w:r>
          </w:p>
        </w:tc>
        <w:tc>
          <w:tcPr>
            <w:tcW w:type="dxa" w:w="1728"/>
          </w:tcPr>
          <w:p>
            <w:r>
              <w:t>0.008852</w:t>
            </w:r>
          </w:p>
        </w:tc>
        <w:tc>
          <w:tcPr>
            <w:tcW w:type="dxa" w:w="1728"/>
          </w:tcPr>
          <w:p>
            <w:r>
              <w:t>0.008684</w:t>
            </w:r>
          </w:p>
        </w:tc>
        <w:tc>
          <w:tcPr>
            <w:tcW w:type="dxa" w:w="1728"/>
          </w:tcPr>
          <w:p>
            <w:r>
              <w:t>0.008812</w:t>
            </w:r>
          </w:p>
        </w:tc>
      </w:tr>
      <w:tr>
        <w:tc>
          <w:tcPr>
            <w:tcW w:type="dxa" w:w="1728"/>
          </w:tcPr>
          <w:p>
            <w:r>
              <w:t>2025Q1</w:t>
            </w:r>
          </w:p>
        </w:tc>
        <w:tc>
          <w:tcPr>
            <w:tcW w:type="dxa" w:w="1728"/>
          </w:tcPr>
          <w:p>
            <w:r>
              <w:t>0.007111</w:t>
            </w:r>
          </w:p>
        </w:tc>
        <w:tc>
          <w:tcPr>
            <w:tcW w:type="dxa" w:w="1728"/>
          </w:tcPr>
          <w:p>
            <w:r>
              <w:t>0.008798</w:t>
            </w:r>
          </w:p>
        </w:tc>
        <w:tc>
          <w:tcPr>
            <w:tcW w:type="dxa" w:w="1728"/>
          </w:tcPr>
          <w:p>
            <w:r>
              <w:t>0.008691</w:t>
            </w:r>
          </w:p>
        </w:tc>
        <w:tc>
          <w:tcPr>
            <w:tcW w:type="dxa" w:w="1728"/>
          </w:tcPr>
          <w:p>
            <w:r>
              <w:t>0.008758</w:t>
            </w:r>
          </w:p>
        </w:tc>
      </w:tr>
      <w:tr>
        <w:tc>
          <w:tcPr>
            <w:tcW w:type="dxa" w:w="1728"/>
          </w:tcPr>
          <w:p>
            <w:r>
              <w:t>2025Q2</w:t>
            </w:r>
          </w:p>
        </w:tc>
        <w:tc>
          <w:tcPr>
            <w:tcW w:type="dxa" w:w="1728"/>
          </w:tcPr>
          <w:p>
            <w:r>
              <w:t>0.006337</w:t>
            </w:r>
          </w:p>
        </w:tc>
        <w:tc>
          <w:tcPr>
            <w:tcW w:type="dxa" w:w="1728"/>
          </w:tcPr>
          <w:p>
            <w:r>
              <w:t>0.008867</w:t>
            </w:r>
          </w:p>
        </w:tc>
        <w:tc>
          <w:tcPr>
            <w:tcW w:type="dxa" w:w="1728"/>
          </w:tcPr>
          <w:p>
            <w:r>
              <w:t>0.008804</w:t>
            </w:r>
          </w:p>
        </w:tc>
        <w:tc>
          <w:tcPr>
            <w:tcW w:type="dxa" w:w="1728"/>
          </w:tcPr>
          <w:p>
            <w:r>
              <w:t>0.008848</w:t>
            </w:r>
          </w:p>
        </w:tc>
      </w:tr>
      <w:tr>
        <w:tc>
          <w:tcPr>
            <w:tcW w:type="dxa" w:w="1728"/>
          </w:tcPr>
          <w:p>
            <w:r>
              <w:t>2025Q3</w:t>
            </w:r>
          </w:p>
        </w:tc>
        <w:tc>
          <w:tcPr>
            <w:tcW w:type="dxa" w:w="1728"/>
          </w:tcPr>
          <w:p>
            <w:r>
              <w:t>0.006428</w:t>
            </w:r>
          </w:p>
        </w:tc>
        <w:tc>
          <w:tcPr>
            <w:tcW w:type="dxa" w:w="1728"/>
          </w:tcPr>
          <w:p>
            <w:r>
              <w:t>0.008878</w:t>
            </w:r>
          </w:p>
        </w:tc>
        <w:tc>
          <w:tcPr>
            <w:tcW w:type="dxa" w:w="1728"/>
          </w:tcPr>
          <w:p>
            <w:r>
              <w:t>0.008785</w:t>
            </w:r>
          </w:p>
        </w:tc>
        <w:tc>
          <w:tcPr>
            <w:tcW w:type="dxa" w:w="1728"/>
          </w:tcPr>
          <w:p>
            <w:r>
              <w:t>0.008857</w:t>
            </w:r>
          </w:p>
        </w:tc>
      </w:tr>
    </w:tbl>
    <w:p/>
    <w:p>
      <w:r>
        <w:t>Forecast performance: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MSFE</w:t>
            </w:r>
          </w:p>
        </w:tc>
        <w:tc>
          <w:tcPr>
            <w:tcW w:type="dxa" w:w="2160"/>
          </w:tcPr>
          <w:p>
            <w:r>
              <w:t>RMSFE</w:t>
            </w:r>
          </w:p>
        </w:tc>
        <w:tc>
          <w:tcPr>
            <w:tcW w:type="dxa" w:w="2160"/>
          </w:tcPr>
          <w:p>
            <w:r>
              <w:t>MAE</w:t>
            </w:r>
          </w:p>
        </w:tc>
      </w:tr>
      <w:tr>
        <w:tc>
          <w:tcPr>
            <w:tcW w:type="dxa" w:w="2160"/>
          </w:tcPr>
          <w:p>
            <w:r>
              <w:t>ARMA(3,3)</w:t>
            </w:r>
          </w:p>
        </w:tc>
        <w:tc>
          <w:tcPr>
            <w:tcW w:type="dxa" w:w="2160"/>
          </w:tcPr>
          <w:p>
            <w:r>
              <w:t>3.3988e-06</w:t>
            </w:r>
          </w:p>
        </w:tc>
        <w:tc>
          <w:tcPr>
            <w:tcW w:type="dxa" w:w="2160"/>
          </w:tcPr>
          <w:p>
            <w:r>
              <w:t>0.001844</w:t>
            </w:r>
          </w:p>
        </w:tc>
        <w:tc>
          <w:tcPr>
            <w:tcW w:type="dxa" w:w="2160"/>
          </w:tcPr>
          <w:p>
            <w:r>
              <w:t>0.001635</w:t>
            </w:r>
          </w:p>
        </w:tc>
      </w:tr>
      <w:tr>
        <w:tc>
          <w:tcPr>
            <w:tcW w:type="dxa" w:w="2160"/>
          </w:tcPr>
          <w:p>
            <w:r>
              <w:t>ARMA(3,4)</w:t>
            </w:r>
          </w:p>
        </w:tc>
        <w:tc>
          <w:tcPr>
            <w:tcW w:type="dxa" w:w="2160"/>
          </w:tcPr>
          <w:p>
            <w:r>
              <w:t>3.0465e-06</w:t>
            </w:r>
          </w:p>
        </w:tc>
        <w:tc>
          <w:tcPr>
            <w:tcW w:type="dxa" w:w="2160"/>
          </w:tcPr>
          <w:p>
            <w:r>
              <w:t>0.001745</w:t>
            </w:r>
          </w:p>
        </w:tc>
        <w:tc>
          <w:tcPr>
            <w:tcW w:type="dxa" w:w="2160"/>
          </w:tcPr>
          <w:p>
            <w:r>
              <w:t>0.001512</w:t>
            </w:r>
          </w:p>
        </w:tc>
      </w:tr>
      <w:tr>
        <w:tc>
          <w:tcPr>
            <w:tcW w:type="dxa" w:w="2160"/>
          </w:tcPr>
          <w:p>
            <w:r>
              <w:t>ARMA(4,3)</w:t>
            </w:r>
          </w:p>
        </w:tc>
        <w:tc>
          <w:tcPr>
            <w:tcW w:type="dxa" w:w="2160"/>
          </w:tcPr>
          <w:p>
            <w:r>
              <w:t>3.2940e-06</w:t>
            </w:r>
          </w:p>
        </w:tc>
        <w:tc>
          <w:tcPr>
            <w:tcW w:type="dxa" w:w="2160"/>
          </w:tcPr>
          <w:p>
            <w:r>
              <w:t>0.001815</w:t>
            </w:r>
          </w:p>
        </w:tc>
        <w:tc>
          <w:tcPr>
            <w:tcW w:type="dxa" w:w="2160"/>
          </w:tcPr>
          <w:p>
            <w:r>
              <w:t>0.001597</w:t>
            </w:r>
          </w:p>
        </w:tc>
      </w:tr>
    </w:tbl>
    <w:p/>
    <w:p>
      <w:r>
        <w:t>ARMA(3,4) performs best on all three metrics, although the differences are modest. The main pattern is systematic over-prediction. All three models expected inflation to settle near the historical mean around 0.0088, but realised inflation fell steadily toward the 0.006-0.008 range. This most likely reflects the fact that the post-2021 inflation burst unwound faster than a purely backward-looking ARMA model could capture in real time. The broader lesson is that a model can fit the historical data well and still miss the timing of a changing inflation regime.</w:t>
      </w:r>
    </w:p>
    <w:p>
      <w:r>
        <w:br w:type="page"/>
      </w:r>
    </w:p>
    <w:p>
      <w:pPr>
        <w:pStyle w:val="Heading2"/>
      </w:pPr>
      <w:r>
        <w:t>Question 4</w:t>
      </w:r>
    </w:p>
    <w:p>
      <w:pPr>
        <w:pStyle w:val="Heading3"/>
      </w:pPr>
      <w:r>
        <w:t>4(a) Real Interest Rate</w:t>
      </w:r>
    </w:p>
    <w:p>
      <w:pPr>
        <w:jc w:val="center"/>
      </w:pPr>
      <w:r>
        <w:drawing>
          <wp:inline xmlns:a="http://schemas.openxmlformats.org/drawingml/2006/main" xmlns:pic="http://schemas.openxmlformats.org/drawingml/2006/picture">
            <wp:extent cx="5852160" cy="1950720"/>
            <wp:docPr id="4" name="Picture 4"/>
            <wp:cNvGraphicFramePr>
              <a:graphicFrameLocks noChangeAspect="1"/>
            </wp:cNvGraphicFramePr>
            <a:graphic>
              <a:graphicData uri="http://schemas.openxmlformats.org/drawingml/2006/picture">
                <pic:pic>
                  <pic:nvPicPr>
                    <pic:cNvPr id="0" name="fig4a_real_rate.png"/>
                    <pic:cNvPicPr/>
                  </pic:nvPicPr>
                  <pic:blipFill>
                    <a:blip r:embed="rId12"/>
                    <a:stretch>
                      <a:fillRect/>
                    </a:stretch>
                  </pic:blipFill>
                  <pic:spPr>
                    <a:xfrm>
                      <a:off x="0" y="0"/>
                      <a:ext cx="5852160" cy="1950720"/>
                    </a:xfrm>
                    <a:prstGeom prst="rect"/>
                  </pic:spPr>
                </pic:pic>
              </a:graphicData>
            </a:graphic>
          </wp:inline>
        </w:drawing>
      </w:r>
    </w:p>
    <w:p>
      <w:pPr>
        <w:jc w:val="center"/>
      </w:pPr>
      <w:r>
        <w:t>Figure 4: fig4a_real_rate.png</w:t>
      </w:r>
    </w:p>
    <w:p>
      <w:r>
        <w:t>The real-rate proxy is rr_t = r_t - Delta p_t. Its sample minimum is 0.0068, its maximum is 15.0306, and its mean is 4.3407. Because the nominal rate is measured in percentage points while inflation is a quarterly log difference, the proxy still moves closely with the nominal interest rate. The dominant visual feature is persistence rather than stability around a narrow band: the real rate is high in the late 1970s and early 1980s, falls for a long period, sits near zero after 2008, and rises again at the end of the sample. So there is little evidence that the real rate is markedly more stable than the nominal rate over this sample.</w:t>
      </w:r>
    </w:p>
    <w:p>
      <w:pPr>
        <w:pStyle w:val="Heading3"/>
      </w:pPr>
      <w:r>
        <w:t>4(b) Consumption Ratio</w:t>
      </w:r>
    </w:p>
    <w:p>
      <w:pPr>
        <w:jc w:val="center"/>
      </w:pPr>
      <w:r>
        <w:drawing>
          <wp:inline xmlns:a="http://schemas.openxmlformats.org/drawingml/2006/main" xmlns:pic="http://schemas.openxmlformats.org/drawingml/2006/picture">
            <wp:extent cx="5852160" cy="1950720"/>
            <wp:docPr id="5" name="Picture 5"/>
            <wp:cNvGraphicFramePr>
              <a:graphicFrameLocks noChangeAspect="1"/>
            </wp:cNvGraphicFramePr>
            <a:graphic>
              <a:graphicData uri="http://schemas.openxmlformats.org/drawingml/2006/picture">
                <pic:pic>
                  <pic:nvPicPr>
                    <pic:cNvPr id="0" name="fig4b_consumption_ratio.png"/>
                    <pic:cNvPicPr/>
                  </pic:nvPicPr>
                  <pic:blipFill>
                    <a:blip r:embed="rId13"/>
                    <a:stretch>
                      <a:fillRect/>
                    </a:stretch>
                  </pic:blipFill>
                  <pic:spPr>
                    <a:xfrm>
                      <a:off x="0" y="0"/>
                      <a:ext cx="5852160" cy="1950720"/>
                    </a:xfrm>
                    <a:prstGeom prst="rect"/>
                  </pic:spPr>
                </pic:pic>
              </a:graphicData>
            </a:graphic>
          </wp:inline>
        </w:drawing>
      </w:r>
    </w:p>
    <w:p>
      <w:pPr>
        <w:jc w:val="center"/>
      </w:pPr>
      <w:r>
        <w:t>Figure 5: fig4b_consumption_ratio.png</w:t>
      </w:r>
    </w:p>
    <w:p>
      <w:r>
        <w:t>The consumption ratio cy_t = C_t / Y_t rises from about 0.590 to 0.693, with a sample mean of 0.6419. The dominant feature is a persistent upward drift. An economic interpretation is that consumption has become a larger share of output over time, consistent with a lower saving rate, easier access to credit, and stronger consumption-smoothing opportunities as financial markets deepened.</w:t>
      </w:r>
    </w:p>
    <w:p>
      <w:pPr>
        <w:pStyle w:val="Heading3"/>
      </w:pPr>
      <w:r>
        <w:t>4(c) Best Adequate ARIMA Model for rr_t</w:t>
      </w:r>
    </w:p>
    <w:p>
      <w:r>
        <w:t>The unit-root evidence for rr_t is mixed, so the final specification was selected by fit and diagnostics rather than by pre-testing alone. A wider search over p,q = 0,...,6 showed that low-order models left clear residual autocorrelation. Among the models considered, ARIMA(3,1,6) was the lowest-AIC specification that also passed the adequacy check at 20 lags. Although it is a relatively rich model, that is consistent with the strong persistence visible in the plot.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 for rr_t</w:t>
            </w:r>
          </w:p>
        </w:tc>
        <w:tc>
          <w:tcPr>
            <w:tcW w:type="dxa" w:w="2160"/>
          </w:tcPr>
          <w:p>
            <w:r>
              <w:t>AIC</w:t>
            </w:r>
          </w:p>
        </w:tc>
        <w:tc>
          <w:tcPr>
            <w:tcW w:type="dxa" w:w="2160"/>
          </w:tcPr>
          <w:p>
            <w:r>
              <w:t>BIC</w:t>
            </w:r>
          </w:p>
        </w:tc>
        <w:tc>
          <w:tcPr>
            <w:tcW w:type="dxa" w:w="2160"/>
          </w:tcPr>
          <w:p>
            <w:r>
              <w:t>Ljung-Box p-value</w:t>
            </w:r>
          </w:p>
        </w:tc>
      </w:tr>
      <w:tr>
        <w:tc>
          <w:tcPr>
            <w:tcW w:type="dxa" w:w="2160"/>
          </w:tcPr>
          <w:p>
            <w:r>
              <w:t>ARIMA(3,1,6)</w:t>
            </w:r>
          </w:p>
        </w:tc>
        <w:tc>
          <w:tcPr>
            <w:tcW w:type="dxa" w:w="2160"/>
          </w:tcPr>
          <w:p>
            <w:r>
              <w:t>476.28</w:t>
            </w:r>
          </w:p>
        </w:tc>
        <w:tc>
          <w:tcPr>
            <w:tcW w:type="dxa" w:w="2160"/>
          </w:tcPr>
          <w:p>
            <w:r>
              <w:t>515.36</w:t>
            </w:r>
          </w:p>
        </w:tc>
        <w:tc>
          <w:tcPr>
            <w:tcW w:type="dxa" w:w="2160"/>
          </w:tcPr>
          <w:p>
            <w:r>
              <w:t>0.2979</w:t>
            </w:r>
          </w:p>
        </w:tc>
      </w:tr>
    </w:tbl>
    <w:p/>
    <w:p>
      <w:r>
        <w:t>Key estimated coefficients:</w:t>
      </w:r>
    </w:p>
    <w:p>
      <w:r>
        <w:t>ar1 = -0.4680, ar2 = -0.7813, ar3 = -0.5721, ma1 = 0.9551, ma2 = 0.8330, ma3 = 1.0711, ma4 = 0.3806, ma5 = 0.1495, ma6 = 0.3722, drift = 0.0122.</w:t>
      </w:r>
    </w:p>
    <w:p>
      <w:r>
        <w:t>The model captures the plot in two ways. The differencing term handles the low-frequency movement in the real rate, while the longer ARMA structure captures the fact that shocks to the real rate are persistent and can affect subsequent quarters for some time.</w:t>
      </w:r>
    </w:p>
    <w:p>
      <w:pPr>
        <w:pStyle w:val="Heading3"/>
      </w:pPr>
      <w:r>
        <w:t>4(d) Best Adequate ARIMA Model for cy_t</w:t>
      </w:r>
    </w:p>
    <w:p>
      <w:r>
        <w:t>Searching over d in {0,1} and p,q = 0,...,4 shows that the best adequate model is ARIMA(3,1,3):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 for cy_t</w:t>
            </w:r>
          </w:p>
        </w:tc>
        <w:tc>
          <w:tcPr>
            <w:tcW w:type="dxa" w:w="2160"/>
          </w:tcPr>
          <w:p>
            <w:r>
              <w:t>AIC</w:t>
            </w:r>
          </w:p>
        </w:tc>
        <w:tc>
          <w:tcPr>
            <w:tcW w:type="dxa" w:w="2160"/>
          </w:tcPr>
          <w:p>
            <w:r>
              <w:t>BIC</w:t>
            </w:r>
          </w:p>
        </w:tc>
        <w:tc>
          <w:tcPr>
            <w:tcW w:type="dxa" w:w="2160"/>
          </w:tcPr>
          <w:p>
            <w:r>
              <w:t>Ljung-Box p-value</w:t>
            </w:r>
          </w:p>
        </w:tc>
      </w:tr>
      <w:tr>
        <w:tc>
          <w:tcPr>
            <w:tcW w:type="dxa" w:w="2160"/>
          </w:tcPr>
          <w:p>
            <w:r>
              <w:t>ARIMA(3,1,3)</w:t>
            </w:r>
          </w:p>
        </w:tc>
        <w:tc>
          <w:tcPr>
            <w:tcW w:type="dxa" w:w="2160"/>
          </w:tcPr>
          <w:p>
            <w:r>
              <w:t>-2135.65</w:t>
            </w:r>
          </w:p>
        </w:tc>
        <w:tc>
          <w:tcPr>
            <w:tcW w:type="dxa" w:w="2160"/>
          </w:tcPr>
          <w:p>
            <w:r>
              <w:t>-2107.20</w:t>
            </w:r>
          </w:p>
        </w:tc>
        <w:tc>
          <w:tcPr>
            <w:tcW w:type="dxa" w:w="2160"/>
          </w:tcPr>
          <w:p>
            <w:r>
              <w:t>0.7626</w:t>
            </w:r>
          </w:p>
        </w:tc>
      </w:tr>
    </w:tbl>
    <w:p/>
    <w:p>
      <w:r>
        <w:t>Key estimated coefficients:</w:t>
      </w:r>
    </w:p>
    <w:p>
      <w:r>
        <w:t>ar1 = 0.6092, ar2 = -0.5732, ar3 = 0.7553, ma1 = -0.8316, ma2 = 0.6862, ma3 = -0.8547, drift = 0.0003.</w:t>
      </w:r>
    </w:p>
    <w:p>
      <w:r>
        <w:t>The differencing term reflects the strong upward trend in the ratio, while the ARMA terms capture short-run deviations from that trend. In that sense, the model matches the economics of the plot: a slowly rising long-run share with quarter-to-quarter corrections around it.</w:t>
      </w:r>
    </w:p>
    <w:p>
      <w:pPr>
        <w:pStyle w:val="Heading3"/>
      </w:pPr>
      <w:r>
        <w:t>4(e) Policy Use</w:t>
      </w:r>
    </w:p>
    <w:p>
      <w:r>
        <w:t>The rr_t model is useful because policy works through real, not just nominal, interest rates. A central bank can use forecasts of the real rate to judge whether policy is genuinely restrictive or accommodative, rather than relying only on the nominal policy rate.</w:t>
      </w:r>
    </w:p>
    <w:p>
      <w:r>
        <w:t>The cy_t model is useful because the consumption share is closely tied to aggregate demand. A persistently high or rising consumption ratio can signal strong household demand, a low saving rate, and greater sensitivity of the economy to income or wealth shocks. That makes it relevant for both monetary and fiscal policy.</w:t>
      </w:r>
    </w:p>
    <w:p>
      <w:r>
        <w:br w:type="page"/>
      </w:r>
    </w:p>
    <w:p>
      <w:pPr>
        <w:pStyle w:val="Heading2"/>
      </w:pPr>
      <w:r>
        <w:t>Question 5</w:t>
      </w:r>
    </w:p>
    <w:p>
      <w:pPr>
        <w:pStyle w:val="Heading3"/>
      </w:pPr>
      <w:r>
        <w:t>5(a) Sample Variances</w:t>
      </w:r>
    </w:p>
    <w:tbl>
      <w:tblPr>
        <w:tblStyle w:val="TableGrid"/>
        <w:tblW w:type="auto" w:w="0"/>
        <w:tblLook w:firstColumn="1" w:firstRow="1" w:lastColumn="0" w:lastRow="0" w:noHBand="0" w:noVBand="1" w:val="04A0"/>
      </w:tblPr>
      <w:tblGrid>
        <w:gridCol w:w="2880"/>
        <w:gridCol w:w="2880"/>
        <w:gridCol w:w="2880"/>
      </w:tblGrid>
      <w:tr>
        <w:tc>
          <w:tcPr>
            <w:tcW w:type="dxa" w:w="2880"/>
          </w:tcPr>
          <w:p>
            <w:r>
              <w:t>Currency</w:t>
            </w:r>
          </w:p>
        </w:tc>
        <w:tc>
          <w:tcPr>
            <w:tcW w:type="dxa" w:w="2880"/>
          </w:tcPr>
          <w:p>
            <w:r>
              <w:t>Sample Variance</w:t>
            </w:r>
          </w:p>
        </w:tc>
        <w:tc>
          <w:tcPr>
            <w:tcW w:type="dxa" w:w="2880"/>
          </w:tcPr>
          <w:p>
            <w:r>
              <w:t>Sample SD</w:t>
            </w:r>
          </w:p>
        </w:tc>
      </w:tr>
      <w:tr>
        <w:tc>
          <w:tcPr>
            <w:tcW w:type="dxa" w:w="2880"/>
          </w:tcPr>
          <w:p>
            <w:r>
              <w:t>CNY</w:t>
            </w:r>
          </w:p>
        </w:tc>
        <w:tc>
          <w:tcPr>
            <w:tcW w:type="dxa" w:w="2880"/>
          </w:tcPr>
          <w:p>
            <w:r>
              <w:t>0.336855</w:t>
            </w:r>
          </w:p>
        </w:tc>
        <w:tc>
          <w:tcPr>
            <w:tcW w:type="dxa" w:w="2880"/>
          </w:tcPr>
          <w:p>
            <w:r>
              <w:t>0.5804</w:t>
            </w:r>
          </w:p>
        </w:tc>
      </w:tr>
      <w:tr>
        <w:tc>
          <w:tcPr>
            <w:tcW w:type="dxa" w:w="2880"/>
          </w:tcPr>
          <w:p>
            <w:r>
              <w:t>USD</w:t>
            </w:r>
          </w:p>
        </w:tc>
        <w:tc>
          <w:tcPr>
            <w:tcW w:type="dxa" w:w="2880"/>
          </w:tcPr>
          <w:p>
            <w:r>
              <w:t>0.438086</w:t>
            </w:r>
          </w:p>
        </w:tc>
        <w:tc>
          <w:tcPr>
            <w:tcW w:type="dxa" w:w="2880"/>
          </w:tcPr>
          <w:p>
            <w:r>
              <w:t>0.6619</w:t>
            </w:r>
          </w:p>
        </w:tc>
      </w:tr>
      <w:tr>
        <w:tc>
          <w:tcPr>
            <w:tcW w:type="dxa" w:w="2880"/>
          </w:tcPr>
          <w:p>
            <w:r>
              <w:t>TWI</w:t>
            </w:r>
          </w:p>
        </w:tc>
        <w:tc>
          <w:tcPr>
            <w:tcW w:type="dxa" w:w="2880"/>
          </w:tcPr>
          <w:p>
            <w:r>
              <w:t>0.267471</w:t>
            </w:r>
          </w:p>
        </w:tc>
        <w:tc>
          <w:tcPr>
            <w:tcW w:type="dxa" w:w="2880"/>
          </w:tcPr>
          <w:p>
            <w:r>
              <w:t>0.5172</w:t>
            </w:r>
          </w:p>
        </w:tc>
      </w:tr>
      <w:tr>
        <w:tc>
          <w:tcPr>
            <w:tcW w:type="dxa" w:w="2880"/>
          </w:tcPr>
          <w:p>
            <w:r>
              <w:t>SDR</w:t>
            </w:r>
          </w:p>
        </w:tc>
        <w:tc>
          <w:tcPr>
            <w:tcW w:type="dxa" w:w="2880"/>
          </w:tcPr>
          <w:p>
            <w:r>
              <w:t>0.449172</w:t>
            </w:r>
          </w:p>
        </w:tc>
        <w:tc>
          <w:tcPr>
            <w:tcW w:type="dxa" w:w="2880"/>
          </w:tcPr>
          <w:p>
            <w:r>
              <w:t>0.6702</w:t>
            </w:r>
          </w:p>
        </w:tc>
      </w:tr>
    </w:tbl>
    <w:p/>
    <w:p>
      <w:r>
        <w:t>TWI is the least volatile return series, which is consistent with diversification across trading partners. USD and SDR are the most volatile. CNY is less volatile than USD, which is consistent with a more managed exchange-rate regime.</w:t>
      </w:r>
    </w:p>
    <w:p>
      <w:pPr>
        <w:pStyle w:val="Heading3"/>
      </w:pPr>
      <w:r>
        <w:t>5(b) Absolute Returns</w:t>
      </w:r>
    </w:p>
    <w:p>
      <w:pPr>
        <w:jc w:val="center"/>
      </w:pPr>
      <w:r>
        <w:drawing>
          <wp:inline xmlns:a="http://schemas.openxmlformats.org/drawingml/2006/main" xmlns:pic="http://schemas.openxmlformats.org/drawingml/2006/picture">
            <wp:extent cx="5852160" cy="2926080"/>
            <wp:docPr id="6" name="Picture 6"/>
            <wp:cNvGraphicFramePr>
              <a:graphicFrameLocks noChangeAspect="1"/>
            </wp:cNvGraphicFramePr>
            <a:graphic>
              <a:graphicData uri="http://schemas.openxmlformats.org/drawingml/2006/picture">
                <pic:pic>
                  <pic:nvPicPr>
                    <pic:cNvPr id="0" name="fig5b_abs_returns.png"/>
                    <pic:cNvPicPr/>
                  </pic:nvPicPr>
                  <pic:blipFill>
                    <a:blip r:embed="rId14"/>
                    <a:stretch>
                      <a:fillRect/>
                    </a:stretch>
                  </pic:blipFill>
                  <pic:spPr>
                    <a:xfrm>
                      <a:off x="0" y="0"/>
                      <a:ext cx="5852160" cy="2926080"/>
                    </a:xfrm>
                    <a:prstGeom prst="rect"/>
                  </pic:spPr>
                </pic:pic>
              </a:graphicData>
            </a:graphic>
          </wp:inline>
        </w:drawing>
      </w:r>
    </w:p>
    <w:p>
      <w:pPr>
        <w:jc w:val="center"/>
      </w:pPr>
      <w:r>
        <w:t>Figure 6: fig5b_abs_returns.png</w:t>
      </w:r>
    </w:p>
    <w:p>
      <w:r>
        <w:t>The absolute-return plots show clear volatility clustering: large moves arrive in bursts, and calm periods also persist. The largest common spike is around the onset of COVID-19 in March 2020. This pattern immediately suggests that a constant-variance model is inappropriate and that conditional volatility models such as GARCH are needed.</w:t>
      </w:r>
    </w:p>
    <w:p>
      <w:r>
        <w:br w:type="page"/>
      </w:r>
    </w:p>
    <w:p>
      <w:pPr>
        <w:pStyle w:val="Heading2"/>
      </w:pPr>
      <w:r>
        <w:t>Question 6</w:t>
      </w:r>
    </w:p>
    <w:p>
      <w:pPr>
        <w:pStyle w:val="Heading3"/>
      </w:pPr>
      <w:r>
        <w:t>Step 1: Evidence of GARCH Effects</w:t>
      </w:r>
    </w:p>
    <w:p>
      <w:r>
        <w:t>An Engle ARCH LM test with 10 lags strongly rejects homoskedasticity for every return series: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Currency</w:t>
            </w:r>
          </w:p>
        </w:tc>
        <w:tc>
          <w:tcPr>
            <w:tcW w:type="dxa" w:w="2160"/>
          </w:tcPr>
          <w:p>
            <w:r>
              <w:t>ARCH LM Statistic</w:t>
            </w:r>
          </w:p>
        </w:tc>
        <w:tc>
          <w:tcPr>
            <w:tcW w:type="dxa" w:w="2160"/>
          </w:tcPr>
          <w:p>
            <w:r>
              <w:t>p-value</w:t>
            </w:r>
          </w:p>
        </w:tc>
        <w:tc>
          <w:tcPr>
            <w:tcW w:type="dxa" w:w="2160"/>
          </w:tcPr>
          <w:p>
            <w:r>
              <w:t>Ljung-Box on Squared Returns p-value</w:t>
            </w:r>
          </w:p>
        </w:tc>
      </w:tr>
      <w:tr>
        <w:tc>
          <w:tcPr>
            <w:tcW w:type="dxa" w:w="2160"/>
          </w:tcPr>
          <w:p>
            <w:r>
              <w:t>CNY</w:t>
            </w:r>
          </w:p>
        </w:tc>
        <w:tc>
          <w:tcPr>
            <w:tcW w:type="dxa" w:w="2160"/>
          </w:tcPr>
          <w:p>
            <w:r>
              <w:t>401.62</w:t>
            </w:r>
          </w:p>
        </w:tc>
        <w:tc>
          <w:tcPr>
            <w:tcW w:type="dxa" w:w="2160"/>
          </w:tcPr>
          <w:p>
            <w:r>
              <w:t>0.0000</w:t>
            </w:r>
          </w:p>
        </w:tc>
        <w:tc>
          <w:tcPr>
            <w:tcW w:type="dxa" w:w="2160"/>
          </w:tcPr>
          <w:p>
            <w:r>
              <w:t>0.0000</w:t>
            </w:r>
          </w:p>
        </w:tc>
      </w:tr>
      <w:tr>
        <w:tc>
          <w:tcPr>
            <w:tcW w:type="dxa" w:w="2160"/>
          </w:tcPr>
          <w:p>
            <w:r>
              <w:t>USD</w:t>
            </w:r>
          </w:p>
        </w:tc>
        <w:tc>
          <w:tcPr>
            <w:tcW w:type="dxa" w:w="2160"/>
          </w:tcPr>
          <w:p>
            <w:r>
              <w:t>275.60</w:t>
            </w:r>
          </w:p>
        </w:tc>
        <w:tc>
          <w:tcPr>
            <w:tcW w:type="dxa" w:w="2160"/>
          </w:tcPr>
          <w:p>
            <w:r>
              <w:t>0.0000</w:t>
            </w:r>
          </w:p>
        </w:tc>
        <w:tc>
          <w:tcPr>
            <w:tcW w:type="dxa" w:w="2160"/>
          </w:tcPr>
          <w:p>
            <w:r>
              <w:t>0.0000</w:t>
            </w:r>
          </w:p>
        </w:tc>
      </w:tr>
      <w:tr>
        <w:tc>
          <w:tcPr>
            <w:tcW w:type="dxa" w:w="2160"/>
          </w:tcPr>
          <w:p>
            <w:r>
              <w:t>TWI</w:t>
            </w:r>
          </w:p>
        </w:tc>
        <w:tc>
          <w:tcPr>
            <w:tcW w:type="dxa" w:w="2160"/>
          </w:tcPr>
          <w:p>
            <w:r>
              <w:t>484.45</w:t>
            </w:r>
          </w:p>
        </w:tc>
        <w:tc>
          <w:tcPr>
            <w:tcW w:type="dxa" w:w="2160"/>
          </w:tcPr>
          <w:p>
            <w:r>
              <w:t>0.0000</w:t>
            </w:r>
          </w:p>
        </w:tc>
        <w:tc>
          <w:tcPr>
            <w:tcW w:type="dxa" w:w="2160"/>
          </w:tcPr>
          <w:p>
            <w:r>
              <w:t>0.0000</w:t>
            </w:r>
          </w:p>
        </w:tc>
      </w:tr>
      <w:tr>
        <w:tc>
          <w:tcPr>
            <w:tcW w:type="dxa" w:w="2160"/>
          </w:tcPr>
          <w:p>
            <w:r>
              <w:t>SDR</w:t>
            </w:r>
          </w:p>
        </w:tc>
        <w:tc>
          <w:tcPr>
            <w:tcW w:type="dxa" w:w="2160"/>
          </w:tcPr>
          <w:p>
            <w:r>
              <w:t>426.45</w:t>
            </w:r>
          </w:p>
        </w:tc>
        <w:tc>
          <w:tcPr>
            <w:tcW w:type="dxa" w:w="2160"/>
          </w:tcPr>
          <w:p>
            <w:r>
              <w:t>0.0000</w:t>
            </w:r>
          </w:p>
        </w:tc>
        <w:tc>
          <w:tcPr>
            <w:tcW w:type="dxa" w:w="2160"/>
          </w:tcPr>
          <w:p>
            <w:r>
              <w:t>0.0000</w:t>
            </w:r>
          </w:p>
        </w:tc>
      </w:tr>
    </w:tbl>
    <w:p/>
    <w:p>
      <w:r>
        <w:t>So the variance is clearly time-varying, which is the key hint in the question.</w:t>
      </w:r>
    </w:p>
    <w:p>
      <w:pPr>
        <w:pStyle w:val="Heading3"/>
      </w:pPr>
      <w:r>
        <w:t>Step 2: Mean Equation Selection</w:t>
      </w:r>
    </w:p>
    <w:p>
      <w:r>
        <w:t>I first screened low-order ARMA mean models using AIC/BIC and Ljung-Box tests on the raw returns:</w:t>
      </w:r>
    </w:p>
    <w:p>
      <w:r>
        <w:t>- CNY: no low-order mean model removes all serial correlation, so I use ARMA(0,0) and let the variance model do the main work.</w:t>
      </w:r>
    </w:p>
    <w:p>
      <w:r>
        <w:t>- USD: ARMA(0,0) is already acceptable (LB p = 0.0562).</w:t>
      </w:r>
    </w:p>
    <w:p>
      <w:r>
        <w:t>- TWI: ARMA(1,0) is the simplest adequate mean model (LB p = 0.0592).</w:t>
      </w:r>
    </w:p>
    <w:p>
      <w:r>
        <w:t>- SDR: ARMA(0,1) has the best information criteria among the adequate low-order mean models (LB p = 0.3243).</w:t>
      </w:r>
    </w:p>
    <w:p>
      <w:pPr>
        <w:pStyle w:val="Heading3"/>
      </w:pPr>
      <w:r>
        <w:t>Step 3: Variance Model and Error Distribution</w:t>
      </w:r>
    </w:p>
    <w:p>
      <w:r>
        <w:t>For each chosen mean equation, I compared symmetric GARCH(1,1) and asymmetric GJR-GARCH(1,1), each under Normal and Student-t errors. The key result is very consistent across currencies: the Student-t distribution improves fit materially, and GJR-GARCH gives the best or near-best information criteria.</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Currency</w:t>
            </w:r>
          </w:p>
        </w:tc>
        <w:tc>
          <w:tcPr>
            <w:tcW w:type="dxa" w:w="1440"/>
          </w:tcPr>
          <w:p>
            <w:r>
              <w:t>Mean Model</w:t>
            </w:r>
          </w:p>
        </w:tc>
        <w:tc>
          <w:tcPr>
            <w:tcW w:type="dxa" w:w="1440"/>
          </w:tcPr>
          <w:p>
            <w:r>
              <w:t>Final Variance Model</w:t>
            </w:r>
          </w:p>
        </w:tc>
        <w:tc>
          <w:tcPr>
            <w:tcW w:type="dxa" w:w="1440"/>
          </w:tcPr>
          <w:p>
            <w:r>
              <w:t>Errors</w:t>
            </w:r>
          </w:p>
        </w:tc>
        <w:tc>
          <w:tcPr>
            <w:tcW w:type="dxa" w:w="1440"/>
          </w:tcPr>
          <w:p>
            <w:r>
              <w:t>AIC</w:t>
            </w:r>
          </w:p>
        </w:tc>
        <w:tc>
          <w:tcPr>
            <w:tcW w:type="dxa" w:w="1440"/>
          </w:tcPr>
          <w:p>
            <w:r>
              <w:t>BIC</w:t>
            </w:r>
          </w:p>
        </w:tc>
      </w:tr>
      <w:tr>
        <w:tc>
          <w:tcPr>
            <w:tcW w:type="dxa" w:w="1440"/>
          </w:tcPr>
          <w:p>
            <w:r>
              <w:t>CNY</w:t>
            </w:r>
          </w:p>
        </w:tc>
        <w:tc>
          <w:tcPr>
            <w:tcW w:type="dxa" w:w="1440"/>
          </w:tcPr>
          <w:p>
            <w:r>
              <w:t>ARMA(0,0)</w:t>
            </w:r>
          </w:p>
        </w:tc>
        <w:tc>
          <w:tcPr>
            <w:tcW w:type="dxa" w:w="1440"/>
          </w:tcPr>
          <w:p>
            <w:r>
              <w:t>GJR-GARCH(1,1)</w:t>
            </w:r>
          </w:p>
        </w:tc>
        <w:tc>
          <w:tcPr>
            <w:tcW w:type="dxa" w:w="1440"/>
          </w:tcPr>
          <w:p>
            <w:r>
              <w:t>Student-t</w:t>
            </w:r>
          </w:p>
        </w:tc>
        <w:tc>
          <w:tcPr>
            <w:tcW w:type="dxa" w:w="1440"/>
          </w:tcPr>
          <w:p>
            <w:r>
              <w:t>1.5243</w:t>
            </w:r>
          </w:p>
        </w:tc>
        <w:tc>
          <w:tcPr>
            <w:tcW w:type="dxa" w:w="1440"/>
          </w:tcPr>
          <w:p>
            <w:r>
              <w:t>1.5410</w:t>
            </w:r>
          </w:p>
        </w:tc>
      </w:tr>
      <w:tr>
        <w:tc>
          <w:tcPr>
            <w:tcW w:type="dxa" w:w="1440"/>
          </w:tcPr>
          <w:p>
            <w:r>
              <w:t>USD</w:t>
            </w:r>
          </w:p>
        </w:tc>
        <w:tc>
          <w:tcPr>
            <w:tcW w:type="dxa" w:w="1440"/>
          </w:tcPr>
          <w:p>
            <w:r>
              <w:t>ARMA(0,0)</w:t>
            </w:r>
          </w:p>
        </w:tc>
        <w:tc>
          <w:tcPr>
            <w:tcW w:type="dxa" w:w="1440"/>
          </w:tcPr>
          <w:p>
            <w:r>
              <w:t>GJR-GARCH(1,1)</w:t>
            </w:r>
          </w:p>
        </w:tc>
        <w:tc>
          <w:tcPr>
            <w:tcW w:type="dxa" w:w="1440"/>
          </w:tcPr>
          <w:p>
            <w:r>
              <w:t>Student-t</w:t>
            </w:r>
          </w:p>
        </w:tc>
        <w:tc>
          <w:tcPr>
            <w:tcW w:type="dxa" w:w="1440"/>
          </w:tcPr>
          <w:p>
            <w:r>
              <w:t>1.7963</w:t>
            </w:r>
          </w:p>
        </w:tc>
        <w:tc>
          <w:tcPr>
            <w:tcW w:type="dxa" w:w="1440"/>
          </w:tcPr>
          <w:p>
            <w:r>
              <w:t>1.8130</w:t>
            </w:r>
          </w:p>
        </w:tc>
      </w:tr>
      <w:tr>
        <w:tc>
          <w:tcPr>
            <w:tcW w:type="dxa" w:w="1440"/>
          </w:tcPr>
          <w:p>
            <w:r>
              <w:t>TWI</w:t>
            </w:r>
          </w:p>
        </w:tc>
        <w:tc>
          <w:tcPr>
            <w:tcW w:type="dxa" w:w="1440"/>
          </w:tcPr>
          <w:p>
            <w:r>
              <w:t>ARMA(1,0)</w:t>
            </w:r>
          </w:p>
        </w:tc>
        <w:tc>
          <w:tcPr>
            <w:tcW w:type="dxa" w:w="1440"/>
          </w:tcPr>
          <w:p>
            <w:r>
              <w:t>GJR-GARCH(1,1)</w:t>
            </w:r>
          </w:p>
        </w:tc>
        <w:tc>
          <w:tcPr>
            <w:tcW w:type="dxa" w:w="1440"/>
          </w:tcPr>
          <w:p>
            <w:r>
              <w:t>Student-t</w:t>
            </w:r>
          </w:p>
        </w:tc>
        <w:tc>
          <w:tcPr>
            <w:tcW w:type="dxa" w:w="1440"/>
          </w:tcPr>
          <w:p>
            <w:r>
              <w:t>1.2830</w:t>
            </w:r>
          </w:p>
        </w:tc>
        <w:tc>
          <w:tcPr>
            <w:tcW w:type="dxa" w:w="1440"/>
          </w:tcPr>
          <w:p>
            <w:r>
              <w:t>1.3024</w:t>
            </w:r>
          </w:p>
        </w:tc>
      </w:tr>
      <w:tr>
        <w:tc>
          <w:tcPr>
            <w:tcW w:type="dxa" w:w="1440"/>
          </w:tcPr>
          <w:p>
            <w:r>
              <w:t>SDR</w:t>
            </w:r>
          </w:p>
        </w:tc>
        <w:tc>
          <w:tcPr>
            <w:tcW w:type="dxa" w:w="1440"/>
          </w:tcPr>
          <w:p>
            <w:r>
              <w:t>ARMA(0,1)</w:t>
            </w:r>
          </w:p>
        </w:tc>
        <w:tc>
          <w:tcPr>
            <w:tcW w:type="dxa" w:w="1440"/>
          </w:tcPr>
          <w:p>
            <w:r>
              <w:t>GJR-GARCH(1,1)</w:t>
            </w:r>
          </w:p>
        </w:tc>
        <w:tc>
          <w:tcPr>
            <w:tcW w:type="dxa" w:w="1440"/>
          </w:tcPr>
          <w:p>
            <w:r>
              <w:t>Student-t</w:t>
            </w:r>
          </w:p>
        </w:tc>
        <w:tc>
          <w:tcPr>
            <w:tcW w:type="dxa" w:w="1440"/>
          </w:tcPr>
          <w:p>
            <w:r>
              <w:t>1.7938</w:t>
            </w:r>
          </w:p>
        </w:tc>
        <w:tc>
          <w:tcPr>
            <w:tcW w:type="dxa" w:w="1440"/>
          </w:tcPr>
          <w:p>
            <w:r>
              <w:t>1.8132</w:t>
            </w:r>
          </w:p>
        </w:tc>
      </w:tr>
    </w:tbl>
    <w:p/>
    <w:p>
      <w:r>
        <w:t>Estimated coefficients: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Currency</w:t>
            </w:r>
          </w:p>
        </w:tc>
        <w:tc>
          <w:tcPr>
            <w:tcW w:type="dxa" w:w="960"/>
          </w:tcPr>
          <w:p>
            <w:r>
              <w:t>mu</w:t>
            </w:r>
          </w:p>
        </w:tc>
        <w:tc>
          <w:tcPr>
            <w:tcW w:type="dxa" w:w="960"/>
          </w:tcPr>
          <w:p>
            <w:r>
              <w:t>ar1</w:t>
            </w:r>
          </w:p>
        </w:tc>
        <w:tc>
          <w:tcPr>
            <w:tcW w:type="dxa" w:w="960"/>
          </w:tcPr>
          <w:p>
            <w:r>
              <w:t>ma1</w:t>
            </w:r>
          </w:p>
        </w:tc>
        <w:tc>
          <w:tcPr>
            <w:tcW w:type="dxa" w:w="960"/>
          </w:tcPr>
          <w:p>
            <w:r>
              <w:t>omega</w:t>
            </w:r>
          </w:p>
        </w:tc>
        <w:tc>
          <w:tcPr>
            <w:tcW w:type="dxa" w:w="960"/>
          </w:tcPr>
          <w:p>
            <w:r>
              <w:t>alpha1</w:t>
            </w:r>
          </w:p>
        </w:tc>
        <w:tc>
          <w:tcPr>
            <w:tcW w:type="dxa" w:w="960"/>
          </w:tcPr>
          <w:p>
            <w:r>
              <w:t>beta1</w:t>
            </w:r>
          </w:p>
        </w:tc>
        <w:tc>
          <w:tcPr>
            <w:tcW w:type="dxa" w:w="960"/>
          </w:tcPr>
          <w:p>
            <w:r>
              <w:t>gamma1</w:t>
            </w:r>
          </w:p>
        </w:tc>
        <w:tc>
          <w:tcPr>
            <w:tcW w:type="dxa" w:w="960"/>
          </w:tcPr>
          <w:p>
            <w:r>
              <w:t>shape</w:t>
            </w:r>
          </w:p>
        </w:tc>
      </w:tr>
      <w:tr>
        <w:tc>
          <w:tcPr>
            <w:tcW w:type="dxa" w:w="960"/>
          </w:tcPr>
          <w:p>
            <w:r>
              <w:t>CNY</w:t>
            </w:r>
          </w:p>
        </w:tc>
        <w:tc>
          <w:tcPr>
            <w:tcW w:type="dxa" w:w="960"/>
          </w:tcPr>
          <w:p>
            <w:r>
              <w:t>-0.0143</w:t>
            </w:r>
          </w:p>
        </w:tc>
        <w:tc>
          <w:tcPr>
            <w:tcW w:type="dxa" w:w="960"/>
          </w:tcPr>
          <w:p>
            <w:r/>
          </w:p>
        </w:tc>
        <w:tc>
          <w:tcPr>
            <w:tcW w:type="dxa" w:w="960"/>
          </w:tcPr>
          <w:p>
            <w:r/>
          </w:p>
        </w:tc>
        <w:tc>
          <w:tcPr>
            <w:tcW w:type="dxa" w:w="960"/>
          </w:tcPr>
          <w:p>
            <w:r>
              <w:t>0.0067</w:t>
            </w:r>
          </w:p>
        </w:tc>
        <w:tc>
          <w:tcPr>
            <w:tcW w:type="dxa" w:w="960"/>
          </w:tcPr>
          <w:p>
            <w:r>
              <w:t>0.0143</w:t>
            </w:r>
          </w:p>
        </w:tc>
        <w:tc>
          <w:tcPr>
            <w:tcW w:type="dxa" w:w="960"/>
          </w:tcPr>
          <w:p>
            <w:r>
              <w:t>0.9316</w:t>
            </w:r>
          </w:p>
        </w:tc>
        <w:tc>
          <w:tcPr>
            <w:tcW w:type="dxa" w:w="960"/>
          </w:tcPr>
          <w:p>
            <w:r>
              <w:t>0.0623</w:t>
            </w:r>
          </w:p>
        </w:tc>
        <w:tc>
          <w:tcPr>
            <w:tcW w:type="dxa" w:w="960"/>
          </w:tcPr>
          <w:p>
            <w:r>
              <w:t>8.0011</w:t>
            </w:r>
          </w:p>
        </w:tc>
      </w:tr>
      <w:tr>
        <w:tc>
          <w:tcPr>
            <w:tcW w:type="dxa" w:w="960"/>
          </w:tcPr>
          <w:p>
            <w:r>
              <w:t>USD</w:t>
            </w:r>
          </w:p>
        </w:tc>
        <w:tc>
          <w:tcPr>
            <w:tcW w:type="dxa" w:w="960"/>
          </w:tcPr>
          <w:p>
            <w:r>
              <w:t>-0.0140</w:t>
            </w:r>
          </w:p>
        </w:tc>
        <w:tc>
          <w:tcPr>
            <w:tcW w:type="dxa" w:w="960"/>
          </w:tcPr>
          <w:p>
            <w:r/>
          </w:p>
        </w:tc>
        <w:tc>
          <w:tcPr>
            <w:tcW w:type="dxa" w:w="960"/>
          </w:tcPr>
          <w:p>
            <w:r/>
          </w:p>
        </w:tc>
        <w:tc>
          <w:tcPr>
            <w:tcW w:type="dxa" w:w="960"/>
          </w:tcPr>
          <w:p>
            <w:r>
              <w:t>0.0042</w:t>
            </w:r>
          </w:p>
        </w:tc>
        <w:tc>
          <w:tcPr>
            <w:tcW w:type="dxa" w:w="960"/>
          </w:tcPr>
          <w:p>
            <w:r>
              <w:t>0.0013</w:t>
            </w:r>
          </w:p>
        </w:tc>
        <w:tc>
          <w:tcPr>
            <w:tcW w:type="dxa" w:w="960"/>
          </w:tcPr>
          <w:p>
            <w:r>
              <w:t>0.9607</w:t>
            </w:r>
          </w:p>
        </w:tc>
        <w:tc>
          <w:tcPr>
            <w:tcW w:type="dxa" w:w="960"/>
          </w:tcPr>
          <w:p>
            <w:r>
              <w:t>0.0519</w:t>
            </w:r>
          </w:p>
        </w:tc>
        <w:tc>
          <w:tcPr>
            <w:tcW w:type="dxa" w:w="960"/>
          </w:tcPr>
          <w:p>
            <w:r>
              <w:t>8.4778</w:t>
            </w:r>
          </w:p>
        </w:tc>
      </w:tr>
      <w:tr>
        <w:tc>
          <w:tcPr>
            <w:tcW w:type="dxa" w:w="960"/>
          </w:tcPr>
          <w:p>
            <w:r>
              <w:t>TWI</w:t>
            </w:r>
          </w:p>
        </w:tc>
        <w:tc>
          <w:tcPr>
            <w:tcW w:type="dxa" w:w="960"/>
          </w:tcPr>
          <w:p>
            <w:r>
              <w:t>-0.0068</w:t>
            </w:r>
          </w:p>
        </w:tc>
        <w:tc>
          <w:tcPr>
            <w:tcW w:type="dxa" w:w="960"/>
          </w:tcPr>
          <w:p>
            <w:r>
              <w:t>-0.0400</w:t>
            </w:r>
          </w:p>
        </w:tc>
        <w:tc>
          <w:tcPr>
            <w:tcW w:type="dxa" w:w="960"/>
          </w:tcPr>
          <w:p>
            <w:r/>
          </w:p>
        </w:tc>
        <w:tc>
          <w:tcPr>
            <w:tcW w:type="dxa" w:w="960"/>
          </w:tcPr>
          <w:p>
            <w:r>
              <w:t>0.0070</w:t>
            </w:r>
          </w:p>
        </w:tc>
        <w:tc>
          <w:tcPr>
            <w:tcW w:type="dxa" w:w="960"/>
          </w:tcPr>
          <w:p>
            <w:r>
              <w:t>0.0225</w:t>
            </w:r>
          </w:p>
        </w:tc>
        <w:tc>
          <w:tcPr>
            <w:tcW w:type="dxa" w:w="960"/>
          </w:tcPr>
          <w:p>
            <w:r>
              <w:t>0.9186</w:t>
            </w:r>
          </w:p>
        </w:tc>
        <w:tc>
          <w:tcPr>
            <w:tcW w:type="dxa" w:w="960"/>
          </w:tcPr>
          <w:p>
            <w:r>
              <w:t>0.0547</w:t>
            </w:r>
          </w:p>
        </w:tc>
        <w:tc>
          <w:tcPr>
            <w:tcW w:type="dxa" w:w="960"/>
          </w:tcPr>
          <w:p>
            <w:r>
              <w:t>8.0324</w:t>
            </w:r>
          </w:p>
        </w:tc>
      </w:tr>
      <w:tr>
        <w:tc>
          <w:tcPr>
            <w:tcW w:type="dxa" w:w="960"/>
          </w:tcPr>
          <w:p>
            <w:r>
              <w:t>SDR</w:t>
            </w:r>
          </w:p>
        </w:tc>
        <w:tc>
          <w:tcPr>
            <w:tcW w:type="dxa" w:w="960"/>
          </w:tcPr>
          <w:p>
            <w:r>
              <w:t>-0.0084</w:t>
            </w:r>
          </w:p>
        </w:tc>
        <w:tc>
          <w:tcPr>
            <w:tcW w:type="dxa" w:w="960"/>
          </w:tcPr>
          <w:p>
            <w:r/>
          </w:p>
        </w:tc>
        <w:tc>
          <w:tcPr>
            <w:tcW w:type="dxa" w:w="960"/>
          </w:tcPr>
          <w:p>
            <w:r>
              <w:t>-0.1812</w:t>
            </w:r>
          </w:p>
        </w:tc>
        <w:tc>
          <w:tcPr>
            <w:tcW w:type="dxa" w:w="960"/>
          </w:tcPr>
          <w:p>
            <w:r>
              <w:t>0.0055</w:t>
            </w:r>
          </w:p>
        </w:tc>
        <w:tc>
          <w:tcPr>
            <w:tcW w:type="dxa" w:w="960"/>
          </w:tcPr>
          <w:p>
            <w:r>
              <w:t>0.0182</w:t>
            </w:r>
          </w:p>
        </w:tc>
        <w:tc>
          <w:tcPr>
            <w:tcW w:type="dxa" w:w="960"/>
          </w:tcPr>
          <w:p>
            <w:r>
              <w:t>0.9486</w:t>
            </w:r>
          </w:p>
        </w:tc>
        <w:tc>
          <w:tcPr>
            <w:tcW w:type="dxa" w:w="960"/>
          </w:tcPr>
          <w:p>
            <w:r>
              <w:t>0.0359</w:t>
            </w:r>
          </w:p>
        </w:tc>
        <w:tc>
          <w:tcPr>
            <w:tcW w:type="dxa" w:w="960"/>
          </w:tcPr>
          <w:p>
            <w:r>
              <w:t>7.7614</w:t>
            </w:r>
          </w:p>
        </w:tc>
      </w:tr>
    </w:tbl>
    <w:p/>
    <w:p>
      <w:r>
        <w:t>The interpretation is standard and economically sensible. The beta1 estimates are close to one, so volatility is highly persistent. The positive gamma1 estimates imply asymmetry: bad news raises volatility more than good news of the same size. The Student-t shape parameters around 8 confirm heavier tails than a Normal model can capture.</w:t>
      </w:r>
    </w:p>
    <w:p>
      <w:pPr>
        <w:pStyle w:val="Heading3"/>
      </w:pPr>
      <w:r>
        <w:t>Diagnostics and Volatility Plots</w:t>
      </w:r>
    </w:p>
    <w:tbl>
      <w:tblPr>
        <w:tblStyle w:val="TableGrid"/>
        <w:tblW w:type="auto" w:w="0"/>
        <w:tblLook w:firstColumn="1" w:firstRow="1" w:lastColumn="0" w:lastRow="0" w:noHBand="0" w:noVBand="1" w:val="04A0"/>
      </w:tblPr>
      <w:tblGrid>
        <w:gridCol w:w="2880"/>
        <w:gridCol w:w="2880"/>
        <w:gridCol w:w="2880"/>
      </w:tblGrid>
      <w:tr>
        <w:tc>
          <w:tcPr>
            <w:tcW w:type="dxa" w:w="2880"/>
          </w:tcPr>
          <w:p>
            <w:r>
              <w:t>Currency</w:t>
            </w:r>
          </w:p>
        </w:tc>
        <w:tc>
          <w:tcPr>
            <w:tcW w:type="dxa" w:w="2880"/>
          </w:tcPr>
          <w:p>
            <w:r>
              <w:t>Ljung-Box on Standardized Residuals p-value</w:t>
            </w:r>
          </w:p>
        </w:tc>
        <w:tc>
          <w:tcPr>
            <w:tcW w:type="dxa" w:w="2880"/>
          </w:tcPr>
          <w:p>
            <w:r>
              <w:t>Ljung-Box on Squared Standardized Residuals p-value</w:t>
            </w:r>
          </w:p>
        </w:tc>
      </w:tr>
      <w:tr>
        <w:tc>
          <w:tcPr>
            <w:tcW w:type="dxa" w:w="2880"/>
          </w:tcPr>
          <w:p>
            <w:r>
              <w:t>CNY</w:t>
            </w:r>
          </w:p>
        </w:tc>
        <w:tc>
          <w:tcPr>
            <w:tcW w:type="dxa" w:w="2880"/>
          </w:tcPr>
          <w:p>
            <w:r>
              <w:t>0.4394</w:t>
            </w:r>
          </w:p>
        </w:tc>
        <w:tc>
          <w:tcPr>
            <w:tcW w:type="dxa" w:w="2880"/>
          </w:tcPr>
          <w:p>
            <w:r>
              <w:t>0.0000</w:t>
            </w:r>
          </w:p>
        </w:tc>
      </w:tr>
      <w:tr>
        <w:tc>
          <w:tcPr>
            <w:tcW w:type="dxa" w:w="2880"/>
          </w:tcPr>
          <w:p>
            <w:r>
              <w:t>USD</w:t>
            </w:r>
          </w:p>
        </w:tc>
        <w:tc>
          <w:tcPr>
            <w:tcW w:type="dxa" w:w="2880"/>
          </w:tcPr>
          <w:p>
            <w:r>
              <w:t>0.6937</w:t>
            </w:r>
          </w:p>
        </w:tc>
        <w:tc>
          <w:tcPr>
            <w:tcW w:type="dxa" w:w="2880"/>
          </w:tcPr>
          <w:p>
            <w:r>
              <w:t>0.0000</w:t>
            </w:r>
          </w:p>
        </w:tc>
      </w:tr>
      <w:tr>
        <w:tc>
          <w:tcPr>
            <w:tcW w:type="dxa" w:w="2880"/>
          </w:tcPr>
          <w:p>
            <w:r>
              <w:t>TWI</w:t>
            </w:r>
          </w:p>
        </w:tc>
        <w:tc>
          <w:tcPr>
            <w:tcW w:type="dxa" w:w="2880"/>
          </w:tcPr>
          <w:p>
            <w:r>
              <w:t>0.5976</w:t>
            </w:r>
          </w:p>
        </w:tc>
        <w:tc>
          <w:tcPr>
            <w:tcW w:type="dxa" w:w="2880"/>
          </w:tcPr>
          <w:p>
            <w:r>
              <w:t>0.0000</w:t>
            </w:r>
          </w:p>
        </w:tc>
      </w:tr>
      <w:tr>
        <w:tc>
          <w:tcPr>
            <w:tcW w:type="dxa" w:w="2880"/>
          </w:tcPr>
          <w:p>
            <w:r>
              <w:t>SDR</w:t>
            </w:r>
          </w:p>
        </w:tc>
        <w:tc>
          <w:tcPr>
            <w:tcW w:type="dxa" w:w="2880"/>
          </w:tcPr>
          <w:p>
            <w:r>
              <w:t>0.8967</w:t>
            </w:r>
          </w:p>
        </w:tc>
        <w:tc>
          <w:tcPr>
            <w:tcW w:type="dxa" w:w="2880"/>
          </w:tcPr>
          <w:p>
            <w:r>
              <w:t>0.0000</w:t>
            </w:r>
          </w:p>
        </w:tc>
      </w:tr>
    </w:tbl>
    <w:p/>
    <w:p>
      <w:r>
        <w:t>The mean equations are adequate because there is no important remaining autocorrelation in standardized residuals. The squared standardized residuals still reject at conventional levels, so the fitted GJR-GARCH models are not perfect. This should be stated openly. Even so, they are clearly better than constant-variance models and capture the main stylised facts that matter for this question: volatility clustering, persistence, asymmetry, and heavy tails.</w:t>
      </w:r>
    </w:p>
    <w:p>
      <w:pPr>
        <w:jc w:val="center"/>
      </w:pPr>
      <w:r>
        <w:drawing>
          <wp:inline xmlns:a="http://schemas.openxmlformats.org/drawingml/2006/main" xmlns:pic="http://schemas.openxmlformats.org/drawingml/2006/picture">
            <wp:extent cx="5852160" cy="1950720"/>
            <wp:docPr id="7" name="Picture 7"/>
            <wp:cNvGraphicFramePr>
              <a:graphicFrameLocks noChangeAspect="1"/>
            </wp:cNvGraphicFramePr>
            <a:graphic>
              <a:graphicData uri="http://schemas.openxmlformats.org/drawingml/2006/picture">
                <pic:pic>
                  <pic:nvPicPr>
                    <pic:cNvPr id="0" name="fig6_vol_CNY.png"/>
                    <pic:cNvPicPr/>
                  </pic:nvPicPr>
                  <pic:blipFill>
                    <a:blip r:embed="rId15"/>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8" name="Picture 8"/>
            <wp:cNvGraphicFramePr>
              <a:graphicFrameLocks noChangeAspect="1"/>
            </wp:cNvGraphicFramePr>
            <a:graphic>
              <a:graphicData uri="http://schemas.openxmlformats.org/drawingml/2006/picture">
                <pic:pic>
                  <pic:nvPicPr>
                    <pic:cNvPr id="0" name="fig6_vol_USD.png"/>
                    <pic:cNvPicPr/>
                  </pic:nvPicPr>
                  <pic:blipFill>
                    <a:blip r:embed="rId16"/>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9" name="Picture 9"/>
            <wp:cNvGraphicFramePr>
              <a:graphicFrameLocks noChangeAspect="1"/>
            </wp:cNvGraphicFramePr>
            <a:graphic>
              <a:graphicData uri="http://schemas.openxmlformats.org/drawingml/2006/picture">
                <pic:pic>
                  <pic:nvPicPr>
                    <pic:cNvPr id="0" name="fig6_vol_TWI.png"/>
                    <pic:cNvPicPr/>
                  </pic:nvPicPr>
                  <pic:blipFill>
                    <a:blip r:embed="rId17"/>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0" name="Picture 10"/>
            <wp:cNvGraphicFramePr>
              <a:graphicFrameLocks noChangeAspect="1"/>
            </wp:cNvGraphicFramePr>
            <a:graphic>
              <a:graphicData uri="http://schemas.openxmlformats.org/drawingml/2006/picture">
                <pic:pic>
                  <pic:nvPicPr>
                    <pic:cNvPr id="0" name="fig6_vol_SDR.png"/>
                    <pic:cNvPicPr/>
                  </pic:nvPicPr>
                  <pic:blipFill>
                    <a:blip r:embed="rId18"/>
                    <a:stretch>
                      <a:fillRect/>
                    </a:stretch>
                  </pic:blipFill>
                  <pic:spPr>
                    <a:xfrm>
                      <a:off x="0" y="0"/>
                      <a:ext cx="5852160" cy="1950720"/>
                    </a:xfrm>
                    <a:prstGeom prst="rect"/>
                  </pic:spPr>
                </pic:pic>
              </a:graphicData>
            </a:graphic>
          </wp:inline>
        </w:drawing>
      </w:r>
    </w:p>
    <w:p>
      <w:pPr>
        <w:jc w:val="center"/>
      </w:pPr>
      <w:r>
        <w:t>Figures 7-10: fig6_vol_CNY.png, fig6_vol_USD.png, fig6_vol_TWI.png, fig6_vol_SDR.png</w:t>
      </w:r>
    </w:p>
    <w:p>
      <w:r>
        <w:t>All four volatility series spike dramatically during the COVID-19 shock. TWI is visibly the most stable, which matches its lower unconditional variance.</w:t>
      </w:r>
    </w:p>
    <w:p>
      <w:r>
        <w:br w:type="page"/>
      </w:r>
    </w:p>
    <w:p>
      <w:pPr>
        <w:pStyle w:val="Heading2"/>
      </w:pPr>
      <w:r>
        <w:t>Question 7</w:t>
      </w:r>
    </w:p>
    <w:p>
      <w:r>
        <w:t>For a GJR-GARCH(1,1) model, the unconditional variance exists when:</w:t>
      </w:r>
    </w:p>
    <w:p>
      <w:r>
        <w:t>alpha1 + beta1 + gamma1 / 2 &lt; 1</w:t>
      </w:r>
    </w:p>
    <w:p>
      <w:r>
        <w:t>and is then given by:</w:t>
      </w:r>
    </w:p>
    <w:p>
      <w:r>
        <w:t>sigma_j^2 = omega / (1 - alpha1 - beta1 - gamma1 / 2)</w:t>
      </w:r>
    </w:p>
    <w:p>
      <w:r>
        <w:t>Applying this formula gives: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Currency</w:t>
            </w:r>
          </w:p>
        </w:tc>
        <w:tc>
          <w:tcPr>
            <w:tcW w:type="dxa" w:w="1728"/>
          </w:tcPr>
          <w:p>
            <w:r>
              <w:t>alpha + beta + gamma/2</w:t>
            </w:r>
          </w:p>
        </w:tc>
        <w:tc>
          <w:tcPr>
            <w:tcW w:type="dxa" w:w="1728"/>
          </w:tcPr>
          <w:p>
            <w:r>
              <w:t>Model Variance</w:t>
            </w:r>
          </w:p>
        </w:tc>
        <w:tc>
          <w:tcPr>
            <w:tcW w:type="dxa" w:w="1728"/>
          </w:tcPr>
          <w:p>
            <w:r>
              <w:t>Sample Variance</w:t>
            </w:r>
          </w:p>
        </w:tc>
        <w:tc>
          <w:tcPr>
            <w:tcW w:type="dxa" w:w="1728"/>
          </w:tcPr>
          <w:p>
            <w:r>
              <w:t>Ratio</w:t>
            </w:r>
          </w:p>
        </w:tc>
      </w:tr>
      <w:tr>
        <w:tc>
          <w:tcPr>
            <w:tcW w:type="dxa" w:w="1728"/>
          </w:tcPr>
          <w:p>
            <w:r>
              <w:t>CNY</w:t>
            </w:r>
          </w:p>
        </w:tc>
        <w:tc>
          <w:tcPr>
            <w:tcW w:type="dxa" w:w="1728"/>
          </w:tcPr>
          <w:p>
            <w:r>
              <w:t>0.9771</w:t>
            </w:r>
          </w:p>
        </w:tc>
        <w:tc>
          <w:tcPr>
            <w:tcW w:type="dxa" w:w="1728"/>
          </w:tcPr>
          <w:p>
            <w:r>
              <w:t>0.2925</w:t>
            </w:r>
          </w:p>
        </w:tc>
        <w:tc>
          <w:tcPr>
            <w:tcW w:type="dxa" w:w="1728"/>
          </w:tcPr>
          <w:p>
            <w:r>
              <w:t>0.3369</w:t>
            </w:r>
          </w:p>
        </w:tc>
        <w:tc>
          <w:tcPr>
            <w:tcW w:type="dxa" w:w="1728"/>
          </w:tcPr>
          <w:p>
            <w:r>
              <w:t>0.8682</w:t>
            </w:r>
          </w:p>
        </w:tc>
      </w:tr>
      <w:tr>
        <w:tc>
          <w:tcPr>
            <w:tcW w:type="dxa" w:w="1728"/>
          </w:tcPr>
          <w:p>
            <w:r>
              <w:t>USD</w:t>
            </w:r>
          </w:p>
        </w:tc>
        <w:tc>
          <w:tcPr>
            <w:tcW w:type="dxa" w:w="1728"/>
          </w:tcPr>
          <w:p>
            <w:r>
              <w:t>0.9879</w:t>
            </w:r>
          </w:p>
        </w:tc>
        <w:tc>
          <w:tcPr>
            <w:tcW w:type="dxa" w:w="1728"/>
          </w:tcPr>
          <w:p>
            <w:r>
              <w:t>0.3456</w:t>
            </w:r>
          </w:p>
        </w:tc>
        <w:tc>
          <w:tcPr>
            <w:tcW w:type="dxa" w:w="1728"/>
          </w:tcPr>
          <w:p>
            <w:r>
              <w:t>0.4381</w:t>
            </w:r>
          </w:p>
        </w:tc>
        <w:tc>
          <w:tcPr>
            <w:tcW w:type="dxa" w:w="1728"/>
          </w:tcPr>
          <w:p>
            <w:r>
              <w:t>0.7888</w:t>
            </w:r>
          </w:p>
        </w:tc>
      </w:tr>
      <w:tr>
        <w:tc>
          <w:tcPr>
            <w:tcW w:type="dxa" w:w="1728"/>
          </w:tcPr>
          <w:p>
            <w:r>
              <w:t>TWI</w:t>
            </w:r>
          </w:p>
        </w:tc>
        <w:tc>
          <w:tcPr>
            <w:tcW w:type="dxa" w:w="1728"/>
          </w:tcPr>
          <w:p>
            <w:r>
              <w:t>0.9685</w:t>
            </w:r>
          </w:p>
        </w:tc>
        <w:tc>
          <w:tcPr>
            <w:tcW w:type="dxa" w:w="1728"/>
          </w:tcPr>
          <w:p>
            <w:r>
              <w:t>0.2234</w:t>
            </w:r>
          </w:p>
        </w:tc>
        <w:tc>
          <w:tcPr>
            <w:tcW w:type="dxa" w:w="1728"/>
          </w:tcPr>
          <w:p>
            <w:r>
              <w:t>0.2675</w:t>
            </w:r>
          </w:p>
        </w:tc>
        <w:tc>
          <w:tcPr>
            <w:tcW w:type="dxa" w:w="1728"/>
          </w:tcPr>
          <w:p>
            <w:r>
              <w:t>0.8352</w:t>
            </w:r>
          </w:p>
        </w:tc>
      </w:tr>
      <w:tr>
        <w:tc>
          <w:tcPr>
            <w:tcW w:type="dxa" w:w="1728"/>
          </w:tcPr>
          <w:p>
            <w:r>
              <w:t>SDR</w:t>
            </w:r>
          </w:p>
        </w:tc>
        <w:tc>
          <w:tcPr>
            <w:tcW w:type="dxa" w:w="1728"/>
          </w:tcPr>
          <w:p>
            <w:r>
              <w:t>0.9848</w:t>
            </w:r>
          </w:p>
        </w:tc>
        <w:tc>
          <w:tcPr>
            <w:tcW w:type="dxa" w:w="1728"/>
          </w:tcPr>
          <w:p>
            <w:r>
              <w:t>0.3638</w:t>
            </w:r>
          </w:p>
        </w:tc>
        <w:tc>
          <w:tcPr>
            <w:tcW w:type="dxa" w:w="1728"/>
          </w:tcPr>
          <w:p>
            <w:r>
              <w:t>0.4492</w:t>
            </w:r>
          </w:p>
        </w:tc>
        <w:tc>
          <w:tcPr>
            <w:tcW w:type="dxa" w:w="1728"/>
          </w:tcPr>
          <w:p>
            <w:r>
              <w:t>0.8099</w:t>
            </w:r>
          </w:p>
        </w:tc>
      </w:tr>
    </w:tbl>
    <w:p/>
    <w:p>
      <w:r>
        <w:t>All four models imply finite unconditional variances because the persistence measure is below one in every case. The model-based variances are uniformly lower than the sample variances. That is exactly what we should expect when the sample contains a major transitory volatility episode such as COVID-19: the sample variance is inflated by that event, while the GARCH model tries to recover a long-run variance level after separating out temporary volatility bursts.</w:t>
      </w:r>
    </w:p>
    <w:p>
      <w:r>
        <w:br w:type="page"/>
      </w:r>
    </w:p>
    <w:p>
      <w:pPr>
        <w:pStyle w:val="Heading2"/>
      </w:pPr>
      <w:r>
        <w:t>Question 8</w:t>
      </w:r>
    </w:p>
    <w:p>
      <w:r>
        <w:t>The question asks for the probability that the daily return is less than 0.01% on 13/01/2026 and 14/01/2026. Because the final models use the standardized Student-t distribution from rugarch, these probabilities were computed using the model-implied Student-t CDF directly rather than a plain textbook t distribution formula.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Currency</w:t>
            </w:r>
          </w:p>
        </w:tc>
        <w:tc>
          <w:tcPr>
            <w:tcW w:type="dxa" w:w="1234"/>
          </w:tcPr>
          <w:p>
            <w:r>
              <w:t>mu_{T+1}</w:t>
            </w:r>
          </w:p>
        </w:tc>
        <w:tc>
          <w:tcPr>
            <w:tcW w:type="dxa" w:w="1234"/>
          </w:tcPr>
          <w:p>
            <w:r>
              <w:t>sigma_{T+1}</w:t>
            </w:r>
          </w:p>
        </w:tc>
        <w:tc>
          <w:tcPr>
            <w:tcW w:type="dxa" w:w="1234"/>
          </w:tcPr>
          <w:p>
            <w:r>
              <w:t>P(13/01/2026)</w:t>
            </w:r>
          </w:p>
        </w:tc>
        <w:tc>
          <w:tcPr>
            <w:tcW w:type="dxa" w:w="1234"/>
          </w:tcPr>
          <w:p>
            <w:r>
              <w:t>mu_{T+2}</w:t>
            </w:r>
          </w:p>
        </w:tc>
        <w:tc>
          <w:tcPr>
            <w:tcW w:type="dxa" w:w="1234"/>
          </w:tcPr>
          <w:p>
            <w:r>
              <w:t>sigma_{T+2}</w:t>
            </w:r>
          </w:p>
        </w:tc>
        <w:tc>
          <w:tcPr>
            <w:tcW w:type="dxa" w:w="1234"/>
          </w:tcPr>
          <w:p>
            <w:r>
              <w:t>P(14/01/2026)</w:t>
            </w:r>
          </w:p>
        </w:tc>
      </w:tr>
      <w:tr>
        <w:tc>
          <w:tcPr>
            <w:tcW w:type="dxa" w:w="1234"/>
          </w:tcPr>
          <w:p>
            <w:r>
              <w:t>CNY</w:t>
            </w:r>
          </w:p>
        </w:tc>
        <w:tc>
          <w:tcPr>
            <w:tcW w:type="dxa" w:w="1234"/>
          </w:tcPr>
          <w:p>
            <w:r>
              <w:t>-0.0143</w:t>
            </w:r>
          </w:p>
        </w:tc>
        <w:tc>
          <w:tcPr>
            <w:tcW w:type="dxa" w:w="1234"/>
          </w:tcPr>
          <w:p>
            <w:r>
              <w:t>0.4524</w:t>
            </w:r>
          </w:p>
        </w:tc>
        <w:tc>
          <w:tcPr>
            <w:tcW w:type="dxa" w:w="1234"/>
          </w:tcPr>
          <w:p>
            <w:r>
              <w:t>0.5239</w:t>
            </w:r>
          </w:p>
        </w:tc>
        <w:tc>
          <w:tcPr>
            <w:tcW w:type="dxa" w:w="1234"/>
          </w:tcPr>
          <w:p>
            <w:r>
              <w:t>-0.0143</w:t>
            </w:r>
          </w:p>
        </w:tc>
        <w:tc>
          <w:tcPr>
            <w:tcW w:type="dxa" w:w="1234"/>
          </w:tcPr>
          <w:p>
            <w:r>
              <w:t>0.4547</w:t>
            </w:r>
          </w:p>
        </w:tc>
        <w:tc>
          <w:tcPr>
            <w:tcW w:type="dxa" w:w="1234"/>
          </w:tcPr>
          <w:p>
            <w:r>
              <w:t>0.5238</w:t>
            </w:r>
          </w:p>
        </w:tc>
      </w:tr>
      <w:tr>
        <w:tc>
          <w:tcPr>
            <w:tcW w:type="dxa" w:w="1234"/>
          </w:tcPr>
          <w:p>
            <w:r>
              <w:t>USD</w:t>
            </w:r>
          </w:p>
        </w:tc>
        <w:tc>
          <w:tcPr>
            <w:tcW w:type="dxa" w:w="1234"/>
          </w:tcPr>
          <w:p>
            <w:r>
              <w:t>-0.0140</w:t>
            </w:r>
          </w:p>
        </w:tc>
        <w:tc>
          <w:tcPr>
            <w:tcW w:type="dxa" w:w="1234"/>
          </w:tcPr>
          <w:p>
            <w:r>
              <w:t>0.4432</w:t>
            </w:r>
          </w:p>
        </w:tc>
        <w:tc>
          <w:tcPr>
            <w:tcW w:type="dxa" w:w="1234"/>
          </w:tcPr>
          <w:p>
            <w:r>
              <w:t>0.5240</w:t>
            </w:r>
          </w:p>
        </w:tc>
        <w:tc>
          <w:tcPr>
            <w:tcW w:type="dxa" w:w="1234"/>
          </w:tcPr>
          <w:p>
            <w:r>
              <w:t>-0.0140</w:t>
            </w:r>
          </w:p>
        </w:tc>
        <w:tc>
          <w:tcPr>
            <w:tcW w:type="dxa" w:w="1234"/>
          </w:tcPr>
          <w:p>
            <w:r>
              <w:t>0.4453</w:t>
            </w:r>
          </w:p>
        </w:tc>
        <w:tc>
          <w:tcPr>
            <w:tcW w:type="dxa" w:w="1234"/>
          </w:tcPr>
          <w:p>
            <w:r>
              <w:t>0.5239</w:t>
            </w:r>
          </w:p>
        </w:tc>
      </w:tr>
      <w:tr>
        <w:tc>
          <w:tcPr>
            <w:tcW w:type="dxa" w:w="1234"/>
          </w:tcPr>
          <w:p>
            <w:r>
              <w:t>TWI</w:t>
            </w:r>
          </w:p>
        </w:tc>
        <w:tc>
          <w:tcPr>
            <w:tcW w:type="dxa" w:w="1234"/>
          </w:tcPr>
          <w:p>
            <w:r>
              <w:t>-0.0070</w:t>
            </w:r>
          </w:p>
        </w:tc>
        <w:tc>
          <w:tcPr>
            <w:tcW w:type="dxa" w:w="1234"/>
          </w:tcPr>
          <w:p>
            <w:r>
              <w:t>0.3775</w:t>
            </w:r>
          </w:p>
        </w:tc>
        <w:tc>
          <w:tcPr>
            <w:tcW w:type="dxa" w:w="1234"/>
          </w:tcPr>
          <w:p>
            <w:r>
              <w:t>0.5201</w:t>
            </w:r>
          </w:p>
        </w:tc>
        <w:tc>
          <w:tcPr>
            <w:tcW w:type="dxa" w:w="1234"/>
          </w:tcPr>
          <w:p>
            <w:r>
              <w:t>-0.0067</w:t>
            </w:r>
          </w:p>
        </w:tc>
        <w:tc>
          <w:tcPr>
            <w:tcW w:type="dxa" w:w="1234"/>
          </w:tcPr>
          <w:p>
            <w:r>
              <w:t>0.3809</w:t>
            </w:r>
          </w:p>
        </w:tc>
        <w:tc>
          <w:tcPr>
            <w:tcW w:type="dxa" w:w="1234"/>
          </w:tcPr>
          <w:p>
            <w:r>
              <w:t>0.5196</w:t>
            </w:r>
          </w:p>
        </w:tc>
      </w:tr>
      <w:tr>
        <w:tc>
          <w:tcPr>
            <w:tcW w:type="dxa" w:w="1234"/>
          </w:tcPr>
          <w:p>
            <w:r>
              <w:t>SDR</w:t>
            </w:r>
          </w:p>
        </w:tc>
        <w:tc>
          <w:tcPr>
            <w:tcW w:type="dxa" w:w="1234"/>
          </w:tcPr>
          <w:p>
            <w:r>
              <w:t>-0.0230</w:t>
            </w:r>
          </w:p>
        </w:tc>
        <w:tc>
          <w:tcPr>
            <w:tcW w:type="dxa" w:w="1234"/>
          </w:tcPr>
          <w:p>
            <w:r>
              <w:t>0.4449</w:t>
            </w:r>
          </w:p>
        </w:tc>
        <w:tc>
          <w:tcPr>
            <w:tcW w:type="dxa" w:w="1234"/>
          </w:tcPr>
          <w:p>
            <w:r>
              <w:t>0.5332</w:t>
            </w:r>
          </w:p>
        </w:tc>
        <w:tc>
          <w:tcPr>
            <w:tcW w:type="dxa" w:w="1234"/>
          </w:tcPr>
          <w:p>
            <w:r>
              <w:t>-0.0084</w:t>
            </w:r>
          </w:p>
        </w:tc>
        <w:tc>
          <w:tcPr>
            <w:tcW w:type="dxa" w:w="1234"/>
          </w:tcPr>
          <w:p>
            <w:r>
              <w:t>0.4477</w:t>
            </w:r>
          </w:p>
        </w:tc>
        <w:tc>
          <w:tcPr>
            <w:tcW w:type="dxa" w:w="1234"/>
          </w:tcPr>
          <w:p>
            <w:r>
              <w:t>0.5184</w:t>
            </w:r>
          </w:p>
        </w:tc>
      </w:tr>
    </w:tbl>
    <w:p/>
    <w:p>
      <w:r>
        <w:t>A lower probability is better for a downside-risk-averse foreign-currency investor, because it means a smaller chance of earning less than the threshold return.</w:t>
      </w:r>
    </w:p>
    <w:p>
      <w:r>
        <w:t>On 13 January 2026, the ranking is:</w:t>
      </w:r>
    </w:p>
    <w:p>
      <w:r>
        <w:t>1. TWI (0.5201)</w:t>
      </w:r>
    </w:p>
    <w:p>
      <w:r>
        <w:t>2. CNY (0.5239)</w:t>
      </w:r>
    </w:p>
    <w:p>
      <w:r>
        <w:t>3. USD (0.5240)</w:t>
      </w:r>
    </w:p>
    <w:p>
      <w:r>
        <w:t>4. SDR (0.5332)</w:t>
      </w:r>
    </w:p>
    <w:p>
      <w:r>
        <w:t>On 14 January 2026, the ranking is:</w:t>
      </w:r>
    </w:p>
    <w:p>
      <w:r>
        <w:t>1. SDR (0.5184)</w:t>
      </w:r>
    </w:p>
    <w:p>
      <w:r>
        <w:t>2. TWI (0.5196)</w:t>
      </w:r>
    </w:p>
    <w:p>
      <w:r>
        <w:t>3. CNY (0.5238)</w:t>
      </w:r>
    </w:p>
    <w:p>
      <w:r>
        <w:t>4. USD (0.5239)</w:t>
      </w:r>
    </w:p>
    <w:p>
      <w:r>
        <w:t>If the decision is based on both days together, TWI is the most attractive choice because it is consistently near the bottom of the risk ranking and never performs badly. In risk-management terms, this is why conditional-variance models are useful: they provide a forward-looking probability measure based on the current volatility state, not just on long-run averages.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