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t>Figure 1: fig1_log_levels.png</w:t>
      </w:r>
    </w:p>
    <w:p>
      <w:pPr>
        <w:jc w:val="center"/>
      </w:pPr>
      <w:r>
        <w:t>Figure 2: fig2_log_diffs.png</w:t>
      </w:r>
    </w:p>
    <w:p>
      <w:r>
        <w:t>The quarterly data cover macroeconomic indicators for the USA over 1959Q1–2023Q4 (260 observations), comprising the log price level p_t, log real GDP per capita y_t, log real consumption c_t, and the nominal 3-month T-bill rate r_t.</w:t>
      </w:r>
    </w:p>
    <w:p>
      <w:r>
        <w:t>The log-level plots of p_t, y_t, and c_t all show persistent upward movement over the sample. The processes generating these series have a trend in their mean and so are not covariance stationary in levels. y_t and c_t move closely together throughout, while p_t rises more steeply, particularly through the 1970s and early 1980s. In the language of the course, these plots are consistent with trending macroeconomic processes.</w:t>
      </w:r>
    </w:p>
    <w:p>
      <w:r>
        <w:t>The log-difference plots of Δp_t, Δy_t, and Δc_t look much more stable than the level series. All three fluctuate around fairly constant averages and do not show the same persistent upward movement, suggesting that differencing removes most of the trend. There are still periods of larger variation — Δy_t and Δc_t show sharp drops around the 2008 Global Financial Crisis and again in 2020 — but the series do not drift. This is consistent with the idea that the level processes may be difference stationary, so that their first differences are much more stable than the levels.</w:t>
      </w:r>
    </w:p>
    <w:p>
      <w:r>
        <w:t>The nominal interest rate r_t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r_t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0.270678</w:t>
            </w:r>
          </w:p>
        </w:tc>
        <w:tc>
          <w:tcPr>
            <w:tcW w:type="dxa" w:w="1728"/>
          </w:tcPr>
          <w:p>
            <w:r>
              <w:t>0.010125</w:t>
            </w:r>
          </w:p>
        </w:tc>
        <w:tc>
          <w:tcPr>
            <w:tcW w:type="dxa" w:w="1728"/>
          </w:tcPr>
          <w:p>
            <w:r>
              <w:t>0.000147</w:t>
            </w:r>
          </w:p>
        </w:tc>
        <w:tc>
          <w:tcPr>
            <w:tcW w:type="dxa" w:w="1728"/>
          </w:tcPr>
          <w:p>
            <w:r>
              <w:t>0.9487</w:t>
            </w:r>
          </w:p>
        </w:tc>
      </w:tr>
      <w:tr>
        <w:tc>
          <w:tcPr>
            <w:tcW w:type="dxa" w:w="1728"/>
          </w:tcPr>
          <w:p>
            <w:r>
              <w:t>y_t</w:t>
            </w:r>
          </w:p>
        </w:tc>
        <w:tc>
          <w:tcPr>
            <w:tcW w:type="dxa" w:w="1728"/>
          </w:tcPr>
          <w:p>
            <w:r>
              <w:t>9.945124</w:t>
            </w:r>
          </w:p>
        </w:tc>
        <w:tc>
          <w:tcPr>
            <w:tcW w:type="dxa" w:w="1728"/>
          </w:tcPr>
          <w:p>
            <w:r>
              <w:t>0.004757</w:t>
            </w:r>
          </w:p>
        </w:tc>
        <w:tc>
          <w:tcPr>
            <w:tcW w:type="dxa" w:w="1728"/>
          </w:tcPr>
          <w:p>
            <w:r>
              <w:t>0.000042</w:t>
            </w:r>
          </w:p>
        </w:tc>
        <w:tc>
          <w:tcPr>
            <w:tcW w:type="dxa" w:w="1728"/>
          </w:tcPr>
          <w:p>
            <w:r>
              <w:t>0.9799</w:t>
            </w:r>
          </w:p>
        </w:tc>
      </w:tr>
      <w:tr>
        <w:tc>
          <w:tcPr>
            <w:tcW w:type="dxa" w:w="1728"/>
          </w:tcPr>
          <w:p>
            <w:r>
              <w:t>c_t</w:t>
            </w:r>
          </w:p>
        </w:tc>
        <w:tc>
          <w:tcPr>
            <w:tcW w:type="dxa" w:w="1728"/>
          </w:tcPr>
          <w:p>
            <w:r>
              <w:t>9.428678</w:t>
            </w:r>
          </w:p>
        </w:tc>
        <w:tc>
          <w:tcPr>
            <w:tcW w:type="dxa" w:w="1728"/>
          </w:tcPr>
          <w:p>
            <w:r>
              <w:t>0.005305</w:t>
            </w:r>
          </w:p>
        </w:tc>
        <w:tc>
          <w:tcPr>
            <w:tcW w:type="dxa" w:w="1728"/>
          </w:tcPr>
          <w:p>
            <w:r>
              <w:t>0.000043</w:t>
            </w:r>
          </w:p>
        </w:tc>
        <w:tc>
          <w:tcPr>
            <w:tcW w:type="dxa" w:w="1728"/>
          </w:tcPr>
          <w:p>
            <w:r>
              <w:t>0.9834</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0.009310</w:t>
            </w:r>
          </w:p>
        </w:tc>
      </w:tr>
      <w:tr>
        <w:tc>
          <w:tcPr>
            <w:tcW w:type="dxa" w:w="4320"/>
          </w:tcPr>
          <w:p>
            <w:r>
              <w:t>Δy_t</w:t>
            </w:r>
          </w:p>
        </w:tc>
        <w:tc>
          <w:tcPr>
            <w:tcW w:type="dxa" w:w="4320"/>
          </w:tcPr>
          <w:p>
            <w:r>
              <w:t>0.004919</w:t>
            </w:r>
          </w:p>
        </w:tc>
      </w:tr>
      <w:tr>
        <w:tc>
          <w:tcPr>
            <w:tcW w:type="dxa" w:w="4320"/>
          </w:tcPr>
          <w:p>
            <w:r>
              <w:t>Δc_t</w:t>
            </w:r>
          </w:p>
        </w:tc>
        <w:tc>
          <w:tcPr>
            <w:tcW w:type="dxa" w:w="4320"/>
          </w:tcPr>
          <w:p>
            <w:r>
              <w:t>0.005379</w:t>
            </w:r>
          </w:p>
        </w:tc>
      </w:tr>
    </w:tbl>
    <w:p/>
    <w:p>
      <w:pPr>
        <w:pStyle w:val="Heading3"/>
      </w:pPr>
      <w:r>
        <w:t>1(b)(iii) Rationale and Comparison</w:t>
      </w:r>
    </w:p>
    <w:p>
      <w:r>
        <w:t>A rationale for these estimations is that they help characterise the trend behaviour of the processes. A persistent increase in the data suggests a trend in the underlying stochastic process, and modelling this in practice involves including time t as a regressor. Regressing p_t, y_t, and c_t on an intercept and time trend provides an estimate of the linear trend in the process mean, captured by δ̂. By contrast, estimating the mean of Δp_t, Δy_t, and Δc_t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In this sample the estimates are quite close. For y_t, the estimated trend is 0.004757 while the mean of Δy_t is 0.004919; for c_t, 0.005305 versus 0.005379. The gap is slightly larger for p_t (0.010125 versus 0.009310), which is consistent with the plot showing somewhat less smooth trend behaviour — the high-inflation 1970s and subsequent disinflation distort a single linear trend more than they distort the average of quarterly changes.</w:t>
      </w:r>
    </w:p>
    <w:p>
      <w:r>
        <w:t>This comparison alone does not establish whether the processes contain unit roots; that requires formal unit root testing.</w:t>
      </w:r>
    </w:p>
    <w:p>
      <w:r>
        <w:br w:type="page"/>
      </w:r>
    </w:p>
    <w:p>
      <w:pPr>
        <w:pStyle w:val="Heading2"/>
      </w:pPr>
      <w:r>
        <w:t>Question 2</w:t>
      </w:r>
    </w:p>
    <w:p>
      <w:pPr>
        <w:pStyle w:val="Heading3"/>
      </w:pPr>
      <w:r>
        <w:t>2(a) Model Selection</w:t>
      </w:r>
    </w:p>
    <w:p>
      <w:r>
        <w:t>A broad set of ARIMA(p,d,q) models was estimated for Δp_t and r_t over the estimation sample 1959Q1–2023Q4, with p, q ranging from 0 to 10 and d ∈ {0,1}. Models were ranked by AIC and BIC, then screened for adequacy using the Ljung-Box test on residuals at 12 lags.</w:t>
      </w:r>
    </w:p>
    <w:p>
      <w:r>
        <w:t>Inflation (Δp_t): Unit root testing supports treating Δp_t as stationary (d = 0). The three best adequate models — ranked highly on both AIC and BIC while passing the Ljung-Box screen at 12 lags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ARIMA(2,0,10)</w:t>
            </w:r>
          </w:p>
        </w:tc>
        <w:tc>
          <w:tcPr>
            <w:tcW w:type="dxa" w:w="2160"/>
          </w:tcPr>
          <w:p>
            <w:r>
              <w:t>−2692.14</w:t>
            </w:r>
          </w:p>
        </w:tc>
        <w:tc>
          <w:tcPr>
            <w:tcW w:type="dxa" w:w="2160"/>
          </w:tcPr>
          <w:p>
            <w:r>
              <w:t>−2644.38</w:t>
            </w:r>
          </w:p>
        </w:tc>
        <w:tc>
          <w:tcPr>
            <w:tcW w:type="dxa" w:w="2160"/>
          </w:tcPr>
          <w:p>
            <w:r>
              <w:t>0.1243</w:t>
            </w:r>
          </w:p>
        </w:tc>
      </w:tr>
      <w:tr>
        <w:tc>
          <w:tcPr>
            <w:tcW w:type="dxa" w:w="2160"/>
          </w:tcPr>
          <w:p>
            <w:r>
              <w:t>ARIMA(4,0,9)</w:t>
            </w:r>
          </w:p>
        </w:tc>
        <w:tc>
          <w:tcPr>
            <w:tcW w:type="dxa" w:w="2160"/>
          </w:tcPr>
          <w:p>
            <w:r>
              <w:t>−2690.87</w:t>
            </w:r>
          </w:p>
        </w:tc>
        <w:tc>
          <w:tcPr>
            <w:tcW w:type="dxa" w:w="2160"/>
          </w:tcPr>
          <w:p>
            <w:r>
              <w:t>−2643.11</w:t>
            </w:r>
          </w:p>
        </w:tc>
        <w:tc>
          <w:tcPr>
            <w:tcW w:type="dxa" w:w="2160"/>
          </w:tcPr>
          <w:p>
            <w:r>
              <w:t>0.1087</w:t>
            </w:r>
          </w:p>
        </w:tc>
      </w:tr>
      <w:tr>
        <w:tc>
          <w:tcPr>
            <w:tcW w:type="dxa" w:w="2160"/>
          </w:tcPr>
          <w:p>
            <w:r>
              <w:t>ARIMA(2,0,9)</w:t>
            </w:r>
          </w:p>
        </w:tc>
        <w:tc>
          <w:tcPr>
            <w:tcW w:type="dxa" w:w="2160"/>
          </w:tcPr>
          <w:p>
            <w:r>
              <w:t>−2689.53</w:t>
            </w:r>
          </w:p>
        </w:tc>
        <w:tc>
          <w:tcPr>
            <w:tcW w:type="dxa" w:w="2160"/>
          </w:tcPr>
          <w:p>
            <w:r>
              <w:t>−2645.32</w:t>
            </w:r>
          </w:p>
        </w:tc>
        <w:tc>
          <w:tcPr>
            <w:tcW w:type="dxa" w:w="2160"/>
          </w:tcPr>
          <w:p>
            <w:r>
              <w:t>0.0981</w:t>
            </w:r>
          </w:p>
        </w:tc>
      </w:tr>
    </w:tbl>
    <w:p/>
    <w:p>
      <w:r>
        <w:t>All three require higher-order MA components, consistent with inflation exhibiting richer short-run autocorrelation structure than low-order specifications can capture.</w:t>
      </w:r>
    </w:p>
    <w:p>
      <w:r>
        <w:t>Interest rates (r_t): The top AIC candidates all involve first differencing (d = 1) combined with high-order AR components, consistent with the visual evidence of prolonged level shifts and very slow mean-reversion in once-differenced rates. The leading adequate models — ARIMA(8,1,2), ARIMA(7,1,2), and ARIMA(8,1,1) — all pass the Ljung-Box adequacy test at 12 lags, with p-values between 0.14 and 0.19. The high AR order is required to capture the substantial autocorrelation remaining in Δr_t.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Interest rate model</w:t>
            </w:r>
          </w:p>
        </w:tc>
        <w:tc>
          <w:tcPr>
            <w:tcW w:type="dxa" w:w="1728"/>
          </w:tcPr>
          <w:p>
            <w:r>
              <w:t>AIC</w:t>
            </w:r>
          </w:p>
        </w:tc>
        <w:tc>
          <w:tcPr>
            <w:tcW w:type="dxa" w:w="1728"/>
          </w:tcPr>
          <w:p>
            <w:r>
              <w:t>BIC</w:t>
            </w:r>
          </w:p>
        </w:tc>
        <w:tc>
          <w:tcPr>
            <w:tcW w:type="dxa" w:w="1728"/>
          </w:tcPr>
          <w:p>
            <w:r>
              <w:t>Ljung-Box p-value</w:t>
            </w:r>
          </w:p>
        </w:tc>
        <w:tc>
          <w:tcPr>
            <w:tcW w:type="dxa" w:w="1728"/>
          </w:tcPr>
          <w:p>
            <w:r>
              <w:t>Selected</w:t>
            </w:r>
          </w:p>
        </w:tc>
      </w:tr>
      <w:tr>
        <w:tc>
          <w:tcPr>
            <w:tcW w:type="dxa" w:w="1728"/>
          </w:tcPr>
          <w:p>
            <w:r>
              <w:t>ARIMA(8,1,2)</w:t>
            </w:r>
          </w:p>
        </w:tc>
        <w:tc>
          <w:tcPr>
            <w:tcW w:type="dxa" w:w="1728"/>
          </w:tcPr>
          <w:p>
            <w:r>
              <w:t>475.76</w:t>
            </w:r>
          </w:p>
        </w:tc>
        <w:tc>
          <w:tcPr>
            <w:tcW w:type="dxa" w:w="1728"/>
          </w:tcPr>
          <w:p>
            <w:r>
              <w:t>518.44</w:t>
            </w:r>
          </w:p>
        </w:tc>
        <w:tc>
          <w:tcPr>
            <w:tcW w:type="dxa" w:w="1728"/>
          </w:tcPr>
          <w:p>
            <w:r>
              <w:t>0.145</w:t>
            </w:r>
          </w:p>
        </w:tc>
        <w:tc>
          <w:tcPr>
            <w:tcW w:type="dxa" w:w="1728"/>
          </w:tcPr>
          <w:p>
            <w:r>
              <w:t>Best adequate</w:t>
            </w:r>
          </w:p>
        </w:tc>
      </w:tr>
      <w:tr>
        <w:tc>
          <w:tcPr>
            <w:tcW w:type="dxa" w:w="1728"/>
          </w:tcPr>
          <w:p>
            <w:r>
              <w:t>ARIMA(7,1,2)</w:t>
            </w:r>
          </w:p>
        </w:tc>
        <w:tc>
          <w:tcPr>
            <w:tcW w:type="dxa" w:w="1728"/>
          </w:tcPr>
          <w:p>
            <w:r>
              <w:t>476.69</w:t>
            </w:r>
          </w:p>
        </w:tc>
        <w:tc>
          <w:tcPr>
            <w:tcW w:type="dxa" w:w="1728"/>
          </w:tcPr>
          <w:p>
            <w:r>
              <w:t>515.81</w:t>
            </w:r>
          </w:p>
        </w:tc>
        <w:tc>
          <w:tcPr>
            <w:tcW w:type="dxa" w:w="1728"/>
          </w:tcPr>
          <w:p>
            <w:r>
              <w:t>0.189</w:t>
            </w:r>
          </w:p>
        </w:tc>
        <w:tc>
          <w:tcPr>
            <w:tcW w:type="dxa" w:w="1728"/>
          </w:tcPr>
          <w:p>
            <w:r>
              <w:t>Adequate</w:t>
            </w:r>
          </w:p>
        </w:tc>
      </w:tr>
      <w:tr>
        <w:tc>
          <w:tcPr>
            <w:tcW w:type="dxa" w:w="1728"/>
          </w:tcPr>
          <w:p>
            <w:r>
              <w:t>ARIMA(8,1,1)</w:t>
            </w:r>
          </w:p>
        </w:tc>
        <w:tc>
          <w:tcPr>
            <w:tcW w:type="dxa" w:w="1728"/>
          </w:tcPr>
          <w:p>
            <w:r>
              <w:t>476.92</w:t>
            </w:r>
          </w:p>
        </w:tc>
        <w:tc>
          <w:tcPr>
            <w:tcW w:type="dxa" w:w="1728"/>
          </w:tcPr>
          <w:p>
            <w:r>
              <w:t>516.04</w:t>
            </w:r>
          </w:p>
        </w:tc>
        <w:tc>
          <w:tcPr>
            <w:tcW w:type="dxa" w:w="1728"/>
          </w:tcPr>
          <w:p>
            <w:r>
              <w:t>0.164</w:t>
            </w:r>
          </w:p>
        </w:tc>
        <w:tc>
          <w:tcPr>
            <w:tcW w:type="dxa" w:w="1728"/>
          </w:tcPr>
          <w:p>
            <w:r>
              <w:t>Adequate</w:t>
            </w:r>
          </w:p>
        </w:tc>
      </w:tr>
    </w:tbl>
    <w:p/>
    <w:p>
      <w:r>
        <w:t>Since the question asks for adequate inflation models to be used for forecasting, the three inflation specifications above are used in Questions 2(b) and 3. The interest rate models confirm that r_t is I(1), with its slow mean-reversion captured by a high AR order in the differenced specification; these models are not used for out-of-sample forecasting here.</w:t>
      </w:r>
    </w:p>
    <w:p>
      <w:pPr>
        <w:pStyle w:val="Heading3"/>
      </w:pPr>
      <w:r>
        <w:t>2(b) Inflation Forecasts for 2024–2025</w:t>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ARIMA(2,0,10)</w:t>
            </w:r>
          </w:p>
        </w:tc>
        <w:tc>
          <w:tcPr>
            <w:tcW w:type="dxa" w:w="1080"/>
          </w:tcPr>
          <w:p>
            <w:r>
              <w:t>ARIMA(4,0,9)</w:t>
            </w:r>
          </w:p>
        </w:tc>
        <w:tc>
          <w:tcPr>
            <w:tcW w:type="dxa" w:w="1080"/>
          </w:tcPr>
          <w:p>
            <w:r>
              <w:t>ARIMA(2,0,9)</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0.008712</w:t>
            </w:r>
          </w:p>
        </w:tc>
        <w:tc>
          <w:tcPr>
            <w:tcW w:type="dxa" w:w="1080"/>
          </w:tcPr>
          <w:p>
            <w:r>
              <w:t>0.008681</w:t>
            </w:r>
          </w:p>
        </w:tc>
        <w:tc>
          <w:tcPr>
            <w:tcW w:type="dxa" w:w="1080"/>
          </w:tcPr>
          <w:p>
            <w:r>
              <w:t>0.008697</w:t>
            </w:r>
          </w:p>
        </w:tc>
        <w:tc>
          <w:tcPr>
            <w:tcW w:type="dxa" w:w="1080"/>
          </w:tcPr>
          <w:p>
            <w:r>
              <w:t>0.007427</w:t>
            </w:r>
          </w:p>
        </w:tc>
        <w:tc>
          <w:tcPr>
            <w:tcW w:type="dxa" w:w="1080"/>
          </w:tcPr>
          <w:p>
            <w:r>
              <w:t>0.009997</w:t>
            </w:r>
          </w:p>
        </w:tc>
        <w:tc>
          <w:tcPr>
            <w:tcW w:type="dxa" w:w="1080"/>
          </w:tcPr>
          <w:p>
            <w:r>
              <w:t>0.006194</w:t>
            </w:r>
          </w:p>
        </w:tc>
        <w:tc>
          <w:tcPr>
            <w:tcW w:type="dxa" w:w="1080"/>
          </w:tcPr>
          <w:p>
            <w:r>
              <w:t>0.011230</w:t>
            </w:r>
          </w:p>
        </w:tc>
      </w:tr>
      <w:tr>
        <w:tc>
          <w:tcPr>
            <w:tcW w:type="dxa" w:w="1080"/>
          </w:tcPr>
          <w:p>
            <w:r>
              <w:t>2024Q2</w:t>
            </w:r>
          </w:p>
        </w:tc>
        <w:tc>
          <w:tcPr>
            <w:tcW w:type="dxa" w:w="1080"/>
          </w:tcPr>
          <w:p>
            <w:r>
              <w:t>0.008543</w:t>
            </w:r>
          </w:p>
        </w:tc>
        <w:tc>
          <w:tcPr>
            <w:tcW w:type="dxa" w:w="1080"/>
          </w:tcPr>
          <w:p>
            <w:r>
              <w:t>0.008498</w:t>
            </w:r>
          </w:p>
        </w:tc>
        <w:tc>
          <w:tcPr>
            <w:tcW w:type="dxa" w:w="1080"/>
          </w:tcPr>
          <w:p>
            <w:r>
              <w:t>0.008521</w:t>
            </w:r>
          </w:p>
        </w:tc>
        <w:tc>
          <w:tcPr>
            <w:tcW w:type="dxa" w:w="1080"/>
          </w:tcPr>
          <w:p>
            <w:r>
              <w:t>0.006178</w:t>
            </w:r>
          </w:p>
        </w:tc>
        <w:tc>
          <w:tcPr>
            <w:tcW w:type="dxa" w:w="1080"/>
          </w:tcPr>
          <w:p>
            <w:r>
              <w:t>0.010908</w:t>
            </w:r>
          </w:p>
        </w:tc>
        <w:tc>
          <w:tcPr>
            <w:tcW w:type="dxa" w:w="1080"/>
          </w:tcPr>
          <w:p>
            <w:r>
              <w:t>0.003908</w:t>
            </w:r>
          </w:p>
        </w:tc>
        <w:tc>
          <w:tcPr>
            <w:tcW w:type="dxa" w:w="1080"/>
          </w:tcPr>
          <w:p>
            <w:r>
              <w:t>0.013178</w:t>
            </w:r>
          </w:p>
        </w:tc>
      </w:tr>
      <w:tr>
        <w:tc>
          <w:tcPr>
            <w:tcW w:type="dxa" w:w="1080"/>
          </w:tcPr>
          <w:p>
            <w:r>
              <w:t>2024Q3</w:t>
            </w:r>
          </w:p>
        </w:tc>
        <w:tc>
          <w:tcPr>
            <w:tcW w:type="dxa" w:w="1080"/>
          </w:tcPr>
          <w:p>
            <w:r>
              <w:t>0.008948</w:t>
            </w:r>
          </w:p>
        </w:tc>
        <w:tc>
          <w:tcPr>
            <w:tcW w:type="dxa" w:w="1080"/>
          </w:tcPr>
          <w:p>
            <w:r>
              <w:t>0.008906</w:t>
            </w:r>
          </w:p>
        </w:tc>
        <w:tc>
          <w:tcPr>
            <w:tcW w:type="dxa" w:w="1080"/>
          </w:tcPr>
          <w:p>
            <w:r>
              <w:t>0.008934</w:t>
            </w:r>
          </w:p>
        </w:tc>
        <w:tc>
          <w:tcPr>
            <w:tcW w:type="dxa" w:w="1080"/>
          </w:tcPr>
          <w:p>
            <w:r>
              <w:t>0.005602</w:t>
            </w:r>
          </w:p>
        </w:tc>
        <w:tc>
          <w:tcPr>
            <w:tcW w:type="dxa" w:w="1080"/>
          </w:tcPr>
          <w:p>
            <w:r>
              <w:t>0.012294</w:t>
            </w:r>
          </w:p>
        </w:tc>
        <w:tc>
          <w:tcPr>
            <w:tcW w:type="dxa" w:w="1080"/>
          </w:tcPr>
          <w:p>
            <w:r>
              <w:t>0.002389</w:t>
            </w:r>
          </w:p>
        </w:tc>
        <w:tc>
          <w:tcPr>
            <w:tcW w:type="dxa" w:w="1080"/>
          </w:tcPr>
          <w:p>
            <w:r>
              <w:t>0.015507</w:t>
            </w:r>
          </w:p>
        </w:tc>
      </w:tr>
      <w:tr>
        <w:tc>
          <w:tcPr>
            <w:tcW w:type="dxa" w:w="1080"/>
          </w:tcPr>
          <w:p>
            <w:r>
              <w:t>2024Q4</w:t>
            </w:r>
          </w:p>
        </w:tc>
        <w:tc>
          <w:tcPr>
            <w:tcW w:type="dxa" w:w="1080"/>
          </w:tcPr>
          <w:p>
            <w:r>
              <w:t>0.008871</w:t>
            </w:r>
          </w:p>
        </w:tc>
        <w:tc>
          <w:tcPr>
            <w:tcW w:type="dxa" w:w="1080"/>
          </w:tcPr>
          <w:p>
            <w:r>
              <w:t>0.008835</w:t>
            </w:r>
          </w:p>
        </w:tc>
        <w:tc>
          <w:tcPr>
            <w:tcW w:type="dxa" w:w="1080"/>
          </w:tcPr>
          <w:p>
            <w:r>
              <w:t>0.008862</w:t>
            </w:r>
          </w:p>
        </w:tc>
        <w:tc>
          <w:tcPr>
            <w:tcW w:type="dxa" w:w="1080"/>
          </w:tcPr>
          <w:p>
            <w:r>
              <w:t>0.004356</w:t>
            </w:r>
          </w:p>
        </w:tc>
        <w:tc>
          <w:tcPr>
            <w:tcW w:type="dxa" w:w="1080"/>
          </w:tcPr>
          <w:p>
            <w:r>
              <w:t>0.013386</w:t>
            </w:r>
          </w:p>
        </w:tc>
        <w:tc>
          <w:tcPr>
            <w:tcW w:type="dxa" w:w="1080"/>
          </w:tcPr>
          <w:p>
            <w:r>
              <w:t>0.000021</w:t>
            </w:r>
          </w:p>
        </w:tc>
        <w:tc>
          <w:tcPr>
            <w:tcW w:type="dxa" w:w="1080"/>
          </w:tcPr>
          <w:p>
            <w:r>
              <w:t>0.017721</w:t>
            </w:r>
          </w:p>
        </w:tc>
      </w:tr>
      <w:tr>
        <w:tc>
          <w:tcPr>
            <w:tcW w:type="dxa" w:w="1080"/>
          </w:tcPr>
          <w:p>
            <w:r>
              <w:t>2025Q1</w:t>
            </w:r>
          </w:p>
        </w:tc>
        <w:tc>
          <w:tcPr>
            <w:tcW w:type="dxa" w:w="1080"/>
          </w:tcPr>
          <w:p>
            <w:r>
              <w:t>0.008816</w:t>
            </w:r>
          </w:p>
        </w:tc>
        <w:tc>
          <w:tcPr>
            <w:tcW w:type="dxa" w:w="1080"/>
          </w:tcPr>
          <w:p>
            <w:r>
              <w:t>0.008791</w:t>
            </w:r>
          </w:p>
        </w:tc>
        <w:tc>
          <w:tcPr>
            <w:tcW w:type="dxa" w:w="1080"/>
          </w:tcPr>
          <w:p>
            <w:r>
              <w:t>0.008807</w:t>
            </w:r>
          </w:p>
        </w:tc>
        <w:tc>
          <w:tcPr>
            <w:tcW w:type="dxa" w:w="1080"/>
          </w:tcPr>
          <w:p>
            <w:r>
              <w:t>0.003798</w:t>
            </w:r>
          </w:p>
        </w:tc>
        <w:tc>
          <w:tcPr>
            <w:tcW w:type="dxa" w:w="1080"/>
          </w:tcPr>
          <w:p>
            <w:r>
              <w:t>0.013834</w:t>
            </w:r>
          </w:p>
        </w:tc>
        <w:tc>
          <w:tcPr>
            <w:tcW w:type="dxa" w:w="1080"/>
          </w:tcPr>
          <w:p>
            <w:r>
              <w:t>−0.001019</w:t>
            </w:r>
          </w:p>
        </w:tc>
        <w:tc>
          <w:tcPr>
            <w:tcW w:type="dxa" w:w="1080"/>
          </w:tcPr>
          <w:p>
            <w:r>
              <w:t>0.018651</w:t>
            </w:r>
          </w:p>
        </w:tc>
      </w:tr>
      <w:tr>
        <w:tc>
          <w:tcPr>
            <w:tcW w:type="dxa" w:w="1080"/>
          </w:tcPr>
          <w:p>
            <w:r>
              <w:t>2025Q2</w:t>
            </w:r>
          </w:p>
        </w:tc>
        <w:tc>
          <w:tcPr>
            <w:tcW w:type="dxa" w:w="1080"/>
          </w:tcPr>
          <w:p>
            <w:r>
              <w:t>0.008883</w:t>
            </w:r>
          </w:p>
        </w:tc>
        <w:tc>
          <w:tcPr>
            <w:tcW w:type="dxa" w:w="1080"/>
          </w:tcPr>
          <w:p>
            <w:r>
              <w:t>0.008861</w:t>
            </w:r>
          </w:p>
        </w:tc>
        <w:tc>
          <w:tcPr>
            <w:tcW w:type="dxa" w:w="1080"/>
          </w:tcPr>
          <w:p>
            <w:r>
              <w:t>0.008876</w:t>
            </w:r>
          </w:p>
        </w:tc>
        <w:tc>
          <w:tcPr>
            <w:tcW w:type="dxa" w:w="1080"/>
          </w:tcPr>
          <w:p>
            <w:r>
              <w:t>0.003490</w:t>
            </w:r>
          </w:p>
        </w:tc>
        <w:tc>
          <w:tcPr>
            <w:tcW w:type="dxa" w:w="1080"/>
          </w:tcPr>
          <w:p>
            <w:r>
              <w:t>0.014276</w:t>
            </w:r>
          </w:p>
        </w:tc>
        <w:tc>
          <w:tcPr>
            <w:tcW w:type="dxa" w:w="1080"/>
          </w:tcPr>
          <w:p>
            <w:r>
              <w:t>−0.001688</w:t>
            </w:r>
          </w:p>
        </w:tc>
        <w:tc>
          <w:tcPr>
            <w:tcW w:type="dxa" w:w="1080"/>
          </w:tcPr>
          <w:p>
            <w:r>
              <w:t>0.019454</w:t>
            </w:r>
          </w:p>
        </w:tc>
      </w:tr>
      <w:tr>
        <w:tc>
          <w:tcPr>
            <w:tcW w:type="dxa" w:w="1080"/>
          </w:tcPr>
          <w:p>
            <w:r>
              <w:t>2025Q3</w:t>
            </w:r>
          </w:p>
        </w:tc>
        <w:tc>
          <w:tcPr>
            <w:tcW w:type="dxa" w:w="1080"/>
          </w:tcPr>
          <w:p>
            <w:r>
              <w:t>0.008892</w:t>
            </w:r>
          </w:p>
        </w:tc>
        <w:tc>
          <w:tcPr>
            <w:tcW w:type="dxa" w:w="1080"/>
          </w:tcPr>
          <w:p>
            <w:r>
              <w:t>0.008873</w:t>
            </w:r>
          </w:p>
        </w:tc>
        <w:tc>
          <w:tcPr>
            <w:tcW w:type="dxa" w:w="1080"/>
          </w:tcPr>
          <w:p>
            <w:r>
              <w:t>0.008888</w:t>
            </w:r>
          </w:p>
        </w:tc>
        <w:tc>
          <w:tcPr>
            <w:tcW w:type="dxa" w:w="1080"/>
          </w:tcPr>
          <w:p>
            <w:r>
              <w:t>0.003158</w:t>
            </w:r>
          </w:p>
        </w:tc>
        <w:tc>
          <w:tcPr>
            <w:tcW w:type="dxa" w:w="1080"/>
          </w:tcPr>
          <w:p>
            <w:r>
              <w:t>0.014626</w:t>
            </w:r>
          </w:p>
        </w:tc>
        <w:tc>
          <w:tcPr>
            <w:tcW w:type="dxa" w:w="1080"/>
          </w:tcPr>
          <w:p>
            <w:r>
              <w:t>−0.002347</w:t>
            </w:r>
          </w:p>
        </w:tc>
        <w:tc>
          <w:tcPr>
            <w:tcW w:type="dxa" w:w="1080"/>
          </w:tcPr>
          <w:p>
            <w:r>
              <w:t>0.020131</w:t>
            </w:r>
          </w:p>
        </w:tc>
      </w:tr>
      <w:tr>
        <w:tc>
          <w:tcPr>
            <w:tcW w:type="dxa" w:w="1080"/>
          </w:tcPr>
          <w:p>
            <w:r>
              <w:t>2025Q4</w:t>
            </w:r>
          </w:p>
        </w:tc>
        <w:tc>
          <w:tcPr>
            <w:tcW w:type="dxa" w:w="1080"/>
          </w:tcPr>
          <w:p>
            <w:r>
              <w:t>0.008889</w:t>
            </w:r>
          </w:p>
        </w:tc>
        <w:tc>
          <w:tcPr>
            <w:tcW w:type="dxa" w:w="1080"/>
          </w:tcPr>
          <w:p>
            <w:r>
              <w:t>0.008874</w:t>
            </w:r>
          </w:p>
        </w:tc>
        <w:tc>
          <w:tcPr>
            <w:tcW w:type="dxa" w:w="1080"/>
          </w:tcPr>
          <w:p>
            <w:r>
              <w:t>0.008884</w:t>
            </w:r>
          </w:p>
        </w:tc>
        <w:tc>
          <w:tcPr>
            <w:tcW w:type="dxa" w:w="1080"/>
          </w:tcPr>
          <w:p>
            <w:r>
              <w:t>0.002904</w:t>
            </w:r>
          </w:p>
        </w:tc>
        <w:tc>
          <w:tcPr>
            <w:tcW w:type="dxa" w:w="1080"/>
          </w:tcPr>
          <w:p>
            <w:r>
              <w:t>0.014874</w:t>
            </w:r>
          </w:p>
        </w:tc>
        <w:tc>
          <w:tcPr>
            <w:tcW w:type="dxa" w:w="1080"/>
          </w:tcPr>
          <w:p>
            <w:r>
              <w:t>−0.002841</w:t>
            </w:r>
          </w:p>
        </w:tc>
        <w:tc>
          <w:tcPr>
            <w:tcW w:type="dxa" w:w="1080"/>
          </w:tcPr>
          <w:p>
            <w:r>
              <w:t>0.020619</w:t>
            </w:r>
          </w:p>
        </w:tc>
      </w:tr>
    </w:tbl>
    <w:p/>
    <w:p>
      <w:r>
        <w:t>All three models forecast quarterly inflation converging toward a long-run mean just under 0.009 — exactly the behaviour a stationary ARMA model produces, as the forecast reverts to the unconditional mean once the effect of initial conditions fades. The three models agree very closely in the near term, with minor divergence at longer horizons reflecting their different MA lag structures.</w:t>
      </w:r>
    </w:p>
    <w:p>
      <w:pPr>
        <w:pStyle w:val="Heading3"/>
      </w:pPr>
      <w:r>
        <w:t>2(c) Policy Use and Forecast Uncertainty</w:t>
      </w:r>
    </w:p>
    <w:p>
      <w:r>
        <w:t>Forecasts of Δp_t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ARIMA(2,0,10),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t>Figure 4: fig3_actual_vs_forecast.png</w:t>
      </w:r>
    </w:p>
    <w:p>
      <w:r>
        <w:t>The actual quarterly inflation rates for 2024Q1–2025Q3 are computed from the provided price-level data as Δp_t = log(P_t) − log(P_{t−1}), with P_{2023Q4}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ARIMA(2,0,10)</w:t>
            </w:r>
          </w:p>
        </w:tc>
        <w:tc>
          <w:tcPr>
            <w:tcW w:type="dxa" w:w="1728"/>
          </w:tcPr>
          <w:p>
            <w:r>
              <w:t>ARIMA(4,0,9)</w:t>
            </w:r>
          </w:p>
        </w:tc>
        <w:tc>
          <w:tcPr>
            <w:tcW w:type="dxa" w:w="1728"/>
          </w:tcPr>
          <w:p>
            <w:r>
              <w:t>ARIMA(2,0,9)</w:t>
            </w:r>
          </w:p>
        </w:tc>
      </w:tr>
      <w:tr>
        <w:tc>
          <w:tcPr>
            <w:tcW w:type="dxa" w:w="1728"/>
          </w:tcPr>
          <w:p>
            <w:r>
              <w:t>2024Q1</w:t>
            </w:r>
          </w:p>
        </w:tc>
        <w:tc>
          <w:tcPr>
            <w:tcW w:type="dxa" w:w="1728"/>
          </w:tcPr>
          <w:p>
            <w:r>
              <w:t>0.007977</w:t>
            </w:r>
          </w:p>
        </w:tc>
        <w:tc>
          <w:tcPr>
            <w:tcW w:type="dxa" w:w="1728"/>
          </w:tcPr>
          <w:p>
            <w:r>
              <w:t>0.008712</w:t>
            </w:r>
          </w:p>
        </w:tc>
        <w:tc>
          <w:tcPr>
            <w:tcW w:type="dxa" w:w="1728"/>
          </w:tcPr>
          <w:p>
            <w:r>
              <w:t>0.008681</w:t>
            </w:r>
          </w:p>
        </w:tc>
        <w:tc>
          <w:tcPr>
            <w:tcW w:type="dxa" w:w="1728"/>
          </w:tcPr>
          <w:p>
            <w:r>
              <w:t>0.008697</w:t>
            </w:r>
          </w:p>
        </w:tc>
      </w:tr>
      <w:tr>
        <w:tc>
          <w:tcPr>
            <w:tcW w:type="dxa" w:w="1728"/>
          </w:tcPr>
          <w:p>
            <w:r>
              <w:t>2024Q2</w:t>
            </w:r>
          </w:p>
        </w:tc>
        <w:tc>
          <w:tcPr>
            <w:tcW w:type="dxa" w:w="1728"/>
          </w:tcPr>
          <w:p>
            <w:r>
              <w:t>0.008286</w:t>
            </w:r>
          </w:p>
        </w:tc>
        <w:tc>
          <w:tcPr>
            <w:tcW w:type="dxa" w:w="1728"/>
          </w:tcPr>
          <w:p>
            <w:r>
              <w:t>0.008543</w:t>
            </w:r>
          </w:p>
        </w:tc>
        <w:tc>
          <w:tcPr>
            <w:tcW w:type="dxa" w:w="1728"/>
          </w:tcPr>
          <w:p>
            <w:r>
              <w:t>0.008498</w:t>
            </w:r>
          </w:p>
        </w:tc>
        <w:tc>
          <w:tcPr>
            <w:tcW w:type="dxa" w:w="1728"/>
          </w:tcPr>
          <w:p>
            <w:r>
              <w:t>0.008521</w:t>
            </w:r>
          </w:p>
        </w:tc>
      </w:tr>
      <w:tr>
        <w:tc>
          <w:tcPr>
            <w:tcW w:type="dxa" w:w="1728"/>
          </w:tcPr>
          <w:p>
            <w:r>
              <w:t>2024Q3</w:t>
            </w:r>
          </w:p>
        </w:tc>
        <w:tc>
          <w:tcPr>
            <w:tcW w:type="dxa" w:w="1728"/>
          </w:tcPr>
          <w:p>
            <w:r>
              <w:t>0.007614</w:t>
            </w:r>
          </w:p>
        </w:tc>
        <w:tc>
          <w:tcPr>
            <w:tcW w:type="dxa" w:w="1728"/>
          </w:tcPr>
          <w:p>
            <w:r>
              <w:t>0.008948</w:t>
            </w:r>
          </w:p>
        </w:tc>
        <w:tc>
          <w:tcPr>
            <w:tcW w:type="dxa" w:w="1728"/>
          </w:tcPr>
          <w:p>
            <w:r>
              <w:t>0.008906</w:t>
            </w:r>
          </w:p>
        </w:tc>
        <w:tc>
          <w:tcPr>
            <w:tcW w:type="dxa" w:w="1728"/>
          </w:tcPr>
          <w:p>
            <w:r>
              <w:t>0.008934</w:t>
            </w:r>
          </w:p>
        </w:tc>
      </w:tr>
      <w:tr>
        <w:tc>
          <w:tcPr>
            <w:tcW w:type="dxa" w:w="1728"/>
          </w:tcPr>
          <w:p>
            <w:r>
              <w:t>2024Q4</w:t>
            </w:r>
          </w:p>
        </w:tc>
        <w:tc>
          <w:tcPr>
            <w:tcW w:type="dxa" w:w="1728"/>
          </w:tcPr>
          <w:p>
            <w:r>
              <w:t>0.006356</w:t>
            </w:r>
          </w:p>
        </w:tc>
        <w:tc>
          <w:tcPr>
            <w:tcW w:type="dxa" w:w="1728"/>
          </w:tcPr>
          <w:p>
            <w:r>
              <w:t>0.008871</w:t>
            </w:r>
          </w:p>
        </w:tc>
        <w:tc>
          <w:tcPr>
            <w:tcW w:type="dxa" w:w="1728"/>
          </w:tcPr>
          <w:p>
            <w:r>
              <w:t>0.008835</w:t>
            </w:r>
          </w:p>
        </w:tc>
        <w:tc>
          <w:tcPr>
            <w:tcW w:type="dxa" w:w="1728"/>
          </w:tcPr>
          <w:p>
            <w:r>
              <w:t>0.008862</w:t>
            </w:r>
          </w:p>
        </w:tc>
      </w:tr>
      <w:tr>
        <w:tc>
          <w:tcPr>
            <w:tcW w:type="dxa" w:w="1728"/>
          </w:tcPr>
          <w:p>
            <w:r>
              <w:t>2025Q1</w:t>
            </w:r>
          </w:p>
        </w:tc>
        <w:tc>
          <w:tcPr>
            <w:tcW w:type="dxa" w:w="1728"/>
          </w:tcPr>
          <w:p>
            <w:r>
              <w:t>0.007111</w:t>
            </w:r>
          </w:p>
        </w:tc>
        <w:tc>
          <w:tcPr>
            <w:tcW w:type="dxa" w:w="1728"/>
          </w:tcPr>
          <w:p>
            <w:r>
              <w:t>0.008816</w:t>
            </w:r>
          </w:p>
        </w:tc>
        <w:tc>
          <w:tcPr>
            <w:tcW w:type="dxa" w:w="1728"/>
          </w:tcPr>
          <w:p>
            <w:r>
              <w:t>0.008791</w:t>
            </w:r>
          </w:p>
        </w:tc>
        <w:tc>
          <w:tcPr>
            <w:tcW w:type="dxa" w:w="1728"/>
          </w:tcPr>
          <w:p>
            <w:r>
              <w:t>0.008807</w:t>
            </w:r>
          </w:p>
        </w:tc>
      </w:tr>
      <w:tr>
        <w:tc>
          <w:tcPr>
            <w:tcW w:type="dxa" w:w="1728"/>
          </w:tcPr>
          <w:p>
            <w:r>
              <w:t>2025Q2</w:t>
            </w:r>
          </w:p>
        </w:tc>
        <w:tc>
          <w:tcPr>
            <w:tcW w:type="dxa" w:w="1728"/>
          </w:tcPr>
          <w:p>
            <w:r>
              <w:t>0.006337</w:t>
            </w:r>
          </w:p>
        </w:tc>
        <w:tc>
          <w:tcPr>
            <w:tcW w:type="dxa" w:w="1728"/>
          </w:tcPr>
          <w:p>
            <w:r>
              <w:t>0.008883</w:t>
            </w:r>
          </w:p>
        </w:tc>
        <w:tc>
          <w:tcPr>
            <w:tcW w:type="dxa" w:w="1728"/>
          </w:tcPr>
          <w:p>
            <w:r>
              <w:t>0.008861</w:t>
            </w:r>
          </w:p>
        </w:tc>
        <w:tc>
          <w:tcPr>
            <w:tcW w:type="dxa" w:w="1728"/>
          </w:tcPr>
          <w:p>
            <w:r>
              <w:t>0.008876</w:t>
            </w:r>
          </w:p>
        </w:tc>
      </w:tr>
      <w:tr>
        <w:tc>
          <w:tcPr>
            <w:tcW w:type="dxa" w:w="1728"/>
          </w:tcPr>
          <w:p>
            <w:r>
              <w:t>2025Q3</w:t>
            </w:r>
          </w:p>
        </w:tc>
        <w:tc>
          <w:tcPr>
            <w:tcW w:type="dxa" w:w="1728"/>
          </w:tcPr>
          <w:p>
            <w:r>
              <w:t>0.006428</w:t>
            </w:r>
          </w:p>
        </w:tc>
        <w:tc>
          <w:tcPr>
            <w:tcW w:type="dxa" w:w="1728"/>
          </w:tcPr>
          <w:p>
            <w:r>
              <w:t>0.008892</w:t>
            </w:r>
          </w:p>
        </w:tc>
        <w:tc>
          <w:tcPr>
            <w:tcW w:type="dxa" w:w="1728"/>
          </w:tcPr>
          <w:p>
            <w:r>
              <w:t>0.008873</w:t>
            </w:r>
          </w:p>
        </w:tc>
        <w:tc>
          <w:tcPr>
            <w:tcW w:type="dxa" w:w="1728"/>
          </w:tcPr>
          <w:p>
            <w:r>
              <w:t>0.008888</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ARIMA(2,0,10)</w:t>
            </w:r>
          </w:p>
        </w:tc>
        <w:tc>
          <w:tcPr>
            <w:tcW w:type="dxa" w:w="2160"/>
          </w:tcPr>
          <w:p>
            <w:r>
              <w:t>3.3712e−06</w:t>
            </w:r>
          </w:p>
        </w:tc>
        <w:tc>
          <w:tcPr>
            <w:tcW w:type="dxa" w:w="2160"/>
          </w:tcPr>
          <w:p>
            <w:r>
              <w:t>0.001836</w:t>
            </w:r>
          </w:p>
        </w:tc>
        <w:tc>
          <w:tcPr>
            <w:tcW w:type="dxa" w:w="2160"/>
          </w:tcPr>
          <w:p>
            <w:r>
              <w:t>0.001624</w:t>
            </w:r>
          </w:p>
        </w:tc>
      </w:tr>
      <w:tr>
        <w:tc>
          <w:tcPr>
            <w:tcW w:type="dxa" w:w="2160"/>
          </w:tcPr>
          <w:p>
            <w:r>
              <w:t>ARIMA(4,0,9)</w:t>
            </w:r>
          </w:p>
        </w:tc>
        <w:tc>
          <w:tcPr>
            <w:tcW w:type="dxa" w:w="2160"/>
          </w:tcPr>
          <w:p>
            <w:r>
              <w:t>3.1084e−06</w:t>
            </w:r>
          </w:p>
        </w:tc>
        <w:tc>
          <w:tcPr>
            <w:tcW w:type="dxa" w:w="2160"/>
          </w:tcPr>
          <w:p>
            <w:r>
              <w:t>0.001763</w:t>
            </w:r>
          </w:p>
        </w:tc>
        <w:tc>
          <w:tcPr>
            <w:tcW w:type="dxa" w:w="2160"/>
          </w:tcPr>
          <w:p>
            <w:r>
              <w:t>0.001538</w:t>
            </w:r>
          </w:p>
        </w:tc>
      </w:tr>
      <w:tr>
        <w:tc>
          <w:tcPr>
            <w:tcW w:type="dxa" w:w="2160"/>
          </w:tcPr>
          <w:p>
            <w:r>
              <w:t>ARIMA(2,0,9)</w:t>
            </w:r>
          </w:p>
        </w:tc>
        <w:tc>
          <w:tcPr>
            <w:tcW w:type="dxa" w:w="2160"/>
          </w:tcPr>
          <w:p>
            <w:r>
              <w:t>3.2418e−06</w:t>
            </w:r>
          </w:p>
        </w:tc>
        <w:tc>
          <w:tcPr>
            <w:tcW w:type="dxa" w:w="2160"/>
          </w:tcPr>
          <w:p>
            <w:r>
              <w:t>0.001800</w:t>
            </w:r>
          </w:p>
        </w:tc>
        <w:tc>
          <w:tcPr>
            <w:tcW w:type="dxa" w:w="2160"/>
          </w:tcPr>
          <w:p>
            <w:r>
              <w:t>0.001582</w:t>
            </w:r>
          </w:p>
        </w:tc>
      </w:tr>
    </w:tbl>
    <w:p/>
    <w:p>
      <w:r>
        <w:t>ARIMA(4,0,9) ranks first on all three measures, though the differences across models are small. The more important observation is that all three models produce the same directional failure: every model over-predicts inflation throughout the hold-out window. All three anchored their forecasts near the in-sample unconditional mean of approximately 0.0089,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t>Figure 5: fig4a_real_rate.png</w:t>
      </w:r>
    </w:p>
    <w:p>
      <w:r>
        <w:t>The real-rate proxy is constructed as rr_t = r_t − 100·Δp_t, converting the log-difference Δp_t to percentage points to match the scale of r_t. Its sample mean is approximately 3.6%, with a minimum of −3.8% and a maximum of around 15.0%.</w:t>
      </w:r>
    </w:p>
    <w:p>
      <w:r>
        <w:t>The plot suggests that rr_t is somewhat more stable than the nominal interest rate r_t, but less stable than inflation Δp_t. The nominal rate shows the largest long swings, particularly in the late 1970s and early 1980s, while rr_t is less extreme because inflation is partially offsetting the nominal movements. However, rr_t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rr_t is less volatile than r_t, but not clearly more stable than Δp_t.</w:t>
      </w:r>
    </w:p>
    <w:p>
      <w:pPr>
        <w:pStyle w:val="Heading3"/>
      </w:pPr>
      <w:r>
        <w:t>4(b) Consumption Ratio</w:t>
      </w:r>
    </w:p>
    <w:p>
      <w:pPr>
        <w:jc w:val="center"/>
      </w:pPr>
      <w:r>
        <w:t>Figure 6: fig4b_consumption_ratio.png</w:t>
      </w:r>
    </w:p>
    <w:p>
      <w:r>
        <w:t>The dominant feature of cy_t = C_t/Y_t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From an economic perspective, a rising cy_t means consumption has grown faster than output, so a larger share of GDP is allocated to household spending. Since cy_t = C_t/Y_t, a rise in the ratio means C_t is increasing relative to Y_t. From the national accounts identity Y = C + I + G + (X − M),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Formally, if r_t is I(1) and 100·Δp_t is I(0), their difference rr_t should also be I(1). However, the Fisher hypothesis provides a resolution: if the nominal interest rate and expected inflation share a common stochastic trend — that is, if r_t ≈ α + E_t[Δp_{t+1}] holds in the long run — then rr_t is the cointegrating residual between them and is I(0) despite its components being individually I(1). This motivates including d = 0 models in the search alongside d = 1 alternatives. A search over d ∈ {0,1} and p, q = 0,...,10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1284.73</w:t>
            </w:r>
          </w:p>
        </w:tc>
        <w:tc>
          <w:tcPr>
            <w:tcW w:type="dxa" w:w="2160"/>
          </w:tcPr>
          <w:p>
            <w:r>
              <w:t>1336.49</w:t>
            </w:r>
          </w:p>
        </w:tc>
        <w:tc>
          <w:tcPr>
            <w:tcW w:type="dxa" w:w="2160"/>
          </w:tcPr>
          <w:p>
            <w:r>
              <w:t>0.3102</w:t>
            </w:r>
          </w:p>
        </w:tc>
      </w:tr>
    </w:tbl>
    <w:p/>
    <w:p>
      <w:r>
        <w:t>Key estimated coefficients: ar1 = 1.1823, ar2 = −0.2814, ar3 = −0.0492, ar4 = −0.0331, ar5 = 0.0214, ar6 = −0.0108, ar7 = −0.0673, ar8 = −0.1193, ma1 = −0.8462, intercept = 3.614.</w:t>
      </w:r>
    </w:p>
    <w:p>
      <w:r>
        <w:t>The choice of d = 0 reflects the Fisher hypothesis: the real rate is treated as a stationary, mean-reverting series around a long-run average of approximately 3.6%, even though its cycle is very slow. The estimated AR(1) coefficient of 1.18, balanced out by the subsequent AR terms, is the model's way of capturing the multi-year swings visible in the Q4(a) plot — quasi-permanent deviations that eventually reverse — without requiring a unit root. Lower-order specifications left systematic patterns in the residuals; AR(8) is needed because each lag contributes incrementally to explaining the very gradual return to mean after a shock. The MA(1) term at −0.85 provides additional short-run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pPr>
        <w:pStyle w:val="Heading3"/>
      </w:pPr>
      <w:r>
        <w:t>4(d) Best Adequate ARIMA Model for cy_t</w:t>
      </w:r>
    </w:p>
    <w:p>
      <w:r>
        <w:t>A search over d ∈ {0,1} and p, q = 0,...,4 was carried out using AIC and BIC ranking with Ljung-Box adequacy checking at 20 lags. The persistent upward movement in cy_t is consistent with a unit root, and the best adequate model requires first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 ar1 = 0.6092, ar2 = −0.5732, ar3 = 0.7553, ma1 = −0.8316, ma2 = 0.6862, ma3 = −0.8547, drift = 0.0003.</w:t>
      </w:r>
    </w:p>
    <w:p>
      <w:r>
        <w:t>First differencing is the appropriate treatment for cy_t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cy_t) and its short-run dynamics (autocorrelated quarterly fluctuations around that trend).</w:t>
      </w:r>
    </w:p>
    <w:p>
      <w:pPr>
        <w:pStyle w:val="Heading3"/>
      </w:pPr>
      <w:r>
        <w:t>4(e) Policy Use</w:t>
      </w:r>
    </w:p>
    <w:p>
      <w:r>
        <w:t>A forecasting model for rr_t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rr_t, is useful for summarising how real financing conditions evolve over time rather than treating each quarterly movement as independent.</w:t>
      </w:r>
    </w:p>
    <w:p>
      <w:r>
        <w:t>The cy_t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t>Currency</w:t>
            </w:r>
          </w:p>
        </w:tc>
        <w:tc>
          <w:tcPr>
            <w:tcW w:type="dxa" w:w="4320"/>
          </w:tcPr>
          <w:p>
            <w: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t>Figure 7: fig5b_abs_returns.png</w:t>
      </w:r>
    </w:p>
    <w:p>
      <w:r>
        <w:t>The plots of |e_{j,t}|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e_{j,t}.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A comparison of ARMA(p,q) models with p, q ∈ {0,...,3}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r>
        <w:t>- CNY: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r>
        <w:t>- USD: ARMA(0,0) — similar reasoning; the marginal AIC improvement from adding AR or MA terms is small, and the GARCH variance model is sufficient to account for the autocorrelation structure.</w:t>
      </w:r>
    </w:p>
    <w:p>
      <w:r>
        <w:t>- TWI: ARMA(1,0) — AIC and BIC indicate a mild but persistent AR(1) component in TWI returns; this is the simplest adequate mean specification.</w:t>
      </w:r>
    </w:p>
    <w:p>
      <w:r>
        <w:t>- SDR: ARMA(0,1) — BIC favours the MA(1) mean equation, which achieves adequate Ljung-Box p-values on raw returns.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GJR-GARCH(1,2)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GJR-GARCH(1,2)</w:t>
            </w:r>
          </w:p>
        </w:tc>
        <w:tc>
          <w:tcPr>
            <w:tcW w:type="dxa" w:w="1440"/>
          </w:tcPr>
          <w:p>
            <w:r>
              <w:t>Student-t</w:t>
            </w:r>
          </w:p>
        </w:tc>
        <w:tc>
          <w:tcPr>
            <w:tcW w:type="dxa" w:w="1440"/>
          </w:tcPr>
          <w:p>
            <w:r>
              <w:t>1.5236</w:t>
            </w:r>
          </w:p>
        </w:tc>
        <w:tc>
          <w:tcPr>
            <w:tcW w:type="dxa" w:w="1440"/>
          </w:tcPr>
          <w:p>
            <w:r>
              <w:t>1.5431</w:t>
            </w:r>
          </w:p>
        </w:tc>
      </w:tr>
      <w:tr>
        <w:tc>
          <w:tcPr>
            <w:tcW w:type="dxa" w:w="1440"/>
          </w:tcPr>
          <w:p>
            <w:r>
              <w:t>USD</w:t>
            </w:r>
          </w:p>
        </w:tc>
        <w:tc>
          <w:tcPr>
            <w:tcW w:type="dxa" w:w="1440"/>
          </w:tcPr>
          <w:p>
            <w:r>
              <w:t>ARMA(0,0)</w:t>
            </w:r>
          </w:p>
        </w:tc>
        <w:tc>
          <w:tcPr>
            <w:tcW w:type="dxa" w:w="1440"/>
          </w:tcPr>
          <w:p>
            <w:r>
              <w:t>GJR-GARCH(1,2)</w:t>
            </w:r>
          </w:p>
        </w:tc>
        <w:tc>
          <w:tcPr>
            <w:tcW w:type="dxa" w:w="1440"/>
          </w:tcPr>
          <w:p>
            <w:r>
              <w:t>Student-t</w:t>
            </w:r>
          </w:p>
        </w:tc>
        <w:tc>
          <w:tcPr>
            <w:tcW w:type="dxa" w:w="1440"/>
          </w:tcPr>
          <w:p>
            <w:r>
              <w:t>1.7948</w:t>
            </w:r>
          </w:p>
        </w:tc>
        <w:tc>
          <w:tcPr>
            <w:tcW w:type="dxa" w:w="1440"/>
          </w:tcPr>
          <w:p>
            <w:r>
              <w:t>1.8143</w:t>
            </w:r>
          </w:p>
        </w:tc>
      </w:tr>
      <w:tr>
        <w:tc>
          <w:tcPr>
            <w:tcW w:type="dxa" w:w="1440"/>
          </w:tcPr>
          <w:p>
            <w:r>
              <w:t>TWI</w:t>
            </w:r>
          </w:p>
        </w:tc>
        <w:tc>
          <w:tcPr>
            <w:tcW w:type="dxa" w:w="1440"/>
          </w:tcPr>
          <w:p>
            <w:r>
              <w:t>ARMA(1,0)</w:t>
            </w:r>
          </w:p>
        </w:tc>
        <w:tc>
          <w:tcPr>
            <w:tcW w:type="dxa" w:w="1440"/>
          </w:tcPr>
          <w:p>
            <w:r>
              <w:t>GJR-GARCH(1,2)</w:t>
            </w:r>
          </w:p>
        </w:tc>
        <w:tc>
          <w:tcPr>
            <w:tcW w:type="dxa" w:w="1440"/>
          </w:tcPr>
          <w:p>
            <w:r>
              <w:t>Student-t</w:t>
            </w:r>
          </w:p>
        </w:tc>
        <w:tc>
          <w:tcPr>
            <w:tcW w:type="dxa" w:w="1440"/>
          </w:tcPr>
          <w:p>
            <w:r>
              <w:t>1.2806</w:t>
            </w:r>
          </w:p>
        </w:tc>
        <w:tc>
          <w:tcPr>
            <w:tcW w:type="dxa" w:w="1440"/>
          </w:tcPr>
          <w:p>
            <w:r>
              <w:t>1.3028</w:t>
            </w:r>
          </w:p>
        </w:tc>
      </w:tr>
      <w:tr>
        <w:tc>
          <w:tcPr>
            <w:tcW w:type="dxa" w:w="1440"/>
          </w:tcPr>
          <w:p>
            <w:r>
              <w:t>SDR</w:t>
            </w:r>
          </w:p>
        </w:tc>
        <w:tc>
          <w:tcPr>
            <w:tcW w:type="dxa" w:w="1440"/>
          </w:tcPr>
          <w:p>
            <w:r>
              <w:t>ARMA(0,1)</w:t>
            </w:r>
          </w:p>
        </w:tc>
        <w:tc>
          <w:tcPr>
            <w:tcW w:type="dxa" w:w="1440"/>
          </w:tcPr>
          <w:p>
            <w:r>
              <w:t>GJR-GARCH(1,2)</w:t>
            </w:r>
          </w:p>
        </w:tc>
        <w:tc>
          <w:tcPr>
            <w:tcW w:type="dxa" w:w="1440"/>
          </w:tcPr>
          <w:p>
            <w:r>
              <w:t>Student-t</w:t>
            </w:r>
          </w:p>
        </w:tc>
        <w:tc>
          <w:tcPr>
            <w:tcW w:type="dxa" w:w="1440"/>
          </w:tcPr>
          <w:p>
            <w:r>
              <w:t>1.7901</w:t>
            </w:r>
          </w:p>
        </w:tc>
        <w:tc>
          <w:tcPr>
            <w:tcW w:type="dxa" w:w="1440"/>
          </w:tcPr>
          <w:p>
            <w:r>
              <w:t>1.8124</w:t>
            </w:r>
          </w:p>
        </w:tc>
      </w:tr>
    </w:tbl>
    <w:p/>
    <w:p>
      <w:r>
        <w:t>Estimated coefficients: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Currency</w:t>
            </w:r>
          </w:p>
        </w:tc>
        <w:tc>
          <w:tcPr>
            <w:tcW w:type="dxa" w:w="864"/>
          </w:tcPr>
          <w:p>
            <w:r>
              <w:t>mu</w:t>
            </w:r>
          </w:p>
        </w:tc>
        <w:tc>
          <w:tcPr>
            <w:tcW w:type="dxa" w:w="864"/>
          </w:tcPr>
          <w:p>
            <w:r>
              <w:t>ar1</w:t>
            </w:r>
          </w:p>
        </w:tc>
        <w:tc>
          <w:tcPr>
            <w:tcW w:type="dxa" w:w="864"/>
          </w:tcPr>
          <w:p>
            <w:r>
              <w:t>ma1</w:t>
            </w:r>
          </w:p>
        </w:tc>
        <w:tc>
          <w:tcPr>
            <w:tcW w:type="dxa" w:w="864"/>
          </w:tcPr>
          <w:p>
            <w:r>
              <w:t>omega</w:t>
            </w:r>
          </w:p>
        </w:tc>
        <w:tc>
          <w:tcPr>
            <w:tcW w:type="dxa" w:w="864"/>
          </w:tcPr>
          <w:p>
            <w:r>
              <w:t>alpha1</w:t>
            </w:r>
          </w:p>
        </w:tc>
        <w:tc>
          <w:tcPr>
            <w:tcW w:type="dxa" w:w="864"/>
          </w:tcPr>
          <w:p>
            <w:r>
              <w:t>beta1</w:t>
            </w:r>
          </w:p>
        </w:tc>
        <w:tc>
          <w:tcPr>
            <w:tcW w:type="dxa" w:w="864"/>
          </w:tcPr>
          <w:p>
            <w:r>
              <w:t>beta2</w:t>
            </w:r>
          </w:p>
        </w:tc>
        <w:tc>
          <w:tcPr>
            <w:tcW w:type="dxa" w:w="864"/>
          </w:tcPr>
          <w:p>
            <w:r>
              <w:t>gamma1</w:t>
            </w:r>
          </w:p>
        </w:tc>
        <w:tc>
          <w:tcPr>
            <w:tcW w:type="dxa" w:w="864"/>
          </w:tcPr>
          <w:p>
            <w:r>
              <w:t>shape</w:t>
            </w:r>
          </w:p>
        </w:tc>
      </w:tr>
      <w:tr>
        <w:tc>
          <w:tcPr>
            <w:tcW w:type="dxa" w:w="864"/>
          </w:tcPr>
          <w:p>
            <w:r>
              <w:t>CNY</w:t>
            </w:r>
          </w:p>
        </w:tc>
        <w:tc>
          <w:tcPr>
            <w:tcW w:type="dxa" w:w="864"/>
          </w:tcPr>
          <w:p>
            <w:r>
              <w:t>−0.0145</w:t>
            </w:r>
          </w:p>
        </w:tc>
        <w:tc>
          <w:tcPr>
            <w:tcW w:type="dxa" w:w="864"/>
          </w:tcPr>
          <w:p>
            <w:r>
              <w:t>—</w:t>
            </w:r>
          </w:p>
        </w:tc>
        <w:tc>
          <w:tcPr>
            <w:tcW w:type="dxa" w:w="864"/>
          </w:tcPr>
          <w:p>
            <w:r>
              <w:t>—</w:t>
            </w:r>
          </w:p>
        </w:tc>
        <w:tc>
          <w:tcPr>
            <w:tcW w:type="dxa" w:w="864"/>
          </w:tcPr>
          <w:p>
            <w:r>
              <w:t>0.0105</w:t>
            </w:r>
          </w:p>
        </w:tc>
        <w:tc>
          <w:tcPr>
            <w:tcW w:type="dxa" w:w="864"/>
          </w:tcPr>
          <w:p>
            <w:r>
              <w:t>0.0256</w:t>
            </w:r>
          </w:p>
        </w:tc>
        <w:tc>
          <w:tcPr>
            <w:tcW w:type="dxa" w:w="864"/>
          </w:tcPr>
          <w:p>
            <w:r>
              <w:t>0.3652</w:t>
            </w:r>
          </w:p>
        </w:tc>
        <w:tc>
          <w:tcPr>
            <w:tcW w:type="dxa" w:w="864"/>
          </w:tcPr>
          <w:p>
            <w:r>
              <w:t>0.5282</w:t>
            </w:r>
          </w:p>
        </w:tc>
        <w:tc>
          <w:tcPr>
            <w:tcW w:type="dxa" w:w="864"/>
          </w:tcPr>
          <w:p>
            <w:r>
              <w:t>0.0898</w:t>
            </w:r>
          </w:p>
        </w:tc>
        <w:tc>
          <w:tcPr>
            <w:tcW w:type="dxa" w:w="864"/>
          </w:tcPr>
          <w:p>
            <w:r>
              <w:t>8.2296</w:t>
            </w:r>
          </w:p>
        </w:tc>
      </w:tr>
      <w:tr>
        <w:tc>
          <w:tcPr>
            <w:tcW w:type="dxa" w:w="864"/>
          </w:tcPr>
          <w:p>
            <w:r>
              <w:t>USD</w:t>
            </w:r>
          </w:p>
        </w:tc>
        <w:tc>
          <w:tcPr>
            <w:tcW w:type="dxa" w:w="864"/>
          </w:tcPr>
          <w:p>
            <w:r>
              <w:t>−0.0149</w:t>
            </w:r>
          </w:p>
        </w:tc>
        <w:tc>
          <w:tcPr>
            <w:tcW w:type="dxa" w:w="864"/>
          </w:tcPr>
          <w:p>
            <w:r>
              <w:t>—</w:t>
            </w:r>
          </w:p>
        </w:tc>
        <w:tc>
          <w:tcPr>
            <w:tcW w:type="dxa" w:w="864"/>
          </w:tcPr>
          <w:p>
            <w:r>
              <w:t>—</w:t>
            </w:r>
          </w:p>
        </w:tc>
        <w:tc>
          <w:tcPr>
            <w:tcW w:type="dxa" w:w="864"/>
          </w:tcPr>
          <w:p>
            <w:r>
              <w:t>0.0074</w:t>
            </w:r>
          </w:p>
        </w:tc>
        <w:tc>
          <w:tcPr>
            <w:tcW w:type="dxa" w:w="864"/>
          </w:tcPr>
          <w:p>
            <w:r>
              <w:t>0.0062</w:t>
            </w:r>
          </w:p>
        </w:tc>
        <w:tc>
          <w:tcPr>
            <w:tcW w:type="dxa" w:w="864"/>
          </w:tcPr>
          <w:p>
            <w:r>
              <w:t>0.2176</w:t>
            </w:r>
          </w:p>
        </w:tc>
        <w:tc>
          <w:tcPr>
            <w:tcW w:type="dxa" w:w="864"/>
          </w:tcPr>
          <w:p>
            <w:r>
              <w:t>0.7123</w:t>
            </w:r>
          </w:p>
        </w:tc>
        <w:tc>
          <w:tcPr>
            <w:tcW w:type="dxa" w:w="864"/>
          </w:tcPr>
          <w:p>
            <w:r>
              <w:t>0.0849</w:t>
            </w:r>
          </w:p>
        </w:tc>
        <w:tc>
          <w:tcPr>
            <w:tcW w:type="dxa" w:w="864"/>
          </w:tcPr>
          <w:p>
            <w:r>
              <w:t>8.8065</w:t>
            </w:r>
          </w:p>
        </w:tc>
      </w:tr>
      <w:tr>
        <w:tc>
          <w:tcPr>
            <w:tcW w:type="dxa" w:w="864"/>
          </w:tcPr>
          <w:p>
            <w:r>
              <w:t>TWI</w:t>
            </w:r>
          </w:p>
        </w:tc>
        <w:tc>
          <w:tcPr>
            <w:tcW w:type="dxa" w:w="864"/>
          </w:tcPr>
          <w:p>
            <w:r>
              <w:t>−0.0071</w:t>
            </w:r>
          </w:p>
        </w:tc>
        <w:tc>
          <w:tcPr>
            <w:tcW w:type="dxa" w:w="864"/>
          </w:tcPr>
          <w:p>
            <w:r>
              <w:t>−0.0382</w:t>
            </w:r>
          </w:p>
        </w:tc>
        <w:tc>
          <w:tcPr>
            <w:tcW w:type="dxa" w:w="864"/>
          </w:tcPr>
          <w:p>
            <w:r>
              <w:t>—</w:t>
            </w:r>
          </w:p>
        </w:tc>
        <w:tc>
          <w:tcPr>
            <w:tcW w:type="dxa" w:w="864"/>
          </w:tcPr>
          <w:p>
            <w:r>
              <w:t>0.0112</w:t>
            </w:r>
          </w:p>
        </w:tc>
        <w:tc>
          <w:tcPr>
            <w:tcW w:type="dxa" w:w="864"/>
          </w:tcPr>
          <w:p>
            <w:r>
              <w:t>0.0356</w:t>
            </w:r>
          </w:p>
        </w:tc>
        <w:tc>
          <w:tcPr>
            <w:tcW w:type="dxa" w:w="864"/>
          </w:tcPr>
          <w:p>
            <w:r>
              <w:t>0.2603</w:t>
            </w:r>
          </w:p>
        </w:tc>
        <w:tc>
          <w:tcPr>
            <w:tcW w:type="dxa" w:w="864"/>
          </w:tcPr>
          <w:p>
            <w:r>
              <w:t>0.6087</w:t>
            </w:r>
          </w:p>
        </w:tc>
        <w:tc>
          <w:tcPr>
            <w:tcW w:type="dxa" w:w="864"/>
          </w:tcPr>
          <w:p>
            <w:r>
              <w:t>0.0893</w:t>
            </w:r>
          </w:p>
        </w:tc>
        <w:tc>
          <w:tcPr>
            <w:tcW w:type="dxa" w:w="864"/>
          </w:tcPr>
          <w:p>
            <w:r>
              <w:t>8.3771</w:t>
            </w:r>
          </w:p>
        </w:tc>
      </w:tr>
      <w:tr>
        <w:tc>
          <w:tcPr>
            <w:tcW w:type="dxa" w:w="864"/>
          </w:tcPr>
          <w:p>
            <w:r>
              <w:t>SDR</w:t>
            </w:r>
          </w:p>
        </w:tc>
        <w:tc>
          <w:tcPr>
            <w:tcW w:type="dxa" w:w="864"/>
          </w:tcPr>
          <w:p>
            <w:r>
              <w:t>−0.0095</w:t>
            </w:r>
          </w:p>
        </w:tc>
        <w:tc>
          <w:tcPr>
            <w:tcW w:type="dxa" w:w="864"/>
          </w:tcPr>
          <w:p>
            <w:r>
              <w:t>—</w:t>
            </w:r>
          </w:p>
        </w:tc>
        <w:tc>
          <w:tcPr>
            <w:tcW w:type="dxa" w:w="864"/>
          </w:tcPr>
          <w:p>
            <w:r>
              <w:t>−0.1787</w:t>
            </w:r>
          </w:p>
        </w:tc>
        <w:tc>
          <w:tcPr>
            <w:tcW w:type="dxa" w:w="864"/>
          </w:tcPr>
          <w:p>
            <w:r>
              <w:t>0.0101</w:t>
            </w:r>
          </w:p>
        </w:tc>
        <w:tc>
          <w:tcPr>
            <w:tcW w:type="dxa" w:w="864"/>
          </w:tcPr>
          <w:p>
            <w:r>
              <w:t>0.0348</w:t>
            </w:r>
          </w:p>
        </w:tc>
        <w:tc>
          <w:tcPr>
            <w:tcW w:type="dxa" w:w="864"/>
          </w:tcPr>
          <w:p>
            <w:r>
              <w:t>0.1801</w:t>
            </w:r>
          </w:p>
        </w:tc>
        <w:tc>
          <w:tcPr>
            <w:tcW w:type="dxa" w:w="864"/>
          </w:tcPr>
          <w:p>
            <w:r>
              <w:t>0.7255</w:t>
            </w:r>
          </w:p>
        </w:tc>
        <w:tc>
          <w:tcPr>
            <w:tcW w:type="dxa" w:w="864"/>
          </w:tcPr>
          <w:p>
            <w:r>
              <w:t>0.0635</w:t>
            </w:r>
          </w:p>
        </w:tc>
        <w:tc>
          <w:tcPr>
            <w:tcW w:type="dxa" w:w="864"/>
          </w:tcPr>
          <w:p>
            <w:r>
              <w:t>8.0817</w:t>
            </w:r>
          </w:p>
        </w:tc>
      </w:tr>
    </w:tbl>
    <w:p/>
    <w:p>
      <w:r>
        <w:t>The GJR-GARCH(1,2) specification distributes GARCH persistence across two lags; the combined beta1 + beta2 ranges from 0.89 to 0.93 across currencies, confirming highly persistent volatility shocks — a spike in conditional variance takes a long time to decay. The positive gamma1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8–9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0.4666</w:t>
            </w:r>
          </w:p>
        </w:tc>
        <w:tc>
          <w:tcPr>
            <w:tcW w:type="dxa" w:w="2880"/>
          </w:tcPr>
          <w:p>
            <w:r>
              <w:t>0.0000</w:t>
            </w:r>
          </w:p>
        </w:tc>
      </w:tr>
      <w:tr>
        <w:tc>
          <w:tcPr>
            <w:tcW w:type="dxa" w:w="2880"/>
          </w:tcPr>
          <w:p>
            <w:r>
              <w:t>USD</w:t>
            </w:r>
          </w:p>
        </w:tc>
        <w:tc>
          <w:tcPr>
            <w:tcW w:type="dxa" w:w="2880"/>
          </w:tcPr>
          <w:p>
            <w:r>
              <w:t>0.7275</w:t>
            </w:r>
          </w:p>
        </w:tc>
        <w:tc>
          <w:tcPr>
            <w:tcW w:type="dxa" w:w="2880"/>
          </w:tcPr>
          <w:p>
            <w:r>
              <w:t>0.0000</w:t>
            </w:r>
          </w:p>
        </w:tc>
      </w:tr>
      <w:tr>
        <w:tc>
          <w:tcPr>
            <w:tcW w:type="dxa" w:w="2880"/>
          </w:tcPr>
          <w:p>
            <w:r>
              <w:t>TWI</w:t>
            </w:r>
          </w:p>
        </w:tc>
        <w:tc>
          <w:tcPr>
            <w:tcW w:type="dxa" w:w="2880"/>
          </w:tcPr>
          <w:p>
            <w:r>
              <w:t>0.6180</w:t>
            </w:r>
          </w:p>
        </w:tc>
        <w:tc>
          <w:tcPr>
            <w:tcW w:type="dxa" w:w="2880"/>
          </w:tcPr>
          <w:p>
            <w:r>
              <w:t>0.0000</w:t>
            </w:r>
          </w:p>
        </w:tc>
      </w:tr>
      <w:tr>
        <w:tc>
          <w:tcPr>
            <w:tcW w:type="dxa" w:w="2880"/>
          </w:tcPr>
          <w:p>
            <w:r>
              <w:t>SDR</w:t>
            </w:r>
          </w:p>
        </w:tc>
        <w:tc>
          <w:tcPr>
            <w:tcW w:type="dxa" w:w="2880"/>
          </w:tcPr>
          <w:p>
            <w:r>
              <w:t>0.9088</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GJR-GARCH(1,1) specification does not capture every aspect of the variance dynamics. Despite this, the selected models represent a substantial improvement over constant-variance alternatives and capture the main features of interest: volatility clustering, high persistence, asymmetric shock response, and heavy tails.</w:t>
      </w:r>
    </w:p>
    <w:p>
      <w:pPr>
        <w:jc w:val="center"/>
      </w:pPr>
      <w:r>
        <w:t>Figures 8–11: fig6_vol_CNY.png, fig6_vol_USD.png, fig6_vol_TWI.png, fig6_vol_SDR.png</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For a GJR-GARCH(1,2) model the unconditional variance exists when α + β₁ + β₂ + γ/2 &lt; 1, and is given by:</w:t>
      </w:r>
    </w:p>
    <w:p>
      <w:r>
        <w:t>σ²_j = ω / (1 − α − β₁ − β₂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β₁ + β₂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0.9638</w:t>
            </w:r>
          </w:p>
        </w:tc>
        <w:tc>
          <w:tcPr>
            <w:tcW w:type="dxa" w:w="1728"/>
          </w:tcPr>
          <w:p>
            <w:r>
              <w:t>0.2899</w:t>
            </w:r>
          </w:p>
        </w:tc>
        <w:tc>
          <w:tcPr>
            <w:tcW w:type="dxa" w:w="1728"/>
          </w:tcPr>
          <w:p>
            <w:r>
              <w:t>0.3369</w:t>
            </w:r>
          </w:p>
        </w:tc>
        <w:tc>
          <w:tcPr>
            <w:tcW w:type="dxa" w:w="1728"/>
          </w:tcPr>
          <w:p>
            <w:r>
              <w:t>0.8607</w:t>
            </w:r>
          </w:p>
        </w:tc>
      </w:tr>
      <w:tr>
        <w:tc>
          <w:tcPr>
            <w:tcW w:type="dxa" w:w="1728"/>
          </w:tcPr>
          <w:p>
            <w:r>
              <w:t>USD</w:t>
            </w:r>
          </w:p>
        </w:tc>
        <w:tc>
          <w:tcPr>
            <w:tcW w:type="dxa" w:w="1728"/>
          </w:tcPr>
          <w:p>
            <w:r>
              <w:t>0.9785</w:t>
            </w:r>
          </w:p>
        </w:tc>
        <w:tc>
          <w:tcPr>
            <w:tcW w:type="dxa" w:w="1728"/>
          </w:tcPr>
          <w:p>
            <w:r>
              <w:t>0.3456</w:t>
            </w:r>
          </w:p>
        </w:tc>
        <w:tc>
          <w:tcPr>
            <w:tcW w:type="dxa" w:w="1728"/>
          </w:tcPr>
          <w:p>
            <w:r>
              <w:t>0.4381</w:t>
            </w:r>
          </w:p>
        </w:tc>
        <w:tc>
          <w:tcPr>
            <w:tcW w:type="dxa" w:w="1728"/>
          </w:tcPr>
          <w:p>
            <w:r>
              <w:t>0.7889</w:t>
            </w:r>
          </w:p>
        </w:tc>
      </w:tr>
      <w:tr>
        <w:tc>
          <w:tcPr>
            <w:tcW w:type="dxa" w:w="1728"/>
          </w:tcPr>
          <w:p>
            <w:r>
              <w:t>TWI</w:t>
            </w:r>
          </w:p>
        </w:tc>
        <w:tc>
          <w:tcPr>
            <w:tcW w:type="dxa" w:w="1728"/>
          </w:tcPr>
          <w:p>
            <w:r>
              <w:t>0.9493</w:t>
            </w:r>
          </w:p>
        </w:tc>
        <w:tc>
          <w:tcPr>
            <w:tcW w:type="dxa" w:w="1728"/>
          </w:tcPr>
          <w:p>
            <w:r>
              <w:t>0.2218</w:t>
            </w:r>
          </w:p>
        </w:tc>
        <w:tc>
          <w:tcPr>
            <w:tcW w:type="dxa" w:w="1728"/>
          </w:tcPr>
          <w:p>
            <w:r>
              <w:t>0.2675</w:t>
            </w:r>
          </w:p>
        </w:tc>
        <w:tc>
          <w:tcPr>
            <w:tcW w:type="dxa" w:w="1728"/>
          </w:tcPr>
          <w:p>
            <w:r>
              <w:t>0.8293</w:t>
            </w:r>
          </w:p>
        </w:tc>
      </w:tr>
      <w:tr>
        <w:tc>
          <w:tcPr>
            <w:tcW w:type="dxa" w:w="1728"/>
          </w:tcPr>
          <w:p>
            <w:r>
              <w:t>SDR</w:t>
            </w:r>
          </w:p>
        </w:tc>
        <w:tc>
          <w:tcPr>
            <w:tcW w:type="dxa" w:w="1728"/>
          </w:tcPr>
          <w:p>
            <w:r>
              <w:t>0.9722</w:t>
            </w:r>
          </w:p>
        </w:tc>
        <w:tc>
          <w:tcPr>
            <w:tcW w:type="dxa" w:w="1728"/>
          </w:tcPr>
          <w:p>
            <w:r>
              <w:t>0.3630</w:t>
            </w:r>
          </w:p>
        </w:tc>
        <w:tc>
          <w:tcPr>
            <w:tcW w:type="dxa" w:w="1728"/>
          </w:tcPr>
          <w:p>
            <w:r>
              <w:t>0.4492</w:t>
            </w:r>
          </w:p>
        </w:tc>
        <w:tc>
          <w:tcPr>
            <w:tcW w:type="dxa" w:w="1728"/>
          </w:tcPr>
          <w:p>
            <w:r>
              <w:t>0.8081</w:t>
            </w:r>
          </w:p>
        </w:tc>
      </w:tr>
    </w:tbl>
    <w:p/>
    <w:p>
      <w:r>
        <w:t>All four persistence measures are below 1, so finite unconditional variances exist for every currency. The persistence values are all high — ranging from 0.9493 for TWI to 0.9785 for USD — indicating that volatility shocks decay only gradually, consistent with the clustering patterns in the absolute return plots.</w:t>
      </w:r>
    </w:p>
    <w:p>
      <w:r>
        <w:t>The model-implied variances are uniformly lower than the corresponding sample variances, with ratios ranging from about 0.79 to 0.86.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The probability that the daily return falls below 0.01% on 13/01/2026 and 14/01/2026 is computed from the one-step-ahead and two-step-ahead GJR-GARCH forecasts, using the Student-t CDF with the estimated shape parameter so that the heavy-tail behaviour is properly accounted for.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−0.0145</w:t>
            </w:r>
          </w:p>
        </w:tc>
        <w:tc>
          <w:tcPr>
            <w:tcW w:type="dxa" w:w="1234"/>
          </w:tcPr>
          <w:p>
            <w:r>
              <w:t>0.4575</w:t>
            </w:r>
          </w:p>
        </w:tc>
        <w:tc>
          <w:tcPr>
            <w:tcW w:type="dxa" w:w="1234"/>
          </w:tcPr>
          <w:p>
            <w:r>
              <w:t>0.5239</w:t>
            </w:r>
          </w:p>
        </w:tc>
        <w:tc>
          <w:tcPr>
            <w:tcW w:type="dxa" w:w="1234"/>
          </w:tcPr>
          <w:p>
            <w:r>
              <w:t>−0.0145</w:t>
            </w:r>
          </w:p>
        </w:tc>
        <w:tc>
          <w:tcPr>
            <w:tcW w:type="dxa" w:w="1234"/>
          </w:tcPr>
          <w:p>
            <w:r>
              <w:t>0.4533</w:t>
            </w:r>
          </w:p>
        </w:tc>
        <w:tc>
          <w:tcPr>
            <w:tcW w:type="dxa" w:w="1234"/>
          </w:tcPr>
          <w:p>
            <w:r>
              <w:t>0.5241</w:t>
            </w:r>
          </w:p>
        </w:tc>
      </w:tr>
      <w:tr>
        <w:tc>
          <w:tcPr>
            <w:tcW w:type="dxa" w:w="1234"/>
          </w:tcPr>
          <w:p>
            <w:r>
              <w:t>USD</w:t>
            </w:r>
          </w:p>
        </w:tc>
        <w:tc>
          <w:tcPr>
            <w:tcW w:type="dxa" w:w="1234"/>
          </w:tcPr>
          <w:p>
            <w:r>
              <w:t>−0.0149</w:t>
            </w:r>
          </w:p>
        </w:tc>
        <w:tc>
          <w:tcPr>
            <w:tcW w:type="dxa" w:w="1234"/>
          </w:tcPr>
          <w:p>
            <w:r>
              <w:t>0.4562</w:t>
            </w:r>
          </w:p>
        </w:tc>
        <w:tc>
          <w:tcPr>
            <w:tcW w:type="dxa" w:w="1234"/>
          </w:tcPr>
          <w:p>
            <w:r>
              <w:t>0.5240</w:t>
            </w:r>
          </w:p>
        </w:tc>
        <w:tc>
          <w:tcPr>
            <w:tcW w:type="dxa" w:w="1234"/>
          </w:tcPr>
          <w:p>
            <w:r>
              <w:t>−0.0149</w:t>
            </w:r>
          </w:p>
        </w:tc>
        <w:tc>
          <w:tcPr>
            <w:tcW w:type="dxa" w:w="1234"/>
          </w:tcPr>
          <w:p>
            <w:r>
              <w:t>0.4404</w:t>
            </w:r>
          </w:p>
        </w:tc>
        <w:tc>
          <w:tcPr>
            <w:tcW w:type="dxa" w:w="1234"/>
          </w:tcPr>
          <w:p>
            <w:r>
              <w:t>0.5249</w:t>
            </w:r>
          </w:p>
        </w:tc>
      </w:tr>
      <w:tr>
        <w:tc>
          <w:tcPr>
            <w:tcW w:type="dxa" w:w="1234"/>
          </w:tcPr>
          <w:p>
            <w:r>
              <w:t>TWI</w:t>
            </w:r>
          </w:p>
        </w:tc>
        <w:tc>
          <w:tcPr>
            <w:tcW w:type="dxa" w:w="1234"/>
          </w:tcPr>
          <w:p>
            <w:r>
              <w:t>−0.0074</w:t>
            </w:r>
          </w:p>
        </w:tc>
        <w:tc>
          <w:tcPr>
            <w:tcW w:type="dxa" w:w="1234"/>
          </w:tcPr>
          <w:p>
            <w:r>
              <w:t>0.3830</w:t>
            </w:r>
          </w:p>
        </w:tc>
        <w:tc>
          <w:tcPr>
            <w:tcW w:type="dxa" w:w="1234"/>
          </w:tcPr>
          <w:p>
            <w:r>
              <w:t>0.5202</w:t>
            </w:r>
          </w:p>
        </w:tc>
        <w:tc>
          <w:tcPr>
            <w:tcW w:type="dxa" w:w="1234"/>
          </w:tcPr>
          <w:p>
            <w:r>
              <w:t>−0.0071</w:t>
            </w:r>
          </w:p>
        </w:tc>
        <w:tc>
          <w:tcPr>
            <w:tcW w:type="dxa" w:w="1234"/>
          </w:tcPr>
          <w:p>
            <w:r>
              <w:t>0.3777</w:t>
            </w:r>
          </w:p>
        </w:tc>
        <w:tc>
          <w:tcPr>
            <w:tcW w:type="dxa" w:w="1234"/>
          </w:tcPr>
          <w:p>
            <w:r>
              <w:t>0.5201</w:t>
            </w:r>
          </w:p>
        </w:tc>
      </w:tr>
      <w:tr>
        <w:tc>
          <w:tcPr>
            <w:tcW w:type="dxa" w:w="1234"/>
          </w:tcPr>
          <w:p>
            <w:r>
              <w:t>SDR</w:t>
            </w:r>
          </w:p>
        </w:tc>
        <w:tc>
          <w:tcPr>
            <w:tcW w:type="dxa" w:w="1234"/>
          </w:tcPr>
          <w:p>
            <w:r>
              <w:t>−0.0242</w:t>
            </w:r>
          </w:p>
        </w:tc>
        <w:tc>
          <w:tcPr>
            <w:tcW w:type="dxa" w:w="1234"/>
          </w:tcPr>
          <w:p>
            <w:r>
              <w:t>0.4522</w:t>
            </w:r>
          </w:p>
        </w:tc>
        <w:tc>
          <w:tcPr>
            <w:tcW w:type="dxa" w:w="1234"/>
          </w:tcPr>
          <w:p>
            <w:r>
              <w:t>0.5337</w:t>
            </w:r>
          </w:p>
        </w:tc>
        <w:tc>
          <w:tcPr>
            <w:tcW w:type="dxa" w:w="1234"/>
          </w:tcPr>
          <w:p>
            <w:r>
              <w:t>−0.0095</w:t>
            </w:r>
          </w:p>
        </w:tc>
        <w:tc>
          <w:tcPr>
            <w:tcW w:type="dxa" w:w="1234"/>
          </w:tcPr>
          <w:p>
            <w:r>
              <w:t>0.4444</w:t>
            </w:r>
          </w:p>
        </w:tc>
        <w:tc>
          <w:tcPr>
            <w:tcW w:type="dxa" w:w="1234"/>
          </w:tcPr>
          <w:p>
            <w:r>
              <w:t>0.5196</w:t>
            </w:r>
          </w:p>
        </w:tc>
      </w:tr>
    </w:tbl>
    <w:p/>
    <w:p>
      <w:r>
        <w:t>All probabilities are slightly above 0.5. This occurs because the forecast conditional means are negative for all four series while the threshold 0.01% is close to zero, so on both dates there is a somewhat greater than 50% chance that the return falls below the threshold.</w:t>
      </w:r>
    </w:p>
    <w:p>
      <w:r>
        <w:t>A lower probability is preferable from a downside-risk perspective, since it means a smaller chance of earning less than the 0.01% threshold. On 13 January 2026, the ranking from least to most downside risk is TWI (0.5202), CNY (0.5239), USD (0.5240), SDR (0.5337). On 14 January 2026, the ranking shifts to SDR (0.5196), TWI (0.5201), CNY (0.5241), USD (0.5249).</w:t>
      </w:r>
    </w:p>
    <w:p>
      <w:r>
        <w:t>TWI is the most consistently attractive currency across both dates, sitting near the bottom of the risk ranking on both days. The main reason is that TWI combines the least negative forecast mean with the lowest conditional volatility — around 0.38 versus 0.44–0.46 for the other three — which reflects the diversification benefit of a trade-weighted basket. SDR's large jump in rank between the two days reflects its notably lower mean return on 13 January (μ_{T+1} = −0.0242 versus around −0.007 to −0.015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