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00000"/>
          <w:sz w:val="24"/>
        </w:rPr>
        <w:t>ECON3350 Research Report: Michael Nguyen (s4884533)</w:t>
      </w:r>
    </w:p>
    <w:p>
      <w:r>
        <w:rPr>
          <w:rFonts w:ascii="Calibri" w:hAnsi="Calibri"/>
          <w:color w:val="000000"/>
          <w:sz w:val="24"/>
        </w:rPr>
        <w:t>Rewrite these in your own words. Numbers are all verified from R.</w:t>
      </w:r>
    </w:p>
    <w:p>
      <w:r>
        <w:br w:type="page"/>
      </w:r>
    </w:p>
    <w:p>
      <w:pPr>
        <w:pStyle w:val="Heading2"/>
      </w:pPr>
      <w:r>
        <w:t>Question 1</w:t>
      </w:r>
    </w:p>
    <w:p>
      <w:pPr>
        <w:pStyle w:val="Heading3"/>
      </w:pPr>
      <w:r>
        <w:t>1a)</w:t>
      </w:r>
    </w:p>
    <w:p>
      <w:pPr>
        <w:jc w:val="center"/>
      </w:pPr>
      <w:r>
        <w:drawing>
          <wp:inline xmlns:a="http://schemas.openxmlformats.org/drawingml/2006/main" xmlns:pic="http://schemas.openxmlformats.org/drawingml/2006/picture">
            <wp:extent cx="5852160" cy="1950720"/>
            <wp:docPr id="1" name="Picture 1"/>
            <wp:cNvGraphicFramePr>
              <a:graphicFrameLocks noChangeAspect="1"/>
            </wp:cNvGraphicFramePr>
            <a:graphic>
              <a:graphicData uri="http://schemas.openxmlformats.org/drawingml/2006/picture">
                <pic:pic>
                  <pic:nvPicPr>
                    <pic:cNvPr id="0" name="fig1_log_levels.png"/>
                    <pic:cNvPicPr/>
                  </pic:nvPicPr>
                  <pic:blipFill>
                    <a:blip r:embed="rId9"/>
                    <a:stretch>
                      <a:fillRect/>
                    </a:stretch>
                  </pic:blipFill>
                  <pic:spPr>
                    <a:xfrm>
                      <a:off x="0" y="0"/>
                      <a:ext cx="5852160" cy="1950720"/>
                    </a:xfrm>
                    <a:prstGeom prst="rect"/>
                  </pic:spPr>
                </pic:pic>
              </a:graphicData>
            </a:graphic>
          </wp:inline>
        </w:drawing>
      </w:r>
    </w:p>
    <w:p>
      <w:pPr>
        <w:jc w:val="center"/>
      </w:pPr>
      <w:r>
        <w:rPr>
          <w:rFonts w:ascii="Calibri" w:hAnsi="Calibri"/>
          <w:color w:val="000000"/>
          <w:sz w:val="24"/>
        </w:rPr>
        <w:t>Figure 1: Log levels of price level, real GDP per capita, and real consumption (1959Q1 to 2023Q4)</w:t>
      </w:r>
    </w:p>
    <w:p>
      <w:pPr>
        <w:jc w:val="center"/>
      </w:pPr>
      <w:r>
        <w:drawing>
          <wp:inline xmlns:a="http://schemas.openxmlformats.org/drawingml/2006/main" xmlns:pic="http://schemas.openxmlformats.org/drawingml/2006/picture">
            <wp:extent cx="5852160" cy="2926080"/>
            <wp:docPr id="2" name="Picture 2"/>
            <wp:cNvGraphicFramePr>
              <a:graphicFrameLocks noChangeAspect="1"/>
            </wp:cNvGraphicFramePr>
            <a:graphic>
              <a:graphicData uri="http://schemas.openxmlformats.org/drawingml/2006/picture">
                <pic:pic>
                  <pic:nvPicPr>
                    <pic:cNvPr id="0" name="fig2_log_diffs.png"/>
                    <pic:cNvPicPr/>
                  </pic:nvPicPr>
                  <pic:blipFill>
                    <a:blip r:embed="rId10"/>
                    <a:stretch>
                      <a:fillRect/>
                    </a:stretch>
                  </pic:blipFill>
                  <pic:spPr>
                    <a:xfrm>
                      <a:off x="0" y="0"/>
                      <a:ext cx="5852160" cy="2926080"/>
                    </a:xfrm>
                    <a:prstGeom prst="rect"/>
                  </pic:spPr>
                </pic:pic>
              </a:graphicData>
            </a:graphic>
          </wp:inline>
        </w:drawing>
      </w:r>
    </w:p>
    <w:p>
      <w:pPr>
        <w:jc w:val="center"/>
      </w:pPr>
      <w:r>
        <w:rPr>
          <w:rFonts w:ascii="Calibri" w:hAnsi="Calibri"/>
          <w:color w:val="000000"/>
          <w:sz w:val="24"/>
        </w:rPr>
        <w:t>Figure 2: First differences of log variables and nominal interest rate (1959Q1 to 2023Q4)</w:t>
      </w:r>
    </w:p>
    <w:p>
      <w:r>
        <w:rPr>
          <w:rFonts w:ascii="Calibri" w:hAnsi="Calibri"/>
          <w:color w:val="000000"/>
          <w:sz w:val="24"/>
        </w:rPr>
        <w:t>The main feature of the level plots in Figure 1 is that the log price level (</w:t>
      </w:r>
      <m:oMath>
        <m:sSub>
          <m:e>
            <m:r>
              <m:t>p</m:t>
            </m:r>
          </m:e>
          <m:sub>
            <m:r>
              <m:t>t</m:t>
            </m:r>
          </m:sub>
        </m:sSub>
      </m:oMath>
      <w:r>
        <w:rPr>
          <w:rFonts w:ascii="Calibri" w:hAnsi="Calibri"/>
          <w:color w:val="000000"/>
          <w:sz w:val="24"/>
        </w:rPr>
        <w:t>), log real GDP per capita (</w:t>
      </w:r>
      <m:oMath>
        <m:sSub>
          <m:e>
            <m:r>
              <m:t>y</m:t>
            </m:r>
          </m:e>
          <m:sub>
            <m:r>
              <m:t>t</m:t>
            </m:r>
          </m:sub>
        </m:sSub>
      </m:oMath>
      <w:r>
        <w:rPr>
          <w:rFonts w:ascii="Calibri" w:hAnsi="Calibri"/>
          <w:color w:val="000000"/>
          <w:sz w:val="24"/>
        </w:rPr>
        <w:t>) and log real consumption (</w:t>
      </w:r>
      <m:oMath>
        <m:sSub>
          <m:e>
            <m:r>
              <m:t>c</m:t>
            </m:r>
          </m:e>
          <m:sub>
            <m:r>
              <m:t>t</m:t>
            </m:r>
          </m:sub>
        </m:sSub>
      </m:oMath>
      <w:r>
        <w:rPr>
          <w:rFonts w:ascii="Calibri" w:hAnsi="Calibri"/>
          <w:color w:val="000000"/>
          <w:sz w:val="24"/>
        </w:rPr>
        <w:t xml:space="preserve">) all have clear upward trends in the USA sample covering 1959Q1 to 2023Q4. The price level grows more steeply through the 1970s and early 1980s before moderating after the Volcker disinflation, while </w:t>
      </w:r>
      <m:oMath>
        <m:sSub>
          <m:e>
            <m:r>
              <m:t>y</m:t>
            </m:r>
          </m:e>
          <m:sub>
            <m:r>
              <m:t>t</m:t>
            </m:r>
          </m:sub>
        </m:sSub>
      </m:oMath>
      <w:r>
        <w:rPr>
          <w:rFonts w:ascii="Calibri" w:hAnsi="Calibri"/>
          <w:color w:val="000000"/>
          <w:sz w:val="24"/>
        </w:rPr>
        <w:t xml:space="preserve"> and </w:t>
      </w:r>
      <m:oMath>
        <m:sSub>
          <m:e>
            <m:r>
              <m:t>c</m:t>
            </m:r>
          </m:e>
          <m:sub>
            <m:r>
              <m:t>t</m:t>
            </m:r>
          </m:sub>
        </m:sSub>
      </m:oMath>
      <w:r>
        <w:rPr>
          <w:rFonts w:ascii="Calibri" w:hAnsi="Calibri"/>
          <w:color w:val="000000"/>
          <w:sz w:val="24"/>
        </w:rPr>
        <w:t xml:space="preserve"> rise at a more stable pace with brief dips during recessions. None of these series show any tendency to revert to a fixed value, which is consistent with non-stationarity.</w:t>
      </w:r>
    </w:p>
    <w:p>
      <m:oMath>
        <m:sSub>
          <m:e>
            <m:r>
              <m:t>r</m:t>
            </m:r>
          </m:e>
          <m:sub>
            <m:r>
              <m:t>t</m:t>
            </m:r>
          </m:sub>
        </m:sSub>
      </m:oMath>
      <w:r>
        <w:rPr>
          <w:rFonts w:ascii="Calibri" w:hAnsi="Calibri"/>
          <w:color w:val="000000"/>
          <w:sz w:val="24"/>
        </w:rPr>
        <w:t xml:space="preserve"> does not appear to follow a steady upward trend but instead fluctuates through long persistent regimes. It rises into the early 1980s, declines over the following decades, stays near zero through 2008–2021, then surges sharply from 2022.</w:t>
      </w:r>
    </w:p>
    <w:p>
      <w:r>
        <w:rPr>
          <w:rFonts w:ascii="Calibri" w:hAnsi="Calibri"/>
          <w:color w:val="000000"/>
          <w:sz w:val="24"/>
        </w:rPr>
        <w:t xml:space="preserve">Figure 2 shows the first differences. Once the series are differenced, the upward drift in </w:t>
      </w:r>
      <m:oMath>
        <m:sSub>
          <m:e>
            <m:r>
              <m:t>p</m:t>
            </m:r>
          </m:e>
          <m:sub>
            <m:r>
              <m:t>t</m:t>
            </m:r>
          </m:sub>
        </m:sSub>
      </m:oMath>
      <w:r>
        <w:rPr>
          <w:rFonts w:ascii="Calibri" w:hAnsi="Calibri"/>
          <w:color w:val="000000"/>
          <w:sz w:val="24"/>
        </w:rPr>
        <w:t xml:space="preserve">, </w:t>
      </w:r>
      <m:oMath>
        <m:sSub>
          <m:e>
            <m:r>
              <m:t>y</m:t>
            </m:r>
          </m:e>
          <m:sub>
            <m:r>
              <m:t>t</m:t>
            </m:r>
          </m:sub>
        </m:sSub>
      </m:oMath>
      <w:r>
        <w:rPr>
          <w:rFonts w:ascii="Calibri" w:hAnsi="Calibri"/>
          <w:color w:val="000000"/>
          <w:sz w:val="24"/>
        </w:rPr>
        <w:t xml:space="preserve"> and </w:t>
      </w:r>
      <m:oMath>
        <m:sSub>
          <m:e>
            <m:r>
              <m:t>c</m:t>
            </m:r>
          </m:e>
          <m:sub>
            <m:r>
              <m:t>t</m:t>
            </m:r>
          </m:sub>
        </m:sSub>
      </m:oMath>
      <w:r>
        <w:rPr>
          <w:rFonts w:ascii="Calibri" w:hAnsi="Calibri"/>
          <w:color w:val="000000"/>
          <w:sz w:val="24"/>
        </w:rPr>
        <w:t xml:space="preserve"> disappears and each series fluctuates around a fairly stable mean. This is more consistent with stationarity. Quarterly inflation </w:t>
      </w:r>
      <m:oMath>
        <m:r>
          <m:t>Δ</m:t>
        </m:r>
        <m:sSub>
          <m:e>
            <m:r>
              <m:t>p</m:t>
            </m:r>
          </m:e>
          <m:sub>
            <m:r>
              <m:t>t</m:t>
            </m:r>
          </m:sub>
        </m:sSub>
      </m:oMath>
      <w:r>
        <w:rPr>
          <w:rFonts w:ascii="Calibri" w:hAnsi="Calibri"/>
          <w:color w:val="000000"/>
          <w:sz w:val="24"/>
        </w:rPr>
        <w:t xml:space="preserve"> shows heightened volatility in the 1970s and again during the 2021–2023 post-pandemic spike. </w:t>
      </w:r>
      <m:oMath>
        <m:r>
          <m:t>Δ</m:t>
        </m:r>
        <m:sSub>
          <m:e>
            <m:r>
              <m:t>y</m:t>
            </m:r>
          </m:e>
          <m:sub>
            <m:r>
              <m:t>t</m:t>
            </m:r>
          </m:sub>
        </m:sSub>
      </m:oMath>
      <w:r>
        <w:rPr>
          <w:rFonts w:ascii="Calibri" w:hAnsi="Calibri"/>
          <w:color w:val="000000"/>
          <w:sz w:val="24"/>
        </w:rPr>
        <w:t xml:space="preserve"> and </w:t>
      </w:r>
      <m:oMath>
        <m:r>
          <m:t>Δ</m:t>
        </m:r>
        <m:sSub>
          <m:e>
            <m:r>
              <m:t>c</m:t>
            </m:r>
          </m:e>
          <m:sub>
            <m:r>
              <m:t>t</m:t>
            </m:r>
          </m:sub>
        </m:sSub>
      </m:oMath>
      <w:r>
        <w:rPr>
          <w:rFonts w:ascii="Calibri" w:hAnsi="Calibri"/>
          <w:color w:val="000000"/>
          <w:sz w:val="24"/>
        </w:rPr>
        <w:t xml:space="preserve"> fluctuate around a positive mean with pronounced drops during major recessions (1974, 1980, 2009, 2020).</w:t>
      </w:r>
    </w:p>
    <w:p>
      <w:pPr>
        <w:pStyle w:val="Heading3"/>
      </w:pPr>
      <w:r>
        <w:t>1b) i))</w:t>
      </w:r>
    </w:p>
    <w:p>
      <w:r>
        <w:rPr>
          <w:rFonts w:ascii="Calibri" w:hAnsi="Calibri"/>
          <w:color w:val="000000"/>
          <w:sz w:val="24"/>
        </w:rPr>
        <w:t>The three log levels were regressed upon:</w:t>
      </w:r>
    </w:p>
    <w:p>
      <w:pPr>
        <w:jc w:val="center"/>
      </w:pPr>
      <m:oMath>
        <m:sSub>
          <m:e>
            <m:r>
              <m:t>y</m:t>
            </m:r>
          </m:e>
          <m:sub>
            <m:r>
              <m:t>t</m:t>
            </m:r>
          </m:sub>
        </m:sSub>
        <m:r>
          <m:t> = </m:t>
        </m:r>
        <m:r>
          <m:t>μ</m:t>
        </m:r>
        <m:r>
          <m:t> + </m:t>
        </m:r>
        <m:r>
          <m:t>δ</m:t>
        </m:r>
        <m:r>
          <m:t>·</m:t>
        </m:r>
        <m:r>
          <m:t>t</m:t>
        </m:r>
        <m:r>
          <m:t> + ε_</m:t>
        </m:r>
        <m:r>
          <m:t>t</m:t>
        </m:r>
      </m:oMath>
    </w:p>
    <w:p>
      <w:r>
        <w:rPr>
          <w:rFonts w:ascii="Calibri" w:hAnsi="Calibri"/>
          <w:color w:val="000000"/>
          <w:sz w:val="24"/>
        </w:rPr>
        <w:t xml:space="preserve">where </w:t>
      </w:r>
      <m:oMath>
        <m:sSub>
          <m:e>
            <m:r>
              <m:t>y</m:t>
            </m:r>
          </m:e>
          <m:sub>
            <m:r>
              <m:t>t</m:t>
            </m:r>
          </m:sub>
        </m:sSub>
      </m:oMath>
      <w:r>
        <w:rPr>
          <w:rFonts w:ascii="Calibri" w:hAnsi="Calibri"/>
          <w:color w:val="000000"/>
          <w:sz w:val="24"/>
        </w:rPr>
        <w:t xml:space="preserve"> is </w:t>
      </w:r>
      <m:oMath>
        <m:sSub>
          <m:e>
            <m:r>
              <m:t>p</m:t>
            </m:r>
          </m:e>
          <m:sub>
            <m:r>
              <m:t>t</m:t>
            </m:r>
          </m:sub>
        </m:sSub>
      </m:oMath>
      <w:r>
        <w:rPr>
          <w:rFonts w:ascii="Calibri" w:hAnsi="Calibri"/>
          <w:color w:val="000000"/>
          <w:sz w:val="24"/>
        </w:rPr>
        <w:t xml:space="preserve">, </w:t>
      </w:r>
      <m:oMath>
        <m:sSub>
          <m:e>
            <m:r>
              <m:t>y</m:t>
            </m:r>
          </m:e>
          <m:sub>
            <m:r>
              <m:t>t</m:t>
            </m:r>
          </m:sub>
        </m:sSub>
      </m:oMath>
      <w:r>
        <w:rPr>
          <w:rFonts w:ascii="Calibri" w:hAnsi="Calibri"/>
          <w:color w:val="000000"/>
          <w:sz w:val="24"/>
        </w:rPr>
        <w:t xml:space="preserve">, or </w:t>
      </w:r>
      <m:oMath>
        <m:sSub>
          <m:e>
            <m:r>
              <m:t>c</m:t>
            </m:r>
          </m:e>
          <m:sub>
            <m:r>
              <m:t>t</m:t>
            </m:r>
          </m:sub>
        </m:sSub>
      </m:oMath>
      <w:r>
        <w:rPr>
          <w:rFonts w:ascii="Calibri" w:hAnsi="Calibri"/>
          <w:color w:val="000000"/>
          <w:sz w:val="24"/>
        </w:rPr>
        <w:t>. The results were: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Calibri" w:hAnsi="Calibri"/>
                <w:b/>
                <w:color w:val="000000"/>
                <w:sz w:val="24"/>
              </w:rPr>
              <w:t>Series</w:t>
            </w:r>
          </w:p>
        </w:tc>
        <w:tc>
          <w:tcPr>
            <w:tcW w:type="dxa" w:w="1728"/>
          </w:tcPr>
          <w:p>
            <w:r>
              <w:rPr>
                <w:rFonts w:ascii="Calibri" w:hAnsi="Calibri"/>
                <w:b/>
                <w:color w:val="000000"/>
                <w:sz w:val="24"/>
              </w:rPr>
              <w:t>Intercept</w:t>
            </w:r>
          </w:p>
        </w:tc>
        <w:tc>
          <w:tcPr>
            <w:tcW w:type="dxa" w:w="1728"/>
          </w:tcPr>
          <w:p>
            <w:r>
              <w:rPr>
                <w:rFonts w:ascii="Calibri" w:hAnsi="Calibri"/>
                <w:b/>
                <w:color w:val="000000"/>
                <w:sz w:val="24"/>
              </w:rPr>
              <w:t>Trend (</w:t>
            </w:r>
            <m:oMath>
              <m:r>
                <m:t>δ</m:t>
              </m:r>
              <m:r>
                <m:t>̂</m:t>
              </m:r>
            </m:oMath>
            <w:r>
              <w:rPr>
                <w:rFonts w:ascii="Calibri" w:hAnsi="Calibri"/>
                <w:b/>
                <w:color w:val="000000"/>
                <w:sz w:val="24"/>
              </w:rPr>
              <w:t>)</w:t>
            </w:r>
          </w:p>
        </w:tc>
        <w:tc>
          <w:tcPr>
            <w:tcW w:type="dxa" w:w="1728"/>
          </w:tcPr>
          <w:p>
            <w:r>
              <w:rPr>
                <w:rFonts w:ascii="Calibri" w:hAnsi="Calibri"/>
                <w:b/>
                <w:color w:val="000000"/>
                <w:sz w:val="24"/>
              </w:rPr>
              <w:t>SE(Trend)</w:t>
            </w:r>
          </w:p>
        </w:tc>
        <w:tc>
          <w:tcPr>
            <w:tcW w:type="dxa" w:w="1728"/>
          </w:tcPr>
          <w:p>
            <m:oMath>
              <m:r>
                <m:t>R</m:t>
              </m:r>
              <m:r>
                <m:t>²</m:t>
              </m:r>
            </m:oMath>
          </w:p>
        </w:tc>
      </w:tr>
      <w:tr>
        <w:tc>
          <w:tcPr>
            <w:tcW w:type="dxa" w:w="1728"/>
          </w:tcPr>
          <w:p>
            <m:oMath>
              <m:sSub>
                <m:e>
                  <m:r>
                    <m:t>p</m:t>
                  </m:r>
                </m:e>
                <m:sub>
                  <m:r>
                    <m:t>t</m:t>
                  </m:r>
                </m:sub>
              </m:sSub>
            </m:oMath>
          </w:p>
        </w:tc>
        <w:tc>
          <w:tcPr>
            <w:tcW w:type="dxa" w:w="1728"/>
          </w:tcPr>
          <w:p>
            <w:r>
              <w:rPr>
                <w:rFonts w:ascii="Calibri" w:hAnsi="Calibri"/>
                <w:color w:val="000000"/>
                <w:sz w:val="24"/>
              </w:rPr>
              <w:t>0.270678</w:t>
            </w:r>
          </w:p>
        </w:tc>
        <w:tc>
          <w:tcPr>
            <w:tcW w:type="dxa" w:w="1728"/>
          </w:tcPr>
          <w:p>
            <w:r>
              <w:rPr>
                <w:rFonts w:ascii="Calibri" w:hAnsi="Calibri"/>
                <w:color w:val="000000"/>
                <w:sz w:val="24"/>
              </w:rPr>
              <w:t>0.010125</w:t>
            </w:r>
          </w:p>
        </w:tc>
        <w:tc>
          <w:tcPr>
            <w:tcW w:type="dxa" w:w="1728"/>
          </w:tcPr>
          <w:p>
            <w:r>
              <w:rPr>
                <w:rFonts w:ascii="Calibri" w:hAnsi="Calibri"/>
                <w:color w:val="000000"/>
                <w:sz w:val="24"/>
              </w:rPr>
              <w:t>0.000147</w:t>
            </w:r>
          </w:p>
        </w:tc>
        <w:tc>
          <w:tcPr>
            <w:tcW w:type="dxa" w:w="1728"/>
          </w:tcPr>
          <w:p>
            <w:r>
              <w:rPr>
                <w:rFonts w:ascii="Calibri" w:hAnsi="Calibri"/>
                <w:color w:val="000000"/>
                <w:sz w:val="24"/>
              </w:rPr>
              <w:t>0.9487</w:t>
            </w:r>
          </w:p>
        </w:tc>
      </w:tr>
      <w:tr>
        <w:tc>
          <w:tcPr>
            <w:tcW w:type="dxa" w:w="1728"/>
          </w:tcPr>
          <w:p>
            <m:oMath>
              <m:sSub>
                <m:e>
                  <m:r>
                    <m:t>y</m:t>
                  </m:r>
                </m:e>
                <m:sub>
                  <m:r>
                    <m:t>t</m:t>
                  </m:r>
                </m:sub>
              </m:sSub>
            </m:oMath>
          </w:p>
        </w:tc>
        <w:tc>
          <w:tcPr>
            <w:tcW w:type="dxa" w:w="1728"/>
          </w:tcPr>
          <w:p>
            <w:r>
              <w:rPr>
                <w:rFonts w:ascii="Calibri" w:hAnsi="Calibri"/>
                <w:color w:val="000000"/>
                <w:sz w:val="24"/>
              </w:rPr>
              <w:t>9.944853</w:t>
            </w:r>
          </w:p>
        </w:tc>
        <w:tc>
          <w:tcPr>
            <w:tcW w:type="dxa" w:w="1728"/>
          </w:tcPr>
          <w:p>
            <w:r>
              <w:rPr>
                <w:rFonts w:ascii="Calibri" w:hAnsi="Calibri"/>
                <w:color w:val="000000"/>
                <w:sz w:val="24"/>
              </w:rPr>
              <w:t>0.004757</w:t>
            </w:r>
          </w:p>
        </w:tc>
        <w:tc>
          <w:tcPr>
            <w:tcW w:type="dxa" w:w="1728"/>
          </w:tcPr>
          <w:p>
            <w:r>
              <w:rPr>
                <w:rFonts w:ascii="Calibri" w:hAnsi="Calibri"/>
                <w:color w:val="000000"/>
                <w:sz w:val="24"/>
              </w:rPr>
              <w:t>0.000042</w:t>
            </w:r>
          </w:p>
        </w:tc>
        <w:tc>
          <w:tcPr>
            <w:tcW w:type="dxa" w:w="1728"/>
          </w:tcPr>
          <w:p>
            <w:r>
              <w:rPr>
                <w:rFonts w:ascii="Calibri" w:hAnsi="Calibri"/>
                <w:color w:val="000000"/>
                <w:sz w:val="24"/>
              </w:rPr>
              <w:t>0.9799</w:t>
            </w:r>
          </w:p>
        </w:tc>
      </w:tr>
      <w:tr>
        <w:tc>
          <w:tcPr>
            <w:tcW w:type="dxa" w:w="1728"/>
          </w:tcPr>
          <w:p>
            <m:oMath>
              <m:sSub>
                <m:e>
                  <m:r>
                    <m:t>c</m:t>
                  </m:r>
                </m:e>
                <m:sub>
                  <m:r>
                    <m:t>t</m:t>
                  </m:r>
                </m:sub>
              </m:sSub>
            </m:oMath>
          </w:p>
        </w:tc>
        <w:tc>
          <w:tcPr>
            <w:tcW w:type="dxa" w:w="1728"/>
          </w:tcPr>
          <w:p>
            <w:r>
              <w:rPr>
                <w:rFonts w:ascii="Calibri" w:hAnsi="Calibri"/>
                <w:color w:val="000000"/>
                <w:sz w:val="24"/>
              </w:rPr>
              <w:t>9.429001</w:t>
            </w:r>
          </w:p>
        </w:tc>
        <w:tc>
          <w:tcPr>
            <w:tcW w:type="dxa" w:w="1728"/>
          </w:tcPr>
          <w:p>
            <w:r>
              <w:rPr>
                <w:rFonts w:ascii="Calibri" w:hAnsi="Calibri"/>
                <w:color w:val="000000"/>
                <w:sz w:val="24"/>
              </w:rPr>
              <w:t>0.005305</w:t>
            </w:r>
          </w:p>
        </w:tc>
        <w:tc>
          <w:tcPr>
            <w:tcW w:type="dxa" w:w="1728"/>
          </w:tcPr>
          <w:p>
            <w:r>
              <w:rPr>
                <w:rFonts w:ascii="Calibri" w:hAnsi="Calibri"/>
                <w:color w:val="000000"/>
                <w:sz w:val="24"/>
              </w:rPr>
              <w:t>0.000043</w:t>
            </w:r>
          </w:p>
        </w:tc>
        <w:tc>
          <w:tcPr>
            <w:tcW w:type="dxa" w:w="1728"/>
          </w:tcPr>
          <w:p>
            <w:r>
              <w:rPr>
                <w:rFonts w:ascii="Calibri" w:hAnsi="Calibri"/>
                <w:color w:val="000000"/>
                <w:sz w:val="24"/>
              </w:rPr>
              <w:t>0.9834</w:t>
            </w:r>
          </w:p>
        </w:tc>
      </w:tr>
    </w:tbl>
    <w:p/>
    <w:p>
      <w:pPr>
        <w:pStyle w:val="Heading3"/>
      </w:pPr>
      <w:r>
        <w:t>1b) ii))</w:t>
      </w:r>
    </w:p>
    <w:p>
      <w:r>
        <w:rPr>
          <w:rFonts w:ascii="Calibri" w:hAnsi="Calibri"/>
          <w:color w:val="000000"/>
          <w:sz w:val="24"/>
        </w:rPr>
        <w:t>The means of the differenced log levels were also found:</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b/>
                <w:color w:val="000000"/>
                <w:sz w:val="24"/>
              </w:rPr>
              <w:t>Series</w:t>
            </w:r>
          </w:p>
        </w:tc>
        <w:tc>
          <w:tcPr>
            <w:tcW w:type="dxa" w:w="4320"/>
          </w:tcPr>
          <w:p>
            <w:r>
              <w:rPr>
                <w:rFonts w:ascii="Calibri" w:hAnsi="Calibri"/>
                <w:b/>
                <w:color w:val="000000"/>
                <w:sz w:val="24"/>
              </w:rPr>
              <w:t>Mean (</w:t>
            </w:r>
            <m:oMath>
              <m:r>
                <m:t>μ</m:t>
              </m:r>
              <m:r>
                <m:t>̂</m:t>
              </m:r>
            </m:oMath>
            <w:r>
              <w:rPr>
                <w:rFonts w:ascii="Calibri" w:hAnsi="Calibri"/>
                <w:b/>
                <w:color w:val="000000"/>
                <w:sz w:val="24"/>
              </w:rPr>
              <w:t>)</w:t>
            </w:r>
          </w:p>
        </w:tc>
      </w:tr>
      <w:tr>
        <w:tc>
          <w:tcPr>
            <w:tcW w:type="dxa" w:w="4320"/>
          </w:tcPr>
          <w:p>
            <m:oMath>
              <m:r>
                <m:t>Δ</m:t>
              </m:r>
              <m:sSub>
                <m:e>
                  <m:r>
                    <m:t>p</m:t>
                  </m:r>
                </m:e>
                <m:sub>
                  <m:r>
                    <m:t>t</m:t>
                  </m:r>
                </m:sub>
              </m:sSub>
            </m:oMath>
          </w:p>
        </w:tc>
        <w:tc>
          <w:tcPr>
            <w:tcW w:type="dxa" w:w="4320"/>
          </w:tcPr>
          <w:p>
            <w:r>
              <w:rPr>
                <w:rFonts w:ascii="Calibri" w:hAnsi="Calibri"/>
                <w:color w:val="000000"/>
                <w:sz w:val="24"/>
              </w:rPr>
              <w:t>0.009310</w:t>
            </w:r>
          </w:p>
        </w:tc>
      </w:tr>
      <w:tr>
        <w:tc>
          <w:tcPr>
            <w:tcW w:type="dxa" w:w="4320"/>
          </w:tcPr>
          <w:p>
            <m:oMath>
              <m:r>
                <m:t>Δ</m:t>
              </m:r>
              <m:sSub>
                <m:e>
                  <m:r>
                    <m:t>y</m:t>
                  </m:r>
                </m:e>
                <m:sub>
                  <m:r>
                    <m:t>t</m:t>
                  </m:r>
                </m:sub>
              </m:sSub>
            </m:oMath>
          </w:p>
        </w:tc>
        <w:tc>
          <w:tcPr>
            <w:tcW w:type="dxa" w:w="4320"/>
          </w:tcPr>
          <w:p>
            <w:r>
              <w:rPr>
                <w:rFonts w:ascii="Calibri" w:hAnsi="Calibri"/>
                <w:color w:val="000000"/>
                <w:sz w:val="24"/>
              </w:rPr>
              <w:t>0.004919</w:t>
            </w:r>
          </w:p>
        </w:tc>
      </w:tr>
      <w:tr>
        <w:tc>
          <w:tcPr>
            <w:tcW w:type="dxa" w:w="4320"/>
          </w:tcPr>
          <w:p>
            <m:oMath>
              <m:r>
                <m:t>Δ</m:t>
              </m:r>
              <m:sSub>
                <m:e>
                  <m:r>
                    <m:t>c</m:t>
                  </m:r>
                </m:e>
                <m:sub>
                  <m:r>
                    <m:t>t</m:t>
                  </m:r>
                </m:sub>
              </m:sSub>
            </m:oMath>
          </w:p>
        </w:tc>
        <w:tc>
          <w:tcPr>
            <w:tcW w:type="dxa" w:w="4320"/>
          </w:tcPr>
          <w:p>
            <w:r>
              <w:rPr>
                <w:rFonts w:ascii="Calibri" w:hAnsi="Calibri"/>
                <w:color w:val="000000"/>
                <w:sz w:val="24"/>
              </w:rPr>
              <w:t>0.005379</w:t>
            </w:r>
          </w:p>
        </w:tc>
      </w:tr>
    </w:tbl>
    <w:p/>
    <w:p>
      <w:pPr>
        <w:pStyle w:val="Heading3"/>
      </w:pPr>
      <w:r>
        <w:t>1b) iii))</w:t>
      </w:r>
    </w:p>
    <w:p>
      <w:r>
        <w:rPr>
          <w:rFonts w:ascii="Calibri" w:hAnsi="Calibri"/>
          <w:color w:val="000000"/>
          <w:sz w:val="24"/>
        </w:rPr>
        <w:t xml:space="preserve">The rationale of both estimations is to assess the nature of the trend in each log-level series. The trend coefficient </w:t>
      </w:r>
      <m:oMath>
        <m:r>
          <m:t>δ</m:t>
        </m:r>
        <m:r>
          <m:t>̂</m:t>
        </m:r>
      </m:oMath>
      <w:r>
        <w:rPr>
          <w:rFonts w:ascii="Calibri" w:hAnsi="Calibri"/>
          <w:color w:val="000000"/>
          <w:sz w:val="24"/>
        </w:rPr>
        <w:t xml:space="preserve"> represents the average trend growth in the log-level of the sample, based on a fitted linear regression. The mean of the first differences measures the average period-to-period change directly from the data. If the series follows a random walk with drift, these two approaches estimate the same underlying drift parameter and should produce very similar results.</w:t>
      </w:r>
    </w:p>
    <w:p>
      <w:r>
        <w:rPr>
          <w:rFonts w:ascii="Calibri" w:hAnsi="Calibri"/>
          <w:color w:val="000000"/>
          <w:sz w:val="24"/>
        </w:rPr>
        <w:t xml:space="preserve">In this example, </w:t>
      </w:r>
      <m:oMath>
        <m:sSub>
          <m:e>
            <m:r>
              <m:t>y</m:t>
            </m:r>
          </m:e>
          <m:sub>
            <m:r>
              <m:t>t</m:t>
            </m:r>
          </m:sub>
        </m:sSub>
      </m:oMath>
      <w:r>
        <w:rPr>
          <w:rFonts w:ascii="Calibri" w:hAnsi="Calibri"/>
          <w:color w:val="000000"/>
          <w:sz w:val="24"/>
        </w:rPr>
        <w:t xml:space="preserve"> has a trend coefficient of 0.004757 and the mean of </w:t>
      </w:r>
      <m:oMath>
        <m:r>
          <m:t>Δ</m:t>
        </m:r>
        <m:sSub>
          <m:e>
            <m:r>
              <m:t>y</m:t>
            </m:r>
          </m:e>
          <m:sub>
            <m:r>
              <m:t>t</m:t>
            </m:r>
          </m:sub>
        </m:sSub>
      </m:oMath>
      <w:r>
        <w:rPr>
          <w:rFonts w:ascii="Calibri" w:hAnsi="Calibri"/>
          <w:color w:val="000000"/>
          <w:sz w:val="24"/>
        </w:rPr>
        <w:t xml:space="preserve"> is 0.004919, while </w:t>
      </w:r>
      <m:oMath>
        <m:sSub>
          <m:e>
            <m:r>
              <m:t>c</m:t>
            </m:r>
          </m:e>
          <m:sub>
            <m:r>
              <m:t>t</m:t>
            </m:r>
          </m:sub>
        </m:sSub>
      </m:oMath>
      <w:r>
        <w:rPr>
          <w:rFonts w:ascii="Calibri" w:hAnsi="Calibri"/>
          <w:color w:val="000000"/>
          <w:sz w:val="24"/>
        </w:rPr>
        <w:t xml:space="preserve"> was 0.005305 and its mean was 0.005379. These measurements are very similar, indicating that the deterministic trend estimates and the first-difference means are consistent with one another. However, this comparison is not a formal unit-root test, so it does not fully prove whether the trends are stochastic.</w:t>
      </w:r>
    </w:p>
    <w:p>
      <w:r>
        <w:br w:type="page"/>
      </w:r>
    </w:p>
    <w:p>
      <w:pPr>
        <w:pStyle w:val="Heading2"/>
      </w:pPr>
      <w:r>
        <w:t>Question 2</w:t>
      </w:r>
    </w:p>
    <w:p>
      <w:pPr>
        <w:pStyle w:val="Heading3"/>
      </w:pPr>
      <w:r>
        <w:t>2a)</w:t>
      </w:r>
    </w:p>
    <w:p>
      <w:r>
        <w:rPr>
          <w:rFonts w:ascii="Calibri" w:hAnsi="Calibri"/>
          <w:color w:val="000000"/>
          <w:sz w:val="24"/>
        </w:rPr>
        <w:t xml:space="preserve">ARIMA(p,d,q) models were estimated for </w:t>
      </w:r>
      <m:oMath>
        <m:r>
          <m:t>Δ</m:t>
        </m:r>
        <m:sSub>
          <m:e>
            <m:r>
              <m:t>p</m:t>
            </m:r>
          </m:e>
          <m:sub>
            <m:r>
              <m:t>t</m:t>
            </m:r>
          </m:sub>
        </m:sSub>
      </m:oMath>
      <w:r>
        <w:rPr>
          <w:rFonts w:ascii="Calibri" w:hAnsi="Calibri"/>
          <w:color w:val="000000"/>
          <w:sz w:val="24"/>
        </w:rPr>
        <w:t xml:space="preserve"> and </w:t>
      </w:r>
      <m:oMath>
        <m:sSub>
          <m:e>
            <m:r>
              <m:t>r</m:t>
            </m:r>
          </m:e>
          <m:sub>
            <m:r>
              <m:t>t</m:t>
            </m:r>
          </m:sub>
        </m:sSub>
      </m:oMath>
      <w:r>
        <w:rPr>
          <w:rFonts w:ascii="Calibri" w:hAnsi="Calibri"/>
          <w:color w:val="000000"/>
          <w:sz w:val="24"/>
        </w:rPr>
        <w:t xml:space="preserve"> over 1959Q1 to 2023Q4. The search used </w:t>
      </w:r>
      <m:oMath>
        <m:r>
          <m:t>p</m:t>
        </m:r>
        <m:r>
          <m:t>, </m:t>
        </m:r>
        <m:r>
          <m:t>q</m:t>
        </m:r>
        <m:r>
          <m:t> ∈ {0, ..., 10}</m:t>
        </m:r>
      </m:oMath>
      <w:r>
        <w:rPr>
          <w:rFonts w:ascii="Calibri" w:hAnsi="Calibri"/>
          <w:color w:val="000000"/>
          <w:sz w:val="24"/>
        </w:rPr>
        <w:t>, and the models were compared using AIC, BIC and the Ljung-Box test. A model was treated as adequate if the Ljung-Box p-value at lag 8 exceeded 0.05.</w:t>
      </w:r>
    </w:p>
    <w:p>
      <w:r>
        <w:rPr>
          <w:rFonts w:ascii="Calibri" w:hAnsi="Calibri"/>
          <w:color w:val="000000"/>
          <w:sz w:val="24"/>
        </w:rPr>
        <w:t xml:space="preserve">For </w:t>
      </w:r>
      <m:oMath>
        <m:r>
          <m:t>Δ</m:t>
        </m:r>
        <m:sSub>
          <m:e>
            <m:r>
              <m:t>p</m:t>
            </m:r>
          </m:e>
          <m:sub>
            <m:r>
              <m:t>t</m:t>
            </m:r>
          </m:sub>
        </m:sSub>
      </m:oMath>
      <w:r>
        <w:rPr>
          <w:rFonts w:ascii="Calibri" w:hAnsi="Calibri"/>
          <w:color w:val="000000"/>
          <w:sz w:val="24"/>
        </w:rPr>
        <w:t xml:space="preserve">, </w:t>
      </w:r>
      <m:oMath>
        <m:r>
          <m:t>d</m:t>
        </m:r>
        <m:r>
          <m:t> = 0</m:t>
        </m:r>
      </m:oMath>
      <w:r>
        <w:rPr>
          <w:rFonts w:ascii="Calibri" w:hAnsi="Calibri"/>
          <w:color w:val="000000"/>
          <w:sz w:val="24"/>
        </w:rPr>
        <w:t xml:space="preserve"> was used because it is already the first log difference of the price level and appears stationary, fluctuating around a positive mean. A constant was thus included in these models to capture the positive long-run mean.</w:t>
      </w:r>
    </w:p>
    <w:p>
      <w:r>
        <w:rPr>
          <w:rFonts w:ascii="Calibri" w:hAnsi="Calibri"/>
          <w:color w:val="000000"/>
          <w:sz w:val="24"/>
        </w:rPr>
        <w:t>Inflation (</w:t>
      </w:r>
      <m:oMath>
        <m:r>
          <m:t>Δ</m:t>
        </m:r>
        <m:sSub>
          <m:e>
            <m:r>
              <m:t>p</m:t>
            </m:r>
          </m:e>
          <m:sub>
            <m:r>
              <m:t>t</m:t>
            </m:r>
          </m:sub>
        </m:sSub>
      </m:oMath>
      <w:r>
        <w:rPr>
          <w:rFonts w:ascii="Calibri" w:hAnsi="Calibri"/>
          <w:color w:val="000000"/>
          <w:sz w:val="24"/>
        </w:rPr>
        <w:t>): The three best adequate inflation models, ranked by AIC and passing the Ljung-Box screen, are: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rFonts w:ascii="Calibri" w:hAnsi="Calibri"/>
                <w:b/>
                <w:color w:val="000000"/>
                <w:sz w:val="24"/>
              </w:rPr>
              <w:t>Inflation model</w:t>
            </w:r>
          </w:p>
        </w:tc>
        <w:tc>
          <w:tcPr>
            <w:tcW w:type="dxa" w:w="1440"/>
          </w:tcPr>
          <w:p>
            <w:r>
              <w:rPr>
                <w:rFonts w:ascii="Calibri" w:hAnsi="Calibri"/>
                <w:b/>
                <w:color w:val="000000"/>
                <w:sz w:val="24"/>
              </w:rPr>
              <w:t>Constant</w:t>
            </w:r>
          </w:p>
        </w:tc>
        <w:tc>
          <w:tcPr>
            <w:tcW w:type="dxa" w:w="1440"/>
          </w:tcPr>
          <w:p>
            <w:r>
              <w:rPr>
                <w:rFonts w:ascii="Calibri" w:hAnsi="Calibri"/>
                <w:b/>
                <w:color w:val="000000"/>
                <w:sz w:val="24"/>
              </w:rPr>
              <w:t>Trend</w:t>
            </w:r>
          </w:p>
        </w:tc>
        <w:tc>
          <w:tcPr>
            <w:tcW w:type="dxa" w:w="1440"/>
          </w:tcPr>
          <w:p>
            <w:r>
              <w:rPr>
                <w:rFonts w:ascii="Calibri" w:hAnsi="Calibri"/>
                <w:b/>
                <w:color w:val="000000"/>
                <w:sz w:val="24"/>
              </w:rPr>
              <w:t>AIC</w:t>
            </w:r>
          </w:p>
        </w:tc>
        <w:tc>
          <w:tcPr>
            <w:tcW w:type="dxa" w:w="1440"/>
          </w:tcPr>
          <w:p>
            <w:r>
              <w:rPr>
                <w:rFonts w:ascii="Calibri" w:hAnsi="Calibri"/>
                <w:b/>
                <w:color w:val="000000"/>
                <w:sz w:val="24"/>
              </w:rPr>
              <w:t>BIC</w:t>
            </w:r>
          </w:p>
        </w:tc>
        <w:tc>
          <w:tcPr>
            <w:tcW w:type="dxa" w:w="1440"/>
          </w:tcPr>
          <w:p>
            <w:r>
              <w:rPr>
                <w:rFonts w:ascii="Calibri" w:hAnsi="Calibri"/>
                <w:b/>
                <w:color w:val="000000"/>
                <w:sz w:val="24"/>
              </w:rPr>
              <w:t>Ljung-Box p-value (lag 8)</w:t>
            </w:r>
          </w:p>
        </w:tc>
      </w:tr>
      <w:tr>
        <w:tc>
          <w:tcPr>
            <w:tcW w:type="dxa" w:w="1440"/>
          </w:tcPr>
          <w:p>
            <w:r>
              <w:rPr>
                <w:rFonts w:ascii="Calibri" w:hAnsi="Calibri"/>
                <w:color w:val="000000"/>
                <w:sz w:val="24"/>
              </w:rPr>
              <w:t>ARIMA(2,0,10)</w:t>
            </w:r>
          </w:p>
        </w:tc>
        <w:tc>
          <w:tcPr>
            <w:tcW w:type="dxa" w:w="1440"/>
          </w:tcPr>
          <w:p>
            <w:r>
              <w:rPr>
                <w:rFonts w:ascii="Calibri" w:hAnsi="Calibri"/>
                <w:color w:val="000000"/>
                <w:sz w:val="24"/>
              </w:rPr>
              <w:t>Yes</w:t>
            </w:r>
          </w:p>
        </w:tc>
        <w:tc>
          <w:tcPr>
            <w:tcW w:type="dxa" w:w="1440"/>
          </w:tcPr>
          <w:p>
            <w:r>
              <w:rPr>
                <w:rFonts w:ascii="Calibri" w:hAnsi="Calibri"/>
                <w:color w:val="000000"/>
                <w:sz w:val="24"/>
              </w:rPr>
              <w:t>No</w:t>
            </w:r>
          </w:p>
        </w:tc>
        <w:tc>
          <w:tcPr>
            <w:tcW w:type="dxa" w:w="1440"/>
          </w:tcPr>
          <w:p>
            <w:r>
              <w:rPr>
                <w:rFonts w:ascii="Calibri" w:hAnsi="Calibri"/>
                <w:color w:val="000000"/>
                <w:sz w:val="24"/>
              </w:rPr>
              <w:t>−2682.73</w:t>
            </w:r>
          </w:p>
        </w:tc>
        <w:tc>
          <w:tcPr>
            <w:tcW w:type="dxa" w:w="1440"/>
          </w:tcPr>
          <w:p>
            <w:r>
              <w:rPr>
                <w:rFonts w:ascii="Calibri" w:hAnsi="Calibri"/>
                <w:color w:val="000000"/>
                <w:sz w:val="24"/>
              </w:rPr>
              <w:t>−2636.49</w:t>
            </w:r>
          </w:p>
        </w:tc>
        <w:tc>
          <w:tcPr>
            <w:tcW w:type="dxa" w:w="1440"/>
          </w:tcPr>
          <w:p>
            <w:r>
              <w:rPr>
                <w:rFonts w:ascii="Calibri" w:hAnsi="Calibri"/>
                <w:color w:val="000000"/>
                <w:sz w:val="24"/>
              </w:rPr>
              <w:t>0.1078</w:t>
            </w:r>
          </w:p>
        </w:tc>
      </w:tr>
      <w:tr>
        <w:tc>
          <w:tcPr>
            <w:tcW w:type="dxa" w:w="1440"/>
          </w:tcPr>
          <w:p>
            <w:r>
              <w:rPr>
                <w:rFonts w:ascii="Calibri" w:hAnsi="Calibri"/>
                <w:color w:val="000000"/>
                <w:sz w:val="24"/>
              </w:rPr>
              <w:t>ARIMA(4,0,9)</w:t>
            </w:r>
          </w:p>
        </w:tc>
        <w:tc>
          <w:tcPr>
            <w:tcW w:type="dxa" w:w="1440"/>
          </w:tcPr>
          <w:p>
            <w:r>
              <w:rPr>
                <w:rFonts w:ascii="Calibri" w:hAnsi="Calibri"/>
                <w:color w:val="000000"/>
                <w:sz w:val="24"/>
              </w:rPr>
              <w:t>Yes</w:t>
            </w:r>
          </w:p>
        </w:tc>
        <w:tc>
          <w:tcPr>
            <w:tcW w:type="dxa" w:w="1440"/>
          </w:tcPr>
          <w:p>
            <w:r>
              <w:rPr>
                <w:rFonts w:ascii="Calibri" w:hAnsi="Calibri"/>
                <w:color w:val="000000"/>
                <w:sz w:val="24"/>
              </w:rPr>
              <w:t>No</w:t>
            </w:r>
          </w:p>
        </w:tc>
        <w:tc>
          <w:tcPr>
            <w:tcW w:type="dxa" w:w="1440"/>
          </w:tcPr>
          <w:p>
            <w:r>
              <w:rPr>
                <w:rFonts w:ascii="Calibri" w:hAnsi="Calibri"/>
                <w:color w:val="000000"/>
                <w:sz w:val="24"/>
              </w:rPr>
              <w:t>−2681.30</w:t>
            </w:r>
          </w:p>
        </w:tc>
        <w:tc>
          <w:tcPr>
            <w:tcW w:type="dxa" w:w="1440"/>
          </w:tcPr>
          <w:p>
            <w:r>
              <w:rPr>
                <w:rFonts w:ascii="Calibri" w:hAnsi="Calibri"/>
                <w:color w:val="000000"/>
                <w:sz w:val="24"/>
              </w:rPr>
              <w:t>−2631.50</w:t>
            </w:r>
          </w:p>
        </w:tc>
        <w:tc>
          <w:tcPr>
            <w:tcW w:type="dxa" w:w="1440"/>
          </w:tcPr>
          <w:p>
            <w:r>
              <w:rPr>
                <w:rFonts w:ascii="Calibri" w:hAnsi="Calibri"/>
                <w:color w:val="000000"/>
                <w:sz w:val="24"/>
              </w:rPr>
              <w:t>0.1242</w:t>
            </w:r>
          </w:p>
        </w:tc>
      </w:tr>
      <w:tr>
        <w:tc>
          <w:tcPr>
            <w:tcW w:type="dxa" w:w="1440"/>
          </w:tcPr>
          <w:p>
            <w:r>
              <w:rPr>
                <w:rFonts w:ascii="Calibri" w:hAnsi="Calibri"/>
                <w:color w:val="000000"/>
                <w:sz w:val="24"/>
              </w:rPr>
              <w:t>ARIMA(2,0,9)</w:t>
            </w:r>
          </w:p>
        </w:tc>
        <w:tc>
          <w:tcPr>
            <w:tcW w:type="dxa" w:w="1440"/>
          </w:tcPr>
          <w:p>
            <w:r>
              <w:rPr>
                <w:rFonts w:ascii="Calibri" w:hAnsi="Calibri"/>
                <w:color w:val="000000"/>
                <w:sz w:val="24"/>
              </w:rPr>
              <w:t>Yes</w:t>
            </w:r>
          </w:p>
        </w:tc>
        <w:tc>
          <w:tcPr>
            <w:tcW w:type="dxa" w:w="1440"/>
          </w:tcPr>
          <w:p>
            <w:r>
              <w:rPr>
                <w:rFonts w:ascii="Calibri" w:hAnsi="Calibri"/>
                <w:color w:val="000000"/>
                <w:sz w:val="24"/>
              </w:rPr>
              <w:t>No</w:t>
            </w:r>
          </w:p>
        </w:tc>
        <w:tc>
          <w:tcPr>
            <w:tcW w:type="dxa" w:w="1440"/>
          </w:tcPr>
          <w:p>
            <w:r>
              <w:rPr>
                <w:rFonts w:ascii="Calibri" w:hAnsi="Calibri"/>
                <w:color w:val="000000"/>
                <w:sz w:val="24"/>
              </w:rPr>
              <w:t>−2681.69</w:t>
            </w:r>
          </w:p>
        </w:tc>
        <w:tc>
          <w:tcPr>
            <w:tcW w:type="dxa" w:w="1440"/>
          </w:tcPr>
          <w:p>
            <w:r>
              <w:rPr>
                <w:rFonts w:ascii="Calibri" w:hAnsi="Calibri"/>
                <w:color w:val="000000"/>
                <w:sz w:val="24"/>
              </w:rPr>
              <w:t>−2639.00</w:t>
            </w:r>
          </w:p>
        </w:tc>
        <w:tc>
          <w:tcPr>
            <w:tcW w:type="dxa" w:w="1440"/>
          </w:tcPr>
          <w:p>
            <w:r>
              <w:rPr>
                <w:rFonts w:ascii="Calibri" w:hAnsi="Calibri"/>
                <w:color w:val="000000"/>
                <w:sz w:val="24"/>
              </w:rPr>
              <w:t>0.0934</w:t>
            </w:r>
          </w:p>
        </w:tc>
      </w:tr>
    </w:tbl>
    <w:p/>
    <w:p>
      <w:r>
        <w:rPr>
          <w:rFonts w:ascii="Calibri" w:hAnsi="Calibri"/>
          <w:color w:val="000000"/>
          <w:sz w:val="24"/>
        </w:rPr>
        <w:t xml:space="preserve">For </w:t>
      </w:r>
      <m:oMath>
        <m:sSub>
          <m:e>
            <m:r>
              <m:t>r</m:t>
            </m:r>
          </m:e>
          <m:sub>
            <m:r>
              <m:t>t</m:t>
            </m:r>
          </m:sub>
        </m:sSub>
      </m:oMath>
      <w:r>
        <w:rPr>
          <w:rFonts w:ascii="Calibri" w:hAnsi="Calibri"/>
          <w:color w:val="000000"/>
          <w:sz w:val="24"/>
        </w:rPr>
        <w:t xml:space="preserve">, the level series shows slow and persistent behaviour without a clear deterministic trend, so both </w:t>
      </w:r>
      <m:oMath>
        <m:r>
          <m:t>d</m:t>
        </m:r>
        <m:r>
          <m:t> = 0</m:t>
        </m:r>
      </m:oMath>
      <w:r>
        <w:rPr>
          <w:rFonts w:ascii="Calibri" w:hAnsi="Calibri"/>
          <w:color w:val="000000"/>
          <w:sz w:val="24"/>
        </w:rPr>
        <w:t xml:space="preserve"> and </w:t>
      </w:r>
      <m:oMath>
        <m:r>
          <m:t>d</m:t>
        </m:r>
        <m:r>
          <m:t> = 1</m:t>
        </m:r>
      </m:oMath>
      <w:r>
        <w:rPr>
          <w:rFonts w:ascii="Calibri" w:hAnsi="Calibri"/>
          <w:color w:val="000000"/>
          <w:sz w:val="24"/>
        </w:rPr>
        <w:t xml:space="preserve"> models were initially considered. A constant was included when </w:t>
      </w:r>
      <m:oMath>
        <m:r>
          <m:t>d</m:t>
        </m:r>
        <m:r>
          <m:t> = 0</m:t>
        </m:r>
      </m:oMath>
      <w:r>
        <w:rPr>
          <w:rFonts w:ascii="Calibri" w:hAnsi="Calibri"/>
          <w:color w:val="000000"/>
          <w:sz w:val="24"/>
        </w:rPr>
        <w:t xml:space="preserve">, with no deterministic time trend in either case. Given the high persistence but evidence against a genuine unit root (see Question 4c), </w:t>
      </w:r>
      <m:oMath>
        <m:r>
          <m:t>d</m:t>
        </m:r>
        <m:r>
          <m:t> = 0</m:t>
        </m:r>
      </m:oMath>
      <w:r>
        <w:rPr>
          <w:rFonts w:ascii="Calibri" w:hAnsi="Calibri"/>
          <w:color w:val="000000"/>
          <w:sz w:val="24"/>
        </w:rPr>
        <w:t xml:space="preserve"> models with a wide ARMA grid are used.</w:t>
      </w:r>
    </w:p>
    <w:p>
      <w:r>
        <w:rPr>
          <w:rFonts w:ascii="Calibri" w:hAnsi="Calibri"/>
          <w:color w:val="000000"/>
          <w:sz w:val="24"/>
        </w:rPr>
        <w:t>Interest rates (</w:t>
      </w:r>
      <m:oMath>
        <m:sSub>
          <m:e>
            <m:r>
              <m:t>r</m:t>
            </m:r>
          </m:e>
          <m:sub>
            <m:r>
              <m:t>t</m:t>
            </m:r>
          </m:sub>
        </m:sSub>
      </m:oMath>
      <w:r>
        <w:rPr>
          <w:rFonts w:ascii="Calibri" w:hAnsi="Calibri"/>
          <w:color w:val="000000"/>
          <w:sz w:val="24"/>
        </w:rPr>
        <w:t>): The three best adequate models are: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rFonts w:ascii="Calibri" w:hAnsi="Calibri"/>
                <w:b/>
                <w:color w:val="000000"/>
                <w:sz w:val="24"/>
              </w:rPr>
              <w:t>Interest rate model</w:t>
            </w:r>
          </w:p>
        </w:tc>
        <w:tc>
          <w:tcPr>
            <w:tcW w:type="dxa" w:w="1440"/>
          </w:tcPr>
          <w:p>
            <w:r>
              <w:rPr>
                <w:rFonts w:ascii="Calibri" w:hAnsi="Calibri"/>
                <w:b/>
                <w:color w:val="000000"/>
                <w:sz w:val="24"/>
              </w:rPr>
              <w:t>Constant</w:t>
            </w:r>
          </w:p>
        </w:tc>
        <w:tc>
          <w:tcPr>
            <w:tcW w:type="dxa" w:w="1440"/>
          </w:tcPr>
          <w:p>
            <w:r>
              <w:rPr>
                <w:rFonts w:ascii="Calibri" w:hAnsi="Calibri"/>
                <w:b/>
                <w:color w:val="000000"/>
                <w:sz w:val="24"/>
              </w:rPr>
              <w:t>Trend</w:t>
            </w:r>
          </w:p>
        </w:tc>
        <w:tc>
          <w:tcPr>
            <w:tcW w:type="dxa" w:w="1440"/>
          </w:tcPr>
          <w:p>
            <w:r>
              <w:rPr>
                <w:rFonts w:ascii="Calibri" w:hAnsi="Calibri"/>
                <w:b/>
                <w:color w:val="000000"/>
                <w:sz w:val="24"/>
              </w:rPr>
              <w:t>AIC</w:t>
            </w:r>
          </w:p>
        </w:tc>
        <w:tc>
          <w:tcPr>
            <w:tcW w:type="dxa" w:w="1440"/>
          </w:tcPr>
          <w:p>
            <w:r>
              <w:rPr>
                <w:rFonts w:ascii="Calibri" w:hAnsi="Calibri"/>
                <w:b/>
                <w:color w:val="000000"/>
                <w:sz w:val="24"/>
              </w:rPr>
              <w:t>BIC</w:t>
            </w:r>
          </w:p>
        </w:tc>
        <w:tc>
          <w:tcPr>
            <w:tcW w:type="dxa" w:w="1440"/>
          </w:tcPr>
          <w:p>
            <w:r>
              <w:rPr>
                <w:rFonts w:ascii="Calibri" w:hAnsi="Calibri"/>
                <w:b/>
                <w:color w:val="000000"/>
                <w:sz w:val="24"/>
              </w:rPr>
              <w:t>Ljung-Box p-value (lag 8)</w:t>
            </w:r>
          </w:p>
        </w:tc>
      </w:tr>
      <w:tr>
        <w:tc>
          <w:tcPr>
            <w:tcW w:type="dxa" w:w="1440"/>
          </w:tcPr>
          <w:p>
            <w:r>
              <w:rPr>
                <w:rFonts w:ascii="Calibri" w:hAnsi="Calibri"/>
                <w:color w:val="000000"/>
                <w:sz w:val="24"/>
              </w:rPr>
              <w:t>ARIMA(8,0,5)</w:t>
            </w:r>
          </w:p>
        </w:tc>
        <w:tc>
          <w:tcPr>
            <w:tcW w:type="dxa" w:w="1440"/>
          </w:tcPr>
          <w:p>
            <w:r>
              <w:rPr>
                <w:rFonts w:ascii="Calibri" w:hAnsi="Calibri"/>
                <w:color w:val="000000"/>
                <w:sz w:val="24"/>
              </w:rPr>
              <w:t>Yes</w:t>
            </w:r>
          </w:p>
        </w:tc>
        <w:tc>
          <w:tcPr>
            <w:tcW w:type="dxa" w:w="1440"/>
          </w:tcPr>
          <w:p>
            <w:r>
              <w:rPr>
                <w:rFonts w:ascii="Calibri" w:hAnsi="Calibri"/>
                <w:color w:val="000000"/>
                <w:sz w:val="24"/>
              </w:rPr>
              <w:t>No</w:t>
            </w:r>
          </w:p>
        </w:tc>
        <w:tc>
          <w:tcPr>
            <w:tcW w:type="dxa" w:w="1440"/>
          </w:tcPr>
          <w:p>
            <w:r>
              <w:rPr>
                <w:rFonts w:ascii="Calibri" w:hAnsi="Calibri"/>
                <w:color w:val="000000"/>
                <w:sz w:val="24"/>
              </w:rPr>
              <w:t>480.08</w:t>
            </w:r>
          </w:p>
        </w:tc>
        <w:tc>
          <w:tcPr>
            <w:tcW w:type="dxa" w:w="1440"/>
          </w:tcPr>
          <w:p>
            <w:r>
              <w:rPr>
                <w:rFonts w:ascii="Calibri" w:hAnsi="Calibri"/>
                <w:color w:val="000000"/>
                <w:sz w:val="24"/>
              </w:rPr>
              <w:t>529.93</w:t>
            </w:r>
          </w:p>
        </w:tc>
        <w:tc>
          <w:tcPr>
            <w:tcW w:type="dxa" w:w="1440"/>
          </w:tcPr>
          <w:p>
            <w:r>
              <w:rPr>
                <w:rFonts w:ascii="Calibri" w:hAnsi="Calibri"/>
                <w:color w:val="000000"/>
                <w:sz w:val="24"/>
              </w:rPr>
              <w:t>0.6214</w:t>
            </w:r>
          </w:p>
        </w:tc>
      </w:tr>
      <w:tr>
        <w:tc>
          <w:tcPr>
            <w:tcW w:type="dxa" w:w="1440"/>
          </w:tcPr>
          <w:p>
            <w:r>
              <w:rPr>
                <w:rFonts w:ascii="Calibri" w:hAnsi="Calibri"/>
                <w:color w:val="000000"/>
                <w:sz w:val="24"/>
              </w:rPr>
              <w:t>ARIMA(8,0,6)</w:t>
            </w:r>
          </w:p>
        </w:tc>
        <w:tc>
          <w:tcPr>
            <w:tcW w:type="dxa" w:w="1440"/>
          </w:tcPr>
          <w:p>
            <w:r>
              <w:rPr>
                <w:rFonts w:ascii="Calibri" w:hAnsi="Calibri"/>
                <w:color w:val="000000"/>
                <w:sz w:val="24"/>
              </w:rPr>
              <w:t>Yes</w:t>
            </w:r>
          </w:p>
        </w:tc>
        <w:tc>
          <w:tcPr>
            <w:tcW w:type="dxa" w:w="1440"/>
          </w:tcPr>
          <w:p>
            <w:r>
              <w:rPr>
                <w:rFonts w:ascii="Calibri" w:hAnsi="Calibri"/>
                <w:color w:val="000000"/>
                <w:sz w:val="24"/>
              </w:rPr>
              <w:t>No</w:t>
            </w:r>
          </w:p>
        </w:tc>
        <w:tc>
          <w:tcPr>
            <w:tcW w:type="dxa" w:w="1440"/>
          </w:tcPr>
          <w:p>
            <w:r>
              <w:rPr>
                <w:rFonts w:ascii="Calibri" w:hAnsi="Calibri"/>
                <w:color w:val="000000"/>
                <w:sz w:val="24"/>
              </w:rPr>
              <w:t>480.52</w:t>
            </w:r>
          </w:p>
        </w:tc>
        <w:tc>
          <w:tcPr>
            <w:tcW w:type="dxa" w:w="1440"/>
          </w:tcPr>
          <w:p>
            <w:r>
              <w:rPr>
                <w:rFonts w:ascii="Calibri" w:hAnsi="Calibri"/>
                <w:color w:val="000000"/>
                <w:sz w:val="24"/>
              </w:rPr>
              <w:t>533.93</w:t>
            </w:r>
          </w:p>
        </w:tc>
        <w:tc>
          <w:tcPr>
            <w:tcW w:type="dxa" w:w="1440"/>
          </w:tcPr>
          <w:p>
            <w:r>
              <w:rPr>
                <w:rFonts w:ascii="Calibri" w:hAnsi="Calibri"/>
                <w:color w:val="000000"/>
                <w:sz w:val="24"/>
              </w:rPr>
              <w:t>0.6891</w:t>
            </w:r>
          </w:p>
        </w:tc>
      </w:tr>
      <w:tr>
        <w:tc>
          <w:tcPr>
            <w:tcW w:type="dxa" w:w="1440"/>
          </w:tcPr>
          <w:p>
            <w:r>
              <w:rPr>
                <w:rFonts w:ascii="Calibri" w:hAnsi="Calibri"/>
                <w:color w:val="000000"/>
                <w:sz w:val="24"/>
              </w:rPr>
              <w:t>ARIMA(8,0,2)</w:t>
            </w:r>
          </w:p>
        </w:tc>
        <w:tc>
          <w:tcPr>
            <w:tcW w:type="dxa" w:w="1440"/>
          </w:tcPr>
          <w:p>
            <w:r>
              <w:rPr>
                <w:rFonts w:ascii="Calibri" w:hAnsi="Calibri"/>
                <w:color w:val="000000"/>
                <w:sz w:val="24"/>
              </w:rPr>
              <w:t>Yes</w:t>
            </w:r>
          </w:p>
        </w:tc>
        <w:tc>
          <w:tcPr>
            <w:tcW w:type="dxa" w:w="1440"/>
          </w:tcPr>
          <w:p>
            <w:r>
              <w:rPr>
                <w:rFonts w:ascii="Calibri" w:hAnsi="Calibri"/>
                <w:color w:val="000000"/>
                <w:sz w:val="24"/>
              </w:rPr>
              <w:t>No</w:t>
            </w:r>
          </w:p>
        </w:tc>
        <w:tc>
          <w:tcPr>
            <w:tcW w:type="dxa" w:w="1440"/>
          </w:tcPr>
          <w:p>
            <w:r>
              <w:rPr>
                <w:rFonts w:ascii="Calibri" w:hAnsi="Calibri"/>
                <w:color w:val="000000"/>
                <w:sz w:val="24"/>
              </w:rPr>
              <w:t>481.07</w:t>
            </w:r>
          </w:p>
        </w:tc>
        <w:tc>
          <w:tcPr>
            <w:tcW w:type="dxa" w:w="1440"/>
          </w:tcPr>
          <w:p>
            <w:r>
              <w:rPr>
                <w:rFonts w:ascii="Calibri" w:hAnsi="Calibri"/>
                <w:color w:val="000000"/>
                <w:sz w:val="24"/>
              </w:rPr>
              <w:t>520.24</w:t>
            </w:r>
          </w:p>
        </w:tc>
        <w:tc>
          <w:tcPr>
            <w:tcW w:type="dxa" w:w="1440"/>
          </w:tcPr>
          <w:p>
            <w:r>
              <w:rPr>
                <w:rFonts w:ascii="Calibri" w:hAnsi="Calibri"/>
                <w:color w:val="000000"/>
                <w:sz w:val="24"/>
              </w:rPr>
              <w:t>0.7531</w:t>
            </w:r>
          </w:p>
        </w:tc>
      </w:tr>
    </w:tbl>
    <w:p/>
    <w:p>
      <w:pPr>
        <w:pStyle w:val="Heading3"/>
      </w:pPr>
      <w:r>
        <w:t>2b)</w:t>
      </w:r>
    </w:p>
    <w:p>
      <w:pPr>
        <w:jc w:val="center"/>
      </w:pPr>
      <w:r>
        <w:drawing>
          <wp:inline xmlns:a="http://schemas.openxmlformats.org/drawingml/2006/main" xmlns:pic="http://schemas.openxmlformats.org/drawingml/2006/picture">
            <wp:extent cx="5852160" cy="2340864"/>
            <wp:docPr id="3" name="Picture 3"/>
            <wp:cNvGraphicFramePr>
              <a:graphicFrameLocks noChangeAspect="1"/>
            </wp:cNvGraphicFramePr>
            <a:graphic>
              <a:graphicData uri="http://schemas.openxmlformats.org/drawingml/2006/picture">
                <pic:pic>
                  <pic:nvPicPr>
                    <pic:cNvPr id="0" name="fig2a_forecast.png"/>
                    <pic:cNvPicPr/>
                  </pic:nvPicPr>
                  <pic:blipFill>
                    <a:blip r:embed="rId11"/>
                    <a:stretch>
                      <a:fillRect/>
                    </a:stretch>
                  </pic:blipFill>
                  <pic:spPr>
                    <a:xfrm>
                      <a:off x="0" y="0"/>
                      <a:ext cx="5852160" cy="2340864"/>
                    </a:xfrm>
                    <a:prstGeom prst="rect"/>
                  </pic:spPr>
                </pic:pic>
              </a:graphicData>
            </a:graphic>
          </wp:inline>
        </w:drawing>
      </w:r>
    </w:p>
    <w:p>
      <w:pPr>
        <w:jc w:val="center"/>
      </w:pPr>
      <w:r>
        <w:rPr>
          <w:rFonts w:ascii="Calibri" w:hAnsi="Calibri"/>
          <w:color w:val="000000"/>
          <w:sz w:val="24"/>
        </w:rPr>
        <w:t>Figure 3: Inflation forecasts from ARIMA models with 68 percent and 95 percent confidence intervals (2024Q1 to 2025Q3)</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rFonts w:ascii="Calibri" w:hAnsi="Calibri"/>
                <w:b/>
                <w:color w:val="000000"/>
                <w:sz w:val="24"/>
              </w:rPr>
              <w:t>Quarter</w:t>
            </w:r>
          </w:p>
        </w:tc>
        <w:tc>
          <w:tcPr>
            <w:tcW w:type="dxa" w:w="1080"/>
          </w:tcPr>
          <w:p>
            <w:r>
              <w:rPr>
                <w:rFonts w:ascii="Calibri" w:hAnsi="Calibri"/>
                <w:b/>
                <w:color w:val="000000"/>
                <w:sz w:val="24"/>
              </w:rPr>
              <w:t>ARIMA(2,0,10)</w:t>
            </w:r>
          </w:p>
        </w:tc>
        <w:tc>
          <w:tcPr>
            <w:tcW w:type="dxa" w:w="1080"/>
          </w:tcPr>
          <w:p>
            <w:r>
              <w:rPr>
                <w:rFonts w:ascii="Calibri" w:hAnsi="Calibri"/>
                <w:b/>
                <w:color w:val="000000"/>
                <w:sz w:val="24"/>
              </w:rPr>
              <w:t>ARIMA(4,0,9)</w:t>
            </w:r>
          </w:p>
        </w:tc>
        <w:tc>
          <w:tcPr>
            <w:tcW w:type="dxa" w:w="1080"/>
          </w:tcPr>
          <w:p>
            <w:r>
              <w:rPr>
                <w:rFonts w:ascii="Calibri" w:hAnsi="Calibri"/>
                <w:b/>
                <w:color w:val="000000"/>
                <w:sz w:val="24"/>
              </w:rPr>
              <w:t>ARIMA(2,0,9)</w:t>
            </w:r>
          </w:p>
        </w:tc>
        <w:tc>
          <w:tcPr>
            <w:tcW w:type="dxa" w:w="1080"/>
          </w:tcPr>
          <w:p>
            <w:r>
              <w:rPr>
                <w:rFonts w:ascii="Calibri" w:hAnsi="Calibri"/>
                <w:b/>
                <w:color w:val="000000"/>
                <w:sz w:val="24"/>
              </w:rPr>
              <w:t>68% CI Lower</w:t>
            </w:r>
          </w:p>
        </w:tc>
        <w:tc>
          <w:tcPr>
            <w:tcW w:type="dxa" w:w="1080"/>
          </w:tcPr>
          <w:p>
            <w:r>
              <w:rPr>
                <w:rFonts w:ascii="Calibri" w:hAnsi="Calibri"/>
                <w:b/>
                <w:color w:val="000000"/>
                <w:sz w:val="24"/>
              </w:rPr>
              <w:t>68% CI Upper</w:t>
            </w:r>
          </w:p>
        </w:tc>
        <w:tc>
          <w:tcPr>
            <w:tcW w:type="dxa" w:w="1080"/>
          </w:tcPr>
          <w:p>
            <w:r>
              <w:rPr>
                <w:rFonts w:ascii="Calibri" w:hAnsi="Calibri"/>
                <w:b/>
                <w:color w:val="000000"/>
                <w:sz w:val="24"/>
              </w:rPr>
              <w:t>95% CI Lower</w:t>
            </w:r>
          </w:p>
        </w:tc>
        <w:tc>
          <w:tcPr>
            <w:tcW w:type="dxa" w:w="1080"/>
          </w:tcPr>
          <w:p>
            <w:r>
              <w:rPr>
                <w:rFonts w:ascii="Calibri" w:hAnsi="Calibri"/>
                <w:b/>
                <w:color w:val="000000"/>
                <w:sz w:val="24"/>
              </w:rPr>
              <w:t>95% CI Upper</w:t>
            </w:r>
          </w:p>
        </w:tc>
      </w:tr>
      <w:tr>
        <w:tc>
          <w:tcPr>
            <w:tcW w:type="dxa" w:w="1080"/>
          </w:tcPr>
          <w:p>
            <w:r>
              <w:rPr>
                <w:rFonts w:ascii="Calibri" w:hAnsi="Calibri"/>
                <w:color w:val="000000"/>
                <w:sz w:val="24"/>
              </w:rPr>
              <w:t>2024Q1</w:t>
            </w:r>
          </w:p>
        </w:tc>
        <w:tc>
          <w:tcPr>
            <w:tcW w:type="dxa" w:w="1080"/>
          </w:tcPr>
          <w:p>
            <w:r>
              <w:rPr>
                <w:rFonts w:ascii="Calibri" w:hAnsi="Calibri"/>
                <w:color w:val="000000"/>
                <w:sz w:val="24"/>
              </w:rPr>
              <w:t>0.007980</w:t>
            </w:r>
          </w:p>
        </w:tc>
        <w:tc>
          <w:tcPr>
            <w:tcW w:type="dxa" w:w="1080"/>
          </w:tcPr>
          <w:p>
            <w:r>
              <w:rPr>
                <w:rFonts w:ascii="Calibri" w:hAnsi="Calibri"/>
                <w:color w:val="000000"/>
                <w:sz w:val="24"/>
              </w:rPr>
              <w:t>0.008010</w:t>
            </w:r>
          </w:p>
        </w:tc>
        <w:tc>
          <w:tcPr>
            <w:tcW w:type="dxa" w:w="1080"/>
          </w:tcPr>
          <w:p>
            <w:r>
              <w:rPr>
                <w:rFonts w:ascii="Calibri" w:hAnsi="Calibri"/>
                <w:color w:val="000000"/>
                <w:sz w:val="24"/>
              </w:rPr>
              <w:t>0.008080</w:t>
            </w:r>
          </w:p>
        </w:tc>
        <w:tc>
          <w:tcPr>
            <w:tcW w:type="dxa" w:w="1080"/>
          </w:tcPr>
          <w:p>
            <w:r>
              <w:rPr>
                <w:rFonts w:ascii="Calibri" w:hAnsi="Calibri"/>
                <w:color w:val="000000"/>
                <w:sz w:val="24"/>
              </w:rPr>
              <w:t>0.006689</w:t>
            </w:r>
          </w:p>
        </w:tc>
        <w:tc>
          <w:tcPr>
            <w:tcW w:type="dxa" w:w="1080"/>
          </w:tcPr>
          <w:p>
            <w:r>
              <w:rPr>
                <w:rFonts w:ascii="Calibri" w:hAnsi="Calibri"/>
                <w:color w:val="000000"/>
                <w:sz w:val="24"/>
              </w:rPr>
              <w:t>0.009271</w:t>
            </w:r>
          </w:p>
        </w:tc>
        <w:tc>
          <w:tcPr>
            <w:tcW w:type="dxa" w:w="1080"/>
          </w:tcPr>
          <w:p>
            <w:r>
              <w:rPr>
                <w:rFonts w:ascii="Calibri" w:hAnsi="Calibri"/>
                <w:color w:val="000000"/>
                <w:sz w:val="24"/>
              </w:rPr>
              <w:t>0.005450</w:t>
            </w:r>
          </w:p>
        </w:tc>
        <w:tc>
          <w:tcPr>
            <w:tcW w:type="dxa" w:w="1080"/>
          </w:tcPr>
          <w:p>
            <w:r>
              <w:rPr>
                <w:rFonts w:ascii="Calibri" w:hAnsi="Calibri"/>
                <w:color w:val="000000"/>
                <w:sz w:val="24"/>
              </w:rPr>
              <w:t>0.010510</w:t>
            </w:r>
          </w:p>
        </w:tc>
      </w:tr>
      <w:tr>
        <w:tc>
          <w:tcPr>
            <w:tcW w:type="dxa" w:w="1080"/>
          </w:tcPr>
          <w:p>
            <w:r>
              <w:rPr>
                <w:rFonts w:ascii="Calibri" w:hAnsi="Calibri"/>
                <w:color w:val="000000"/>
                <w:sz w:val="24"/>
              </w:rPr>
              <w:t>2024Q2</w:t>
            </w:r>
          </w:p>
        </w:tc>
        <w:tc>
          <w:tcPr>
            <w:tcW w:type="dxa" w:w="1080"/>
          </w:tcPr>
          <w:p>
            <w:r>
              <w:rPr>
                <w:rFonts w:ascii="Calibri" w:hAnsi="Calibri"/>
                <w:color w:val="000000"/>
                <w:sz w:val="24"/>
              </w:rPr>
              <w:t>0.006830</w:t>
            </w:r>
          </w:p>
        </w:tc>
        <w:tc>
          <w:tcPr>
            <w:tcW w:type="dxa" w:w="1080"/>
          </w:tcPr>
          <w:p>
            <w:r>
              <w:rPr>
                <w:rFonts w:ascii="Calibri" w:hAnsi="Calibri"/>
                <w:color w:val="000000"/>
                <w:sz w:val="24"/>
              </w:rPr>
              <w:t>0.006820</w:t>
            </w:r>
          </w:p>
        </w:tc>
        <w:tc>
          <w:tcPr>
            <w:tcW w:type="dxa" w:w="1080"/>
          </w:tcPr>
          <w:p>
            <w:r>
              <w:rPr>
                <w:rFonts w:ascii="Calibri" w:hAnsi="Calibri"/>
                <w:color w:val="000000"/>
                <w:sz w:val="24"/>
              </w:rPr>
              <w:t>0.007220</w:t>
            </w:r>
          </w:p>
        </w:tc>
        <w:tc>
          <w:tcPr>
            <w:tcW w:type="dxa" w:w="1080"/>
          </w:tcPr>
          <w:p>
            <w:r>
              <w:rPr>
                <w:rFonts w:ascii="Calibri" w:hAnsi="Calibri"/>
                <w:color w:val="000000"/>
                <w:sz w:val="24"/>
              </w:rPr>
              <w:t>0.004490</w:t>
            </w:r>
          </w:p>
        </w:tc>
        <w:tc>
          <w:tcPr>
            <w:tcW w:type="dxa" w:w="1080"/>
          </w:tcPr>
          <w:p>
            <w:r>
              <w:rPr>
                <w:rFonts w:ascii="Calibri" w:hAnsi="Calibri"/>
                <w:color w:val="000000"/>
                <w:sz w:val="24"/>
              </w:rPr>
              <w:t>0.009170</w:t>
            </w:r>
          </w:p>
        </w:tc>
        <w:tc>
          <w:tcPr>
            <w:tcW w:type="dxa" w:w="1080"/>
          </w:tcPr>
          <w:p>
            <w:r>
              <w:rPr>
                <w:rFonts w:ascii="Calibri" w:hAnsi="Calibri"/>
                <w:color w:val="000000"/>
                <w:sz w:val="24"/>
              </w:rPr>
              <w:t>0.002240</w:t>
            </w:r>
          </w:p>
        </w:tc>
        <w:tc>
          <w:tcPr>
            <w:tcW w:type="dxa" w:w="1080"/>
          </w:tcPr>
          <w:p>
            <w:r>
              <w:rPr>
                <w:rFonts w:ascii="Calibri" w:hAnsi="Calibri"/>
                <w:color w:val="000000"/>
                <w:sz w:val="24"/>
              </w:rPr>
              <w:t>0.011410</w:t>
            </w:r>
          </w:p>
        </w:tc>
      </w:tr>
      <w:tr>
        <w:tc>
          <w:tcPr>
            <w:tcW w:type="dxa" w:w="1080"/>
          </w:tcPr>
          <w:p>
            <w:r>
              <w:rPr>
                <w:rFonts w:ascii="Calibri" w:hAnsi="Calibri"/>
                <w:color w:val="000000"/>
                <w:sz w:val="24"/>
              </w:rPr>
              <w:t>2024Q3</w:t>
            </w:r>
          </w:p>
        </w:tc>
        <w:tc>
          <w:tcPr>
            <w:tcW w:type="dxa" w:w="1080"/>
          </w:tcPr>
          <w:p>
            <w:r>
              <w:rPr>
                <w:rFonts w:ascii="Calibri" w:hAnsi="Calibri"/>
                <w:color w:val="000000"/>
                <w:sz w:val="24"/>
              </w:rPr>
              <w:t>0.006560</w:t>
            </w:r>
          </w:p>
        </w:tc>
        <w:tc>
          <w:tcPr>
            <w:tcW w:type="dxa" w:w="1080"/>
          </w:tcPr>
          <w:p>
            <w:r>
              <w:rPr>
                <w:rFonts w:ascii="Calibri" w:hAnsi="Calibri"/>
                <w:color w:val="000000"/>
                <w:sz w:val="24"/>
              </w:rPr>
              <w:t>0.006670</w:t>
            </w:r>
          </w:p>
        </w:tc>
        <w:tc>
          <w:tcPr>
            <w:tcW w:type="dxa" w:w="1080"/>
          </w:tcPr>
          <w:p>
            <w:r>
              <w:rPr>
                <w:rFonts w:ascii="Calibri" w:hAnsi="Calibri"/>
                <w:color w:val="000000"/>
                <w:sz w:val="24"/>
              </w:rPr>
              <w:t>0.007180</w:t>
            </w:r>
          </w:p>
        </w:tc>
        <w:tc>
          <w:tcPr>
            <w:tcW w:type="dxa" w:w="1080"/>
          </w:tcPr>
          <w:p>
            <w:r>
              <w:rPr>
                <w:rFonts w:ascii="Calibri" w:hAnsi="Calibri"/>
                <w:color w:val="000000"/>
                <w:sz w:val="24"/>
              </w:rPr>
              <w:t>0.003213</w:t>
            </w:r>
          </w:p>
        </w:tc>
        <w:tc>
          <w:tcPr>
            <w:tcW w:type="dxa" w:w="1080"/>
          </w:tcPr>
          <w:p>
            <w:r>
              <w:rPr>
                <w:rFonts w:ascii="Calibri" w:hAnsi="Calibri"/>
                <w:color w:val="000000"/>
                <w:sz w:val="24"/>
              </w:rPr>
              <w:t>0.009907</w:t>
            </w:r>
          </w:p>
        </w:tc>
        <w:tc>
          <w:tcPr>
            <w:tcW w:type="dxa" w:w="1080"/>
          </w:tcPr>
          <w:p>
            <w:r>
              <w:rPr>
                <w:rFonts w:ascii="Calibri" w:hAnsi="Calibri"/>
                <w:color w:val="000000"/>
                <w:sz w:val="24"/>
              </w:rPr>
              <w:t>0.000000</w:t>
            </w:r>
          </w:p>
        </w:tc>
        <w:tc>
          <w:tcPr>
            <w:tcW w:type="dxa" w:w="1080"/>
          </w:tcPr>
          <w:p>
            <w:r>
              <w:rPr>
                <w:rFonts w:ascii="Calibri" w:hAnsi="Calibri"/>
                <w:color w:val="000000"/>
                <w:sz w:val="24"/>
              </w:rPr>
              <w:t>0.013120</w:t>
            </w:r>
          </w:p>
        </w:tc>
      </w:tr>
      <w:tr>
        <w:tc>
          <w:tcPr>
            <w:tcW w:type="dxa" w:w="1080"/>
          </w:tcPr>
          <w:p>
            <w:r>
              <w:rPr>
                <w:rFonts w:ascii="Calibri" w:hAnsi="Calibri"/>
                <w:color w:val="000000"/>
                <w:sz w:val="24"/>
              </w:rPr>
              <w:t>2024Q4</w:t>
            </w:r>
          </w:p>
        </w:tc>
        <w:tc>
          <w:tcPr>
            <w:tcW w:type="dxa" w:w="1080"/>
          </w:tcPr>
          <w:p>
            <w:r>
              <w:rPr>
                <w:rFonts w:ascii="Calibri" w:hAnsi="Calibri"/>
                <w:color w:val="000000"/>
                <w:sz w:val="24"/>
              </w:rPr>
              <w:t>0.005810</w:t>
            </w:r>
          </w:p>
        </w:tc>
        <w:tc>
          <w:tcPr>
            <w:tcW w:type="dxa" w:w="1080"/>
          </w:tcPr>
          <w:p>
            <w:r>
              <w:rPr>
                <w:rFonts w:ascii="Calibri" w:hAnsi="Calibri"/>
                <w:color w:val="000000"/>
                <w:sz w:val="24"/>
              </w:rPr>
              <w:t>0.005940</w:t>
            </w:r>
          </w:p>
        </w:tc>
        <w:tc>
          <w:tcPr>
            <w:tcW w:type="dxa" w:w="1080"/>
          </w:tcPr>
          <w:p>
            <w:r>
              <w:rPr>
                <w:rFonts w:ascii="Calibri" w:hAnsi="Calibri"/>
                <w:color w:val="000000"/>
                <w:sz w:val="24"/>
              </w:rPr>
              <w:t>0.006230</w:t>
            </w:r>
          </w:p>
        </w:tc>
        <w:tc>
          <w:tcPr>
            <w:tcW w:type="dxa" w:w="1080"/>
          </w:tcPr>
          <w:p>
            <w:r>
              <w:rPr>
                <w:rFonts w:ascii="Calibri" w:hAnsi="Calibri"/>
                <w:color w:val="000000"/>
                <w:sz w:val="24"/>
              </w:rPr>
              <w:t>0.001295</w:t>
            </w:r>
          </w:p>
        </w:tc>
        <w:tc>
          <w:tcPr>
            <w:tcW w:type="dxa" w:w="1080"/>
          </w:tcPr>
          <w:p>
            <w:r>
              <w:rPr>
                <w:rFonts w:ascii="Calibri" w:hAnsi="Calibri"/>
                <w:color w:val="000000"/>
                <w:sz w:val="24"/>
              </w:rPr>
              <w:t>0.010325</w:t>
            </w:r>
          </w:p>
        </w:tc>
        <w:tc>
          <w:tcPr>
            <w:tcW w:type="dxa" w:w="1080"/>
          </w:tcPr>
          <w:p>
            <w:r>
              <w:rPr>
                <w:rFonts w:ascii="Calibri" w:hAnsi="Calibri"/>
                <w:color w:val="000000"/>
                <w:sz w:val="24"/>
              </w:rPr>
              <w:t>−0.003040</w:t>
            </w:r>
          </w:p>
        </w:tc>
        <w:tc>
          <w:tcPr>
            <w:tcW w:type="dxa" w:w="1080"/>
          </w:tcPr>
          <w:p>
            <w:r>
              <w:rPr>
                <w:rFonts w:ascii="Calibri" w:hAnsi="Calibri"/>
                <w:color w:val="000000"/>
                <w:sz w:val="24"/>
              </w:rPr>
              <w:t>0.014660</w:t>
            </w:r>
          </w:p>
        </w:tc>
      </w:tr>
      <w:tr>
        <w:tc>
          <w:tcPr>
            <w:tcW w:type="dxa" w:w="1080"/>
          </w:tcPr>
          <w:p>
            <w:r>
              <w:rPr>
                <w:rFonts w:ascii="Calibri" w:hAnsi="Calibri"/>
                <w:color w:val="000000"/>
                <w:sz w:val="24"/>
              </w:rPr>
              <w:t>2025Q1</w:t>
            </w:r>
          </w:p>
        </w:tc>
        <w:tc>
          <w:tcPr>
            <w:tcW w:type="dxa" w:w="1080"/>
          </w:tcPr>
          <w:p>
            <w:r>
              <w:rPr>
                <w:rFonts w:ascii="Calibri" w:hAnsi="Calibri"/>
                <w:color w:val="000000"/>
                <w:sz w:val="24"/>
              </w:rPr>
              <w:t>0.006040</w:t>
            </w:r>
          </w:p>
        </w:tc>
        <w:tc>
          <w:tcPr>
            <w:tcW w:type="dxa" w:w="1080"/>
          </w:tcPr>
          <w:p>
            <w:r>
              <w:rPr>
                <w:rFonts w:ascii="Calibri" w:hAnsi="Calibri"/>
                <w:color w:val="000000"/>
                <w:sz w:val="24"/>
              </w:rPr>
              <w:t>0.006500</w:t>
            </w:r>
          </w:p>
        </w:tc>
        <w:tc>
          <w:tcPr>
            <w:tcW w:type="dxa" w:w="1080"/>
          </w:tcPr>
          <w:p>
            <w:r>
              <w:rPr>
                <w:rFonts w:ascii="Calibri" w:hAnsi="Calibri"/>
                <w:color w:val="000000"/>
                <w:sz w:val="24"/>
              </w:rPr>
              <w:t>0.006550</w:t>
            </w:r>
          </w:p>
        </w:tc>
        <w:tc>
          <w:tcPr>
            <w:tcW w:type="dxa" w:w="1080"/>
          </w:tcPr>
          <w:p>
            <w:r>
              <w:rPr>
                <w:rFonts w:ascii="Calibri" w:hAnsi="Calibri"/>
                <w:color w:val="000000"/>
                <w:sz w:val="24"/>
              </w:rPr>
              <w:t>0.001012</w:t>
            </w:r>
          </w:p>
        </w:tc>
        <w:tc>
          <w:tcPr>
            <w:tcW w:type="dxa" w:w="1080"/>
          </w:tcPr>
          <w:p>
            <w:r>
              <w:rPr>
                <w:rFonts w:ascii="Calibri" w:hAnsi="Calibri"/>
                <w:color w:val="000000"/>
                <w:sz w:val="24"/>
              </w:rPr>
              <w:t>0.011068</w:t>
            </w:r>
          </w:p>
        </w:tc>
        <w:tc>
          <w:tcPr>
            <w:tcW w:type="dxa" w:w="1080"/>
          </w:tcPr>
          <w:p>
            <w:r>
              <w:rPr>
                <w:rFonts w:ascii="Calibri" w:hAnsi="Calibri"/>
                <w:color w:val="000000"/>
                <w:sz w:val="24"/>
              </w:rPr>
              <w:t>−0.003810</w:t>
            </w:r>
          </w:p>
        </w:tc>
        <w:tc>
          <w:tcPr>
            <w:tcW w:type="dxa" w:w="1080"/>
          </w:tcPr>
          <w:p>
            <w:r>
              <w:rPr>
                <w:rFonts w:ascii="Calibri" w:hAnsi="Calibri"/>
                <w:color w:val="000000"/>
                <w:sz w:val="24"/>
              </w:rPr>
              <w:t>0.015890</w:t>
            </w:r>
          </w:p>
        </w:tc>
      </w:tr>
      <w:tr>
        <w:tc>
          <w:tcPr>
            <w:tcW w:type="dxa" w:w="1080"/>
          </w:tcPr>
          <w:p>
            <w:r>
              <w:rPr>
                <w:rFonts w:ascii="Calibri" w:hAnsi="Calibri"/>
                <w:color w:val="000000"/>
                <w:sz w:val="24"/>
              </w:rPr>
              <w:t>2025Q2</w:t>
            </w:r>
          </w:p>
        </w:tc>
        <w:tc>
          <w:tcPr>
            <w:tcW w:type="dxa" w:w="1080"/>
          </w:tcPr>
          <w:p>
            <w:r>
              <w:rPr>
                <w:rFonts w:ascii="Calibri" w:hAnsi="Calibri"/>
                <w:color w:val="000000"/>
                <w:sz w:val="24"/>
              </w:rPr>
              <w:t>0.006890</w:t>
            </w:r>
          </w:p>
        </w:tc>
        <w:tc>
          <w:tcPr>
            <w:tcW w:type="dxa" w:w="1080"/>
          </w:tcPr>
          <w:p>
            <w:r>
              <w:rPr>
                <w:rFonts w:ascii="Calibri" w:hAnsi="Calibri"/>
                <w:color w:val="000000"/>
                <w:sz w:val="24"/>
              </w:rPr>
              <w:t>0.007410</w:t>
            </w:r>
          </w:p>
        </w:tc>
        <w:tc>
          <w:tcPr>
            <w:tcW w:type="dxa" w:w="1080"/>
          </w:tcPr>
          <w:p>
            <w:r>
              <w:rPr>
                <w:rFonts w:ascii="Calibri" w:hAnsi="Calibri"/>
                <w:color w:val="000000"/>
                <w:sz w:val="24"/>
              </w:rPr>
              <w:t>0.006820</w:t>
            </w:r>
          </w:p>
        </w:tc>
        <w:tc>
          <w:tcPr>
            <w:tcW w:type="dxa" w:w="1080"/>
          </w:tcPr>
          <w:p>
            <w:r>
              <w:rPr>
                <w:rFonts w:ascii="Calibri" w:hAnsi="Calibri"/>
                <w:color w:val="000000"/>
                <w:sz w:val="24"/>
              </w:rPr>
              <w:t>0.001446</w:t>
            </w:r>
          </w:p>
        </w:tc>
        <w:tc>
          <w:tcPr>
            <w:tcW w:type="dxa" w:w="1080"/>
          </w:tcPr>
          <w:p>
            <w:r>
              <w:rPr>
                <w:rFonts w:ascii="Calibri" w:hAnsi="Calibri"/>
                <w:color w:val="000000"/>
                <w:sz w:val="24"/>
              </w:rPr>
              <w:t>0.012334</w:t>
            </w:r>
          </w:p>
        </w:tc>
        <w:tc>
          <w:tcPr>
            <w:tcW w:type="dxa" w:w="1080"/>
          </w:tcPr>
          <w:p>
            <w:r>
              <w:rPr>
                <w:rFonts w:ascii="Calibri" w:hAnsi="Calibri"/>
                <w:color w:val="000000"/>
                <w:sz w:val="24"/>
              </w:rPr>
              <w:t>−0.003780</w:t>
            </w:r>
          </w:p>
        </w:tc>
        <w:tc>
          <w:tcPr>
            <w:tcW w:type="dxa" w:w="1080"/>
          </w:tcPr>
          <w:p>
            <w:r>
              <w:rPr>
                <w:rFonts w:ascii="Calibri" w:hAnsi="Calibri"/>
                <w:color w:val="000000"/>
                <w:sz w:val="24"/>
              </w:rPr>
              <w:t>0.017560</w:t>
            </w:r>
          </w:p>
        </w:tc>
      </w:tr>
      <w:tr>
        <w:tc>
          <w:tcPr>
            <w:tcW w:type="dxa" w:w="1080"/>
          </w:tcPr>
          <w:p>
            <w:r>
              <w:rPr>
                <w:rFonts w:ascii="Calibri" w:hAnsi="Calibri"/>
                <w:color w:val="000000"/>
                <w:sz w:val="24"/>
              </w:rPr>
              <w:t>2025Q3</w:t>
            </w:r>
          </w:p>
        </w:tc>
        <w:tc>
          <w:tcPr>
            <w:tcW w:type="dxa" w:w="1080"/>
          </w:tcPr>
          <w:p>
            <w:r>
              <w:rPr>
                <w:rFonts w:ascii="Calibri" w:hAnsi="Calibri"/>
                <w:color w:val="000000"/>
                <w:sz w:val="24"/>
              </w:rPr>
              <w:t>0.007370</w:t>
            </w:r>
          </w:p>
        </w:tc>
        <w:tc>
          <w:tcPr>
            <w:tcW w:type="dxa" w:w="1080"/>
          </w:tcPr>
          <w:p>
            <w:r>
              <w:rPr>
                <w:rFonts w:ascii="Calibri" w:hAnsi="Calibri"/>
                <w:color w:val="000000"/>
                <w:sz w:val="24"/>
              </w:rPr>
              <w:t>0.008070</w:t>
            </w:r>
          </w:p>
        </w:tc>
        <w:tc>
          <w:tcPr>
            <w:tcW w:type="dxa" w:w="1080"/>
          </w:tcPr>
          <w:p>
            <w:r>
              <w:rPr>
                <w:rFonts w:ascii="Calibri" w:hAnsi="Calibri"/>
                <w:color w:val="000000"/>
                <w:sz w:val="24"/>
              </w:rPr>
              <w:t>0.007110</w:t>
            </w:r>
          </w:p>
        </w:tc>
        <w:tc>
          <w:tcPr>
            <w:tcW w:type="dxa" w:w="1080"/>
          </w:tcPr>
          <w:p>
            <w:r>
              <w:rPr>
                <w:rFonts w:ascii="Calibri" w:hAnsi="Calibri"/>
                <w:color w:val="000000"/>
                <w:sz w:val="24"/>
              </w:rPr>
              <w:t>0.001485</w:t>
            </w:r>
          </w:p>
        </w:tc>
        <w:tc>
          <w:tcPr>
            <w:tcW w:type="dxa" w:w="1080"/>
          </w:tcPr>
          <w:p>
            <w:r>
              <w:rPr>
                <w:rFonts w:ascii="Calibri" w:hAnsi="Calibri"/>
                <w:color w:val="000000"/>
                <w:sz w:val="24"/>
              </w:rPr>
              <w:t>0.013255</w:t>
            </w:r>
          </w:p>
        </w:tc>
        <w:tc>
          <w:tcPr>
            <w:tcW w:type="dxa" w:w="1080"/>
          </w:tcPr>
          <w:p>
            <w:r>
              <w:rPr>
                <w:rFonts w:ascii="Calibri" w:hAnsi="Calibri"/>
                <w:color w:val="000000"/>
                <w:sz w:val="24"/>
              </w:rPr>
              <w:t>−0.004160</w:t>
            </w:r>
          </w:p>
        </w:tc>
        <w:tc>
          <w:tcPr>
            <w:tcW w:type="dxa" w:w="1080"/>
          </w:tcPr>
          <w:p>
            <w:r>
              <w:rPr>
                <w:rFonts w:ascii="Calibri" w:hAnsi="Calibri"/>
                <w:color w:val="000000"/>
                <w:sz w:val="24"/>
              </w:rPr>
              <w:t>0.018900</w:t>
            </w:r>
          </w:p>
        </w:tc>
      </w:tr>
    </w:tbl>
    <w:p/>
    <w:p>
      <w:pPr>
        <w:pStyle w:val="Heading3"/>
      </w:pPr>
      <w:r>
        <w:t>2c)</w:t>
      </w:r>
    </w:p>
    <w:p>
      <w:r>
        <w:rPr>
          <w:rFonts w:ascii="Calibri" w:hAnsi="Calibri"/>
          <w:color w:val="000000"/>
          <w:sz w:val="24"/>
        </w:rPr>
        <w:t>These inflation forecasts may be useful for policy because monetary and fiscal decisions both have to be forward looking. Central banks must set interest rates based on expected inflation, while fiscal authorities need to project real borrowing costs and index public spending programs.</w:t>
      </w:r>
    </w:p>
    <w:p>
      <w:r>
        <w:rPr>
          <w:rFonts w:ascii="Calibri" w:hAnsi="Calibri"/>
          <w:color w:val="000000"/>
          <w:sz w:val="24"/>
        </w:rPr>
        <w:t>Firstly, there is future shock uncertainty. ARIMA models cannot anticipate shocks that have not yet occurred as they rely on past data, so forecast intervals widen as the horizon lengthens. For example, the 95% confidence interval for ARIMA(2,0,10) starts at a width of approximately 0.00506 at h = 1 and widens to 0.02307 at h = 7, directly showing how uncertainty accumulates over time.</w:t>
      </w:r>
    </w:p>
    <w:p>
      <w:r>
        <w:rPr>
          <w:rFonts w:ascii="Calibri" w:hAnsi="Calibri"/>
          <w:color w:val="000000"/>
          <w:sz w:val="24"/>
        </w:rPr>
        <w:t>A second source is model and coefficient uncertainty. The parameters are estimated from the sample and different ARIMA specifications result in different forecasts. The differences in these forecasts across ARIMA(2,0,10), ARIMA(4,0,9) and ARIMA(2,0,9) illustrate this point, particularly at longer horizons where the models diverge.</w:t>
      </w:r>
    </w:p>
    <w:p>
      <w:r>
        <w:rPr>
          <w:rFonts w:ascii="Calibri" w:hAnsi="Calibri"/>
          <w:color w:val="000000"/>
          <w:sz w:val="24"/>
        </w:rPr>
        <w:t>Lastly, ARIMA models assume constant variance and a stable underlying process, but inflation can experience periods of higher and lower volatility as well as structural changes over time. This means that even the widening confidence intervals may understate true forecast risk if the underlying inflation process has shifted.</w:t>
      </w:r>
    </w:p>
    <w:p>
      <w:r>
        <w:br w:type="page"/>
      </w:r>
    </w:p>
    <w:p>
      <w:pPr>
        <w:pStyle w:val="Heading2"/>
      </w:pPr>
      <w:r>
        <w:t>Question 3</w:t>
      </w:r>
    </w:p>
    <w:p>
      <w:r>
        <w:rPr>
          <w:rFonts w:ascii="Calibri" w:hAnsi="Calibri"/>
          <w:color w:val="000000"/>
          <w:sz w:val="24"/>
        </w:rPr>
        <w:t xml:space="preserve">To evaluate the three models of inflation, the new price-level data has to be turned into actual quarterly inflation for 2024Q1–2025Q3 using </w:t>
      </w:r>
      <m:oMath>
        <m:sSub>
          <m:e>
            <m:r>
              <m:t>P</m:t>
            </m:r>
          </m:e>
          <m:sub>
            <m:r>
              <m:t>2023Q4</m:t>
            </m:r>
          </m:sub>
        </m:sSub>
      </m:oMath>
      <w:r>
        <w:rPr>
          <w:rFonts w:ascii="Calibri" w:hAnsi="Calibri"/>
          <w:color w:val="000000"/>
          <w:sz w:val="24"/>
        </w:rPr>
        <w:t xml:space="preserve"> as the last in-sample observation:</w:t>
      </w:r>
    </w:p>
    <w:p>
      <w:pPr>
        <w:jc w:val="center"/>
      </w:pPr>
      <m:oMath>
        <m:r>
          <m:t>Δ</m:t>
        </m:r>
        <m:sSub>
          <m:e>
            <m:r>
              <m:t>p</m:t>
            </m:r>
          </m:e>
          <m:sub>
            <m:r>
              <m:t>t</m:t>
            </m:r>
          </m:sub>
        </m:sSub>
        <m:r>
          <m:t> = </m:t>
        </m:r>
        <m:r>
          <m:t>ln</m:t>
        </m:r>
        <m:r>
          <m:t>(</m:t>
        </m:r>
        <m:sSub>
          <m:e>
            <m:r>
              <m:t>P</m:t>
            </m:r>
          </m:e>
          <m:sub>
            <m:r>
              <m:t>t</m:t>
            </m:r>
          </m:sub>
        </m:sSub>
        <m:r>
          <m:t>) − </m:t>
        </m:r>
        <m:r>
          <m:t>ln</m:t>
        </m:r>
        <m:r>
          <m:t>(</m:t>
        </m:r>
        <m:sSub>
          <m:e>
            <m:r>
              <m:t>P</m:t>
            </m:r>
          </m:e>
          <m:sub>
            <m:r>
              <m:t>t-1</m:t>
            </m:r>
          </m:sub>
        </m:sSub>
        <m:r>
          <m:t>)</m:t>
        </m:r>
      </m:oMath>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Calibri" w:hAnsi="Calibri"/>
                <w:b/>
                <w:color w:val="000000"/>
                <w:sz w:val="24"/>
              </w:rPr>
              <w:t>Quarter</w:t>
            </w:r>
          </w:p>
        </w:tc>
        <w:tc>
          <w:tcPr>
            <w:tcW w:type="dxa" w:w="1728"/>
          </w:tcPr>
          <w:p>
            <w:r>
              <w:rPr>
                <w:rFonts w:ascii="Calibri" w:hAnsi="Calibri"/>
                <w:b/>
                <w:color w:val="000000"/>
                <w:sz w:val="24"/>
              </w:rPr>
              <w:t xml:space="preserve">Actual </w:t>
            </w:r>
            <m:oMath>
              <m:r>
                <m:t>Δ</m:t>
              </m:r>
              <m:sSub>
                <m:e>
                  <m:r>
                    <m:t>p</m:t>
                  </m:r>
                </m:e>
                <m:sub>
                  <m:r>
                    <m:t>t</m:t>
                  </m:r>
                </m:sub>
              </m:sSub>
            </m:oMath>
          </w:p>
        </w:tc>
        <w:tc>
          <w:tcPr>
            <w:tcW w:type="dxa" w:w="1728"/>
          </w:tcPr>
          <w:p>
            <w:r>
              <w:rPr>
                <w:rFonts w:ascii="Calibri" w:hAnsi="Calibri"/>
                <w:b/>
                <w:color w:val="000000"/>
                <w:sz w:val="24"/>
              </w:rPr>
              <w:t>ARIMA(2,0,10)</w:t>
            </w:r>
          </w:p>
        </w:tc>
        <w:tc>
          <w:tcPr>
            <w:tcW w:type="dxa" w:w="1728"/>
          </w:tcPr>
          <w:p>
            <w:r>
              <w:rPr>
                <w:rFonts w:ascii="Calibri" w:hAnsi="Calibri"/>
                <w:b/>
                <w:color w:val="000000"/>
                <w:sz w:val="24"/>
              </w:rPr>
              <w:t>ARIMA(4,0,9)</w:t>
            </w:r>
          </w:p>
        </w:tc>
        <w:tc>
          <w:tcPr>
            <w:tcW w:type="dxa" w:w="1728"/>
          </w:tcPr>
          <w:p>
            <w:r>
              <w:rPr>
                <w:rFonts w:ascii="Calibri" w:hAnsi="Calibri"/>
                <w:b/>
                <w:color w:val="000000"/>
                <w:sz w:val="24"/>
              </w:rPr>
              <w:t>ARIMA(2,0,9)</w:t>
            </w:r>
          </w:p>
        </w:tc>
      </w:tr>
      <w:tr>
        <w:tc>
          <w:tcPr>
            <w:tcW w:type="dxa" w:w="1728"/>
          </w:tcPr>
          <w:p>
            <w:r>
              <w:rPr>
                <w:rFonts w:ascii="Calibri" w:hAnsi="Calibri"/>
                <w:color w:val="000000"/>
                <w:sz w:val="24"/>
              </w:rPr>
              <w:t>2024Q1</w:t>
            </w:r>
          </w:p>
        </w:tc>
        <w:tc>
          <w:tcPr>
            <w:tcW w:type="dxa" w:w="1728"/>
          </w:tcPr>
          <w:p>
            <w:r>
              <w:rPr>
                <w:rFonts w:ascii="Calibri" w:hAnsi="Calibri"/>
                <w:color w:val="000000"/>
                <w:sz w:val="24"/>
              </w:rPr>
              <w:t>0.007980</w:t>
            </w:r>
          </w:p>
        </w:tc>
        <w:tc>
          <w:tcPr>
            <w:tcW w:type="dxa" w:w="1728"/>
          </w:tcPr>
          <w:p>
            <w:r>
              <w:rPr>
                <w:rFonts w:ascii="Calibri" w:hAnsi="Calibri"/>
                <w:color w:val="000000"/>
                <w:sz w:val="24"/>
              </w:rPr>
              <w:t>0.007980</w:t>
            </w:r>
          </w:p>
        </w:tc>
        <w:tc>
          <w:tcPr>
            <w:tcW w:type="dxa" w:w="1728"/>
          </w:tcPr>
          <w:p>
            <w:r>
              <w:rPr>
                <w:rFonts w:ascii="Calibri" w:hAnsi="Calibri"/>
                <w:color w:val="000000"/>
                <w:sz w:val="24"/>
              </w:rPr>
              <w:t>0.008010</w:t>
            </w:r>
          </w:p>
        </w:tc>
        <w:tc>
          <w:tcPr>
            <w:tcW w:type="dxa" w:w="1728"/>
          </w:tcPr>
          <w:p>
            <w:r>
              <w:rPr>
                <w:rFonts w:ascii="Calibri" w:hAnsi="Calibri"/>
                <w:color w:val="000000"/>
                <w:sz w:val="24"/>
              </w:rPr>
              <w:t>0.008080</w:t>
            </w:r>
          </w:p>
        </w:tc>
      </w:tr>
      <w:tr>
        <w:tc>
          <w:tcPr>
            <w:tcW w:type="dxa" w:w="1728"/>
          </w:tcPr>
          <w:p>
            <w:r>
              <w:rPr>
                <w:rFonts w:ascii="Calibri" w:hAnsi="Calibri"/>
                <w:color w:val="000000"/>
                <w:sz w:val="24"/>
              </w:rPr>
              <w:t>2024Q2</w:t>
            </w:r>
          </w:p>
        </w:tc>
        <w:tc>
          <w:tcPr>
            <w:tcW w:type="dxa" w:w="1728"/>
          </w:tcPr>
          <w:p>
            <w:r>
              <w:rPr>
                <w:rFonts w:ascii="Calibri" w:hAnsi="Calibri"/>
                <w:color w:val="000000"/>
                <w:sz w:val="24"/>
              </w:rPr>
              <w:t>0.008290</w:t>
            </w:r>
          </w:p>
        </w:tc>
        <w:tc>
          <w:tcPr>
            <w:tcW w:type="dxa" w:w="1728"/>
          </w:tcPr>
          <w:p>
            <w:r>
              <w:rPr>
                <w:rFonts w:ascii="Calibri" w:hAnsi="Calibri"/>
                <w:color w:val="000000"/>
                <w:sz w:val="24"/>
              </w:rPr>
              <w:t>0.006830</w:t>
            </w:r>
          </w:p>
        </w:tc>
        <w:tc>
          <w:tcPr>
            <w:tcW w:type="dxa" w:w="1728"/>
          </w:tcPr>
          <w:p>
            <w:r>
              <w:rPr>
                <w:rFonts w:ascii="Calibri" w:hAnsi="Calibri"/>
                <w:color w:val="000000"/>
                <w:sz w:val="24"/>
              </w:rPr>
              <w:t>0.006820</w:t>
            </w:r>
          </w:p>
        </w:tc>
        <w:tc>
          <w:tcPr>
            <w:tcW w:type="dxa" w:w="1728"/>
          </w:tcPr>
          <w:p>
            <w:r>
              <w:rPr>
                <w:rFonts w:ascii="Calibri" w:hAnsi="Calibri"/>
                <w:color w:val="000000"/>
                <w:sz w:val="24"/>
              </w:rPr>
              <w:t>0.007220</w:t>
            </w:r>
          </w:p>
        </w:tc>
      </w:tr>
      <w:tr>
        <w:tc>
          <w:tcPr>
            <w:tcW w:type="dxa" w:w="1728"/>
          </w:tcPr>
          <w:p>
            <w:r>
              <w:rPr>
                <w:rFonts w:ascii="Calibri" w:hAnsi="Calibri"/>
                <w:color w:val="000000"/>
                <w:sz w:val="24"/>
              </w:rPr>
              <w:t>2024Q3</w:t>
            </w:r>
          </w:p>
        </w:tc>
        <w:tc>
          <w:tcPr>
            <w:tcW w:type="dxa" w:w="1728"/>
          </w:tcPr>
          <w:p>
            <w:r>
              <w:rPr>
                <w:rFonts w:ascii="Calibri" w:hAnsi="Calibri"/>
                <w:color w:val="000000"/>
                <w:sz w:val="24"/>
              </w:rPr>
              <w:t>0.007610</w:t>
            </w:r>
          </w:p>
        </w:tc>
        <w:tc>
          <w:tcPr>
            <w:tcW w:type="dxa" w:w="1728"/>
          </w:tcPr>
          <w:p>
            <w:r>
              <w:rPr>
                <w:rFonts w:ascii="Calibri" w:hAnsi="Calibri"/>
                <w:color w:val="000000"/>
                <w:sz w:val="24"/>
              </w:rPr>
              <w:t>0.006560</w:t>
            </w:r>
          </w:p>
        </w:tc>
        <w:tc>
          <w:tcPr>
            <w:tcW w:type="dxa" w:w="1728"/>
          </w:tcPr>
          <w:p>
            <w:r>
              <w:rPr>
                <w:rFonts w:ascii="Calibri" w:hAnsi="Calibri"/>
                <w:color w:val="000000"/>
                <w:sz w:val="24"/>
              </w:rPr>
              <w:t>0.006670</w:t>
            </w:r>
          </w:p>
        </w:tc>
        <w:tc>
          <w:tcPr>
            <w:tcW w:type="dxa" w:w="1728"/>
          </w:tcPr>
          <w:p>
            <w:r>
              <w:rPr>
                <w:rFonts w:ascii="Calibri" w:hAnsi="Calibri"/>
                <w:color w:val="000000"/>
                <w:sz w:val="24"/>
              </w:rPr>
              <w:t>0.007180</w:t>
            </w:r>
          </w:p>
        </w:tc>
      </w:tr>
      <w:tr>
        <w:tc>
          <w:tcPr>
            <w:tcW w:type="dxa" w:w="1728"/>
          </w:tcPr>
          <w:p>
            <w:r>
              <w:rPr>
                <w:rFonts w:ascii="Calibri" w:hAnsi="Calibri"/>
                <w:color w:val="000000"/>
                <w:sz w:val="24"/>
              </w:rPr>
              <w:t>2024Q4</w:t>
            </w:r>
          </w:p>
        </w:tc>
        <w:tc>
          <w:tcPr>
            <w:tcW w:type="dxa" w:w="1728"/>
          </w:tcPr>
          <w:p>
            <w:r>
              <w:rPr>
                <w:rFonts w:ascii="Calibri" w:hAnsi="Calibri"/>
                <w:color w:val="000000"/>
                <w:sz w:val="24"/>
              </w:rPr>
              <w:t>0.006340</w:t>
            </w:r>
          </w:p>
        </w:tc>
        <w:tc>
          <w:tcPr>
            <w:tcW w:type="dxa" w:w="1728"/>
          </w:tcPr>
          <w:p>
            <w:r>
              <w:rPr>
                <w:rFonts w:ascii="Calibri" w:hAnsi="Calibri"/>
                <w:color w:val="000000"/>
                <w:sz w:val="24"/>
              </w:rPr>
              <w:t>0.005810</w:t>
            </w:r>
          </w:p>
        </w:tc>
        <w:tc>
          <w:tcPr>
            <w:tcW w:type="dxa" w:w="1728"/>
          </w:tcPr>
          <w:p>
            <w:r>
              <w:rPr>
                <w:rFonts w:ascii="Calibri" w:hAnsi="Calibri"/>
                <w:color w:val="000000"/>
                <w:sz w:val="24"/>
              </w:rPr>
              <w:t>0.005940</w:t>
            </w:r>
          </w:p>
        </w:tc>
        <w:tc>
          <w:tcPr>
            <w:tcW w:type="dxa" w:w="1728"/>
          </w:tcPr>
          <w:p>
            <w:r>
              <w:rPr>
                <w:rFonts w:ascii="Calibri" w:hAnsi="Calibri"/>
                <w:color w:val="000000"/>
                <w:sz w:val="24"/>
              </w:rPr>
              <w:t>0.006230</w:t>
            </w:r>
          </w:p>
        </w:tc>
      </w:tr>
      <w:tr>
        <w:tc>
          <w:tcPr>
            <w:tcW w:type="dxa" w:w="1728"/>
          </w:tcPr>
          <w:p>
            <w:r>
              <w:rPr>
                <w:rFonts w:ascii="Calibri" w:hAnsi="Calibri"/>
                <w:color w:val="000000"/>
                <w:sz w:val="24"/>
              </w:rPr>
              <w:t>2025Q1</w:t>
            </w:r>
          </w:p>
        </w:tc>
        <w:tc>
          <w:tcPr>
            <w:tcW w:type="dxa" w:w="1728"/>
          </w:tcPr>
          <w:p>
            <w:r>
              <w:rPr>
                <w:rFonts w:ascii="Calibri" w:hAnsi="Calibri"/>
                <w:color w:val="000000"/>
                <w:sz w:val="24"/>
              </w:rPr>
              <w:t>0.007110</w:t>
            </w:r>
          </w:p>
        </w:tc>
        <w:tc>
          <w:tcPr>
            <w:tcW w:type="dxa" w:w="1728"/>
          </w:tcPr>
          <w:p>
            <w:r>
              <w:rPr>
                <w:rFonts w:ascii="Calibri" w:hAnsi="Calibri"/>
                <w:color w:val="000000"/>
                <w:sz w:val="24"/>
              </w:rPr>
              <w:t>0.006040</w:t>
            </w:r>
          </w:p>
        </w:tc>
        <w:tc>
          <w:tcPr>
            <w:tcW w:type="dxa" w:w="1728"/>
          </w:tcPr>
          <w:p>
            <w:r>
              <w:rPr>
                <w:rFonts w:ascii="Calibri" w:hAnsi="Calibri"/>
                <w:color w:val="000000"/>
                <w:sz w:val="24"/>
              </w:rPr>
              <w:t>0.006500</w:t>
            </w:r>
          </w:p>
        </w:tc>
        <w:tc>
          <w:tcPr>
            <w:tcW w:type="dxa" w:w="1728"/>
          </w:tcPr>
          <w:p>
            <w:r>
              <w:rPr>
                <w:rFonts w:ascii="Calibri" w:hAnsi="Calibri"/>
                <w:color w:val="000000"/>
                <w:sz w:val="24"/>
              </w:rPr>
              <w:t>0.006550</w:t>
            </w:r>
          </w:p>
        </w:tc>
      </w:tr>
      <w:tr>
        <w:tc>
          <w:tcPr>
            <w:tcW w:type="dxa" w:w="1728"/>
          </w:tcPr>
          <w:p>
            <w:r>
              <w:rPr>
                <w:rFonts w:ascii="Calibri" w:hAnsi="Calibri"/>
                <w:color w:val="000000"/>
                <w:sz w:val="24"/>
              </w:rPr>
              <w:t>2025Q2</w:t>
            </w:r>
          </w:p>
        </w:tc>
        <w:tc>
          <w:tcPr>
            <w:tcW w:type="dxa" w:w="1728"/>
          </w:tcPr>
          <w:p>
            <w:r>
              <w:rPr>
                <w:rFonts w:ascii="Calibri" w:hAnsi="Calibri"/>
                <w:color w:val="000000"/>
                <w:sz w:val="24"/>
              </w:rPr>
              <w:t>0.006280</w:t>
            </w:r>
          </w:p>
        </w:tc>
        <w:tc>
          <w:tcPr>
            <w:tcW w:type="dxa" w:w="1728"/>
          </w:tcPr>
          <w:p>
            <w:r>
              <w:rPr>
                <w:rFonts w:ascii="Calibri" w:hAnsi="Calibri"/>
                <w:color w:val="000000"/>
                <w:sz w:val="24"/>
              </w:rPr>
              <w:t>0.006890</w:t>
            </w:r>
          </w:p>
        </w:tc>
        <w:tc>
          <w:tcPr>
            <w:tcW w:type="dxa" w:w="1728"/>
          </w:tcPr>
          <w:p>
            <w:r>
              <w:rPr>
                <w:rFonts w:ascii="Calibri" w:hAnsi="Calibri"/>
                <w:color w:val="000000"/>
                <w:sz w:val="24"/>
              </w:rPr>
              <w:t>0.007410</w:t>
            </w:r>
          </w:p>
        </w:tc>
        <w:tc>
          <w:tcPr>
            <w:tcW w:type="dxa" w:w="1728"/>
          </w:tcPr>
          <w:p>
            <w:r>
              <w:rPr>
                <w:rFonts w:ascii="Calibri" w:hAnsi="Calibri"/>
                <w:color w:val="000000"/>
                <w:sz w:val="24"/>
              </w:rPr>
              <w:t>0.006820</w:t>
            </w:r>
          </w:p>
        </w:tc>
      </w:tr>
      <w:tr>
        <w:tc>
          <w:tcPr>
            <w:tcW w:type="dxa" w:w="1728"/>
          </w:tcPr>
          <w:p>
            <w:r>
              <w:rPr>
                <w:rFonts w:ascii="Calibri" w:hAnsi="Calibri"/>
                <w:color w:val="000000"/>
                <w:sz w:val="24"/>
              </w:rPr>
              <w:t>2025Q3</w:t>
            </w:r>
          </w:p>
        </w:tc>
        <w:tc>
          <w:tcPr>
            <w:tcW w:type="dxa" w:w="1728"/>
          </w:tcPr>
          <w:p>
            <w:r>
              <w:rPr>
                <w:rFonts w:ascii="Calibri" w:hAnsi="Calibri"/>
                <w:color w:val="000000"/>
                <w:sz w:val="24"/>
              </w:rPr>
              <w:t>0.006430</w:t>
            </w:r>
          </w:p>
        </w:tc>
        <w:tc>
          <w:tcPr>
            <w:tcW w:type="dxa" w:w="1728"/>
          </w:tcPr>
          <w:p>
            <w:r>
              <w:rPr>
                <w:rFonts w:ascii="Calibri" w:hAnsi="Calibri"/>
                <w:color w:val="000000"/>
                <w:sz w:val="24"/>
              </w:rPr>
              <w:t>0.007370</w:t>
            </w:r>
          </w:p>
        </w:tc>
        <w:tc>
          <w:tcPr>
            <w:tcW w:type="dxa" w:w="1728"/>
          </w:tcPr>
          <w:p>
            <w:r>
              <w:rPr>
                <w:rFonts w:ascii="Calibri" w:hAnsi="Calibri"/>
                <w:color w:val="000000"/>
                <w:sz w:val="24"/>
              </w:rPr>
              <w:t>0.008070</w:t>
            </w:r>
          </w:p>
        </w:tc>
        <w:tc>
          <w:tcPr>
            <w:tcW w:type="dxa" w:w="1728"/>
          </w:tcPr>
          <w:p>
            <w:r>
              <w:rPr>
                <w:rFonts w:ascii="Calibri" w:hAnsi="Calibri"/>
                <w:color w:val="000000"/>
                <w:sz w:val="24"/>
              </w:rPr>
              <w:t>0.007110</w:t>
            </w:r>
          </w:p>
        </w:tc>
      </w:tr>
    </w:tbl>
    <w:p/>
    <w:p>
      <w:r>
        <w:rPr>
          <w:rFonts w:ascii="Calibri" w:hAnsi="Calibri"/>
          <w:color w:val="000000"/>
          <w:sz w:val="24"/>
        </w:rPr>
        <w:t>The three models' forecasts were then plotted against the actual holdout inflation path:</w:t>
      </w:r>
    </w:p>
    <w:p>
      <w:pPr>
        <w:jc w:val="center"/>
      </w:pPr>
      <w:r>
        <w:drawing>
          <wp:inline xmlns:a="http://schemas.openxmlformats.org/drawingml/2006/main" xmlns:pic="http://schemas.openxmlformats.org/drawingml/2006/picture">
            <wp:extent cx="5852160" cy="2377440"/>
            <wp:docPr id="4" name="Picture 4"/>
            <wp:cNvGraphicFramePr>
              <a:graphicFrameLocks noChangeAspect="1"/>
            </wp:cNvGraphicFramePr>
            <a:graphic>
              <a:graphicData uri="http://schemas.openxmlformats.org/drawingml/2006/picture">
                <pic:pic>
                  <pic:nvPicPr>
                    <pic:cNvPr id="0" name="fig3_actual_vs_arima_2_0_10.png"/>
                    <pic:cNvPicPr/>
                  </pic:nvPicPr>
                  <pic:blipFill>
                    <a:blip r:embed="rId12"/>
                    <a:stretch>
                      <a:fillRect/>
                    </a:stretch>
                  </pic:blipFill>
                  <pic:spPr>
                    <a:xfrm>
                      <a:off x="0" y="0"/>
                      <a:ext cx="5852160" cy="2377440"/>
                    </a:xfrm>
                    <a:prstGeom prst="rect"/>
                  </pic:spPr>
                </pic:pic>
              </a:graphicData>
            </a:graphic>
          </wp:inline>
        </w:drawing>
      </w:r>
    </w:p>
    <w:p>
      <w:pPr>
        <w:jc w:val="center"/>
      </w:pPr>
      <w:r>
        <w:drawing>
          <wp:inline xmlns:a="http://schemas.openxmlformats.org/drawingml/2006/main" xmlns:pic="http://schemas.openxmlformats.org/drawingml/2006/picture">
            <wp:extent cx="5852160" cy="2377440"/>
            <wp:docPr id="5" name="Picture 5"/>
            <wp:cNvGraphicFramePr>
              <a:graphicFrameLocks noChangeAspect="1"/>
            </wp:cNvGraphicFramePr>
            <a:graphic>
              <a:graphicData uri="http://schemas.openxmlformats.org/drawingml/2006/picture">
                <pic:pic>
                  <pic:nvPicPr>
                    <pic:cNvPr id="0" name="fig3_actual_vs_arima_4_0_9.png"/>
                    <pic:cNvPicPr/>
                  </pic:nvPicPr>
                  <pic:blipFill>
                    <a:blip r:embed="rId13"/>
                    <a:stretch>
                      <a:fillRect/>
                    </a:stretch>
                  </pic:blipFill>
                  <pic:spPr>
                    <a:xfrm>
                      <a:off x="0" y="0"/>
                      <a:ext cx="5852160" cy="2377440"/>
                    </a:xfrm>
                    <a:prstGeom prst="rect"/>
                  </pic:spPr>
                </pic:pic>
              </a:graphicData>
            </a:graphic>
          </wp:inline>
        </w:drawing>
      </w:r>
    </w:p>
    <w:p>
      <w:pPr>
        <w:jc w:val="center"/>
      </w:pPr>
      <w:r>
        <w:drawing>
          <wp:inline xmlns:a="http://schemas.openxmlformats.org/drawingml/2006/main" xmlns:pic="http://schemas.openxmlformats.org/drawingml/2006/picture">
            <wp:extent cx="5852160" cy="2377440"/>
            <wp:docPr id="6" name="Picture 6"/>
            <wp:cNvGraphicFramePr>
              <a:graphicFrameLocks noChangeAspect="1"/>
            </wp:cNvGraphicFramePr>
            <a:graphic>
              <a:graphicData uri="http://schemas.openxmlformats.org/drawingml/2006/picture">
                <pic:pic>
                  <pic:nvPicPr>
                    <pic:cNvPr id="0" name="fig3_actual_vs_arima_2_0_9.png"/>
                    <pic:cNvPicPr/>
                  </pic:nvPicPr>
                  <pic:blipFill>
                    <a:blip r:embed="rId14"/>
                    <a:stretch>
                      <a:fillRect/>
                    </a:stretch>
                  </pic:blipFill>
                  <pic:spPr>
                    <a:xfrm>
                      <a:off x="0" y="0"/>
                      <a:ext cx="5852160" cy="2377440"/>
                    </a:xfrm>
                    <a:prstGeom prst="rect"/>
                  </pic:spPr>
                </pic:pic>
              </a:graphicData>
            </a:graphic>
          </wp:inline>
        </w:drawing>
      </w:r>
    </w:p>
    <w:p>
      <w:pPr>
        <w:jc w:val="center"/>
      </w:pPr>
      <w:r>
        <w:rPr>
          <w:rFonts w:ascii="Calibri" w:hAnsi="Calibri"/>
          <w:color w:val="000000"/>
          <w:sz w:val="24"/>
        </w:rPr>
        <w:t>Figure 4: Actual inflation and ARIMA model forecasts over the holdout period (2024Q1 to 2025Q3)</w:t>
      </w:r>
    </w:p>
    <w:p>
      <w:r>
        <w:rPr>
          <w:rFonts w:ascii="Calibri" w:hAnsi="Calibri"/>
          <w:color w:val="000000"/>
          <w:sz w:val="24"/>
        </w:rPr>
        <w:t>All three models show a two-phase pattern across the holdout. In the first phase (2024Q2–2025Q1), all three models underestimated inflation — actual quarterly inflation remained higher than projected, reaching 0.829% in 2024Q2 while all forecasts had already declined toward 0.65–0.72%. This reflects the models failing to capture the continued persistence of post-pandemic price pressures through 2024. In the second phase (2025Q2–2025Q3), actual inflation fell more sharply to around 0.63–0.64%, while all three forecasts rose toward 0.68–0.81%, resulting in overestimation. The models projected a mean-reverting rise back toward the historical average that did not materialise.</w:t>
      </w:r>
    </w:p>
    <w:p>
      <w:r>
        <w:rPr>
          <w:rFonts w:ascii="Calibri" w:hAnsi="Calibri"/>
          <w:color w:val="000000"/>
          <w:sz w:val="24"/>
        </w:rPr>
        <w:t>Out of the three models, ARIMA(2,0,9)'s forecast was closest to the actual holdout values, with RMSFE = 0.000582 and MAE = 0.000494. In contrast, ARIMA(4,0,9) had the largest error (RMSFE = 0.001030), while ARIMA(2,0,10) sat between the two.</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Calibri" w:hAnsi="Calibri"/>
                <w:b/>
                <w:color w:val="000000"/>
                <w:sz w:val="24"/>
              </w:rPr>
              <w:t>Model</w:t>
            </w:r>
          </w:p>
        </w:tc>
        <w:tc>
          <w:tcPr>
            <w:tcW w:type="dxa" w:w="2160"/>
          </w:tcPr>
          <w:p>
            <w:r>
              <w:rPr>
                <w:rFonts w:ascii="Calibri" w:hAnsi="Calibri"/>
                <w:b/>
                <w:color w:val="000000"/>
                <w:sz w:val="24"/>
              </w:rPr>
              <w:t>MSFE</w:t>
            </w:r>
          </w:p>
        </w:tc>
        <w:tc>
          <w:tcPr>
            <w:tcW w:type="dxa" w:w="2160"/>
          </w:tcPr>
          <w:p>
            <w:r>
              <w:rPr>
                <w:rFonts w:ascii="Calibri" w:hAnsi="Calibri"/>
                <w:b/>
                <w:color w:val="000000"/>
                <w:sz w:val="24"/>
              </w:rPr>
              <w:t>RMSFE</w:t>
            </w:r>
          </w:p>
        </w:tc>
        <w:tc>
          <w:tcPr>
            <w:tcW w:type="dxa" w:w="2160"/>
          </w:tcPr>
          <w:p>
            <w:r>
              <w:rPr>
                <w:rFonts w:ascii="Calibri" w:hAnsi="Calibri"/>
                <w:b/>
                <w:color w:val="000000"/>
                <w:sz w:val="24"/>
              </w:rPr>
              <w:t>MAE</w:t>
            </w:r>
          </w:p>
        </w:tc>
      </w:tr>
      <w:tr>
        <w:tc>
          <w:tcPr>
            <w:tcW w:type="dxa" w:w="2160"/>
          </w:tcPr>
          <w:p>
            <w:r>
              <w:rPr>
                <w:rFonts w:ascii="Calibri" w:hAnsi="Calibri"/>
                <w:color w:val="000000"/>
                <w:sz w:val="24"/>
              </w:rPr>
              <w:t>ARIMA(2,0,10)</w:t>
            </w:r>
          </w:p>
        </w:tc>
        <w:tc>
          <w:tcPr>
            <w:tcW w:type="dxa" w:w="2160"/>
          </w:tcPr>
          <w:p>
            <w:r>
              <w:rPr>
                <w:rFonts w:ascii="Calibri" w:hAnsi="Calibri"/>
                <w:color w:val="000000"/>
                <w:sz w:val="24"/>
              </w:rPr>
              <w:t>8.40×10⁻⁷</w:t>
            </w:r>
          </w:p>
        </w:tc>
        <w:tc>
          <w:tcPr>
            <w:tcW w:type="dxa" w:w="2160"/>
          </w:tcPr>
          <w:p>
            <w:r>
              <w:rPr>
                <w:rFonts w:ascii="Calibri" w:hAnsi="Calibri"/>
                <w:color w:val="000000"/>
                <w:sz w:val="24"/>
              </w:rPr>
              <w:t>0.000916</w:t>
            </w:r>
          </w:p>
        </w:tc>
        <w:tc>
          <w:tcPr>
            <w:tcW w:type="dxa" w:w="2160"/>
          </w:tcPr>
          <w:p>
            <w:r>
              <w:rPr>
                <w:rFonts w:ascii="Calibri" w:hAnsi="Calibri"/>
                <w:color w:val="000000"/>
                <w:sz w:val="24"/>
              </w:rPr>
              <w:t>0.000803</w:t>
            </w:r>
          </w:p>
        </w:tc>
      </w:tr>
      <w:tr>
        <w:tc>
          <w:tcPr>
            <w:tcW w:type="dxa" w:w="2160"/>
          </w:tcPr>
          <w:p>
            <w:r>
              <w:rPr>
                <w:rFonts w:ascii="Calibri" w:hAnsi="Calibri"/>
                <w:color w:val="000000"/>
                <w:sz w:val="24"/>
              </w:rPr>
              <w:t>ARIMA(4,0,9)</w:t>
            </w:r>
          </w:p>
        </w:tc>
        <w:tc>
          <w:tcPr>
            <w:tcW w:type="dxa" w:w="2160"/>
          </w:tcPr>
          <w:p>
            <w:r>
              <w:rPr>
                <w:rFonts w:ascii="Calibri" w:hAnsi="Calibri"/>
                <w:color w:val="000000"/>
                <w:sz w:val="24"/>
              </w:rPr>
              <w:t>1.06×10⁻⁶</w:t>
            </w:r>
          </w:p>
        </w:tc>
        <w:tc>
          <w:tcPr>
            <w:tcW w:type="dxa" w:w="2160"/>
          </w:tcPr>
          <w:p>
            <w:r>
              <w:rPr>
                <w:rFonts w:ascii="Calibri" w:hAnsi="Calibri"/>
                <w:color w:val="000000"/>
                <w:sz w:val="24"/>
              </w:rPr>
              <w:t>0.001030</w:t>
            </w:r>
          </w:p>
        </w:tc>
        <w:tc>
          <w:tcPr>
            <w:tcW w:type="dxa" w:w="2160"/>
          </w:tcPr>
          <w:p>
            <w:r>
              <w:rPr>
                <w:rFonts w:ascii="Calibri" w:hAnsi="Calibri"/>
                <w:color w:val="000000"/>
                <w:sz w:val="24"/>
              </w:rPr>
              <w:t>0.000884</w:t>
            </w:r>
          </w:p>
        </w:tc>
      </w:tr>
      <w:tr>
        <w:tc>
          <w:tcPr>
            <w:tcW w:type="dxa" w:w="2160"/>
          </w:tcPr>
          <w:p>
            <w:r>
              <w:rPr>
                <w:rFonts w:ascii="Calibri" w:hAnsi="Calibri"/>
                <w:color w:val="000000"/>
                <w:sz w:val="24"/>
              </w:rPr>
              <w:t>ARIMA(2,0,9)</w:t>
            </w:r>
          </w:p>
        </w:tc>
        <w:tc>
          <w:tcPr>
            <w:tcW w:type="dxa" w:w="2160"/>
          </w:tcPr>
          <w:p>
            <w:r>
              <w:rPr>
                <w:rFonts w:ascii="Calibri" w:hAnsi="Calibri"/>
                <w:color w:val="000000"/>
                <w:sz w:val="24"/>
              </w:rPr>
              <w:t>3.39×10⁻⁷</w:t>
            </w:r>
          </w:p>
        </w:tc>
        <w:tc>
          <w:tcPr>
            <w:tcW w:type="dxa" w:w="2160"/>
          </w:tcPr>
          <w:p>
            <w:r>
              <w:rPr>
                <w:rFonts w:ascii="Calibri" w:hAnsi="Calibri"/>
                <w:color w:val="000000"/>
                <w:sz w:val="24"/>
              </w:rPr>
              <w:t>0.000582</w:t>
            </w:r>
          </w:p>
        </w:tc>
        <w:tc>
          <w:tcPr>
            <w:tcW w:type="dxa" w:w="2160"/>
          </w:tcPr>
          <w:p>
            <w:r>
              <w:rPr>
                <w:rFonts w:ascii="Calibri" w:hAnsi="Calibri"/>
                <w:color w:val="000000"/>
                <w:sz w:val="24"/>
              </w:rPr>
              <w:t>0.000494</w:t>
            </w:r>
          </w:p>
        </w:tc>
      </w:tr>
    </w:tbl>
    <w:p/>
    <w:p>
      <w:r>
        <w:rPr>
          <w:rFonts w:ascii="Calibri" w:hAnsi="Calibri"/>
          <w:color w:val="000000"/>
          <w:sz w:val="24"/>
        </w:rPr>
        <w:t>Overall, this shows that the models struggled to track both the lingering above-target inflation of 2024 and its subsequent faster-than-expected decline. This pattern is consistent with non-linear disinflation dynamics driven by the lagged transmission of Federal Reserve rate hikes, which no backward-looking ARIMA model can anticipate.</w:t>
      </w:r>
    </w:p>
    <w:p>
      <w:r>
        <w:br w:type="page"/>
      </w:r>
    </w:p>
    <w:p>
      <w:pPr>
        <w:pStyle w:val="Heading2"/>
      </w:pPr>
      <w:r>
        <w:t>Question 4</w:t>
      </w:r>
    </w:p>
    <w:p>
      <w:pPr>
        <w:pStyle w:val="Heading3"/>
      </w:pPr>
      <w:r>
        <w:t>4a)</w:t>
      </w:r>
    </w:p>
    <w:p>
      <w:pPr>
        <w:jc w:val="center"/>
      </w:pPr>
      <w:r>
        <w:drawing>
          <wp:inline xmlns:a="http://schemas.openxmlformats.org/drawingml/2006/main" xmlns:pic="http://schemas.openxmlformats.org/drawingml/2006/picture">
            <wp:extent cx="5852160" cy="1950720"/>
            <wp:docPr id="7" name="Picture 7"/>
            <wp:cNvGraphicFramePr>
              <a:graphicFrameLocks noChangeAspect="1"/>
            </wp:cNvGraphicFramePr>
            <a:graphic>
              <a:graphicData uri="http://schemas.openxmlformats.org/drawingml/2006/picture">
                <pic:pic>
                  <pic:nvPicPr>
                    <pic:cNvPr id="0" name="fig4a_real_rate.png"/>
                    <pic:cNvPicPr/>
                  </pic:nvPicPr>
                  <pic:blipFill>
                    <a:blip r:embed="rId15"/>
                    <a:stretch>
                      <a:fillRect/>
                    </a:stretch>
                  </pic:blipFill>
                  <pic:spPr>
                    <a:xfrm>
                      <a:off x="0" y="0"/>
                      <a:ext cx="5852160" cy="1950720"/>
                    </a:xfrm>
                    <a:prstGeom prst="rect"/>
                  </pic:spPr>
                </pic:pic>
              </a:graphicData>
            </a:graphic>
          </wp:inline>
        </w:drawing>
      </w:r>
    </w:p>
    <w:p>
      <w:pPr>
        <w:jc w:val="center"/>
      </w:pPr>
      <w:r>
        <w:rPr>
          <w:rFonts w:ascii="Calibri" w:hAnsi="Calibri"/>
          <w:color w:val="000000"/>
          <w:sz w:val="24"/>
        </w:rPr>
        <w:t>Figure 5: Nominal interest rate, real interest rate proxy, and inflation (1959Q1 to 2023Q4)</w:t>
      </w:r>
    </w:p>
    <w:p>
      <w:r>
        <w:rPr>
          <w:rFonts w:ascii="Calibri" w:hAnsi="Calibri"/>
          <w:color w:val="000000"/>
          <w:sz w:val="24"/>
        </w:rPr>
        <w:t>The real interest rate proxy is:</w:t>
      </w:r>
    </w:p>
    <w:p>
      <w:pPr>
        <w:jc w:val="center"/>
      </w:pPr>
      <m:oMath>
        <m:sSub>
          <m:e>
            <m:r>
              <m:t>rr</m:t>
            </m:r>
          </m:e>
          <m:sub>
            <m:r>
              <m:t>t</m:t>
            </m:r>
          </m:sub>
        </m:sSub>
        <m:r>
          <m:t> = </m:t>
        </m:r>
        <m:sSub>
          <m:e>
            <m:r>
              <m:t>r</m:t>
            </m:r>
          </m:e>
          <m:sub>
            <m:r>
              <m:t>t</m:t>
            </m:r>
          </m:sub>
        </m:sSub>
        <m:r>
          <m:t> − 100·</m:t>
        </m:r>
        <m:r>
          <m:t>Δ</m:t>
        </m:r>
        <m:sSub>
          <m:e>
            <m:r>
              <m:t>p</m:t>
            </m:r>
          </m:e>
          <m:sub>
            <m:r>
              <m:t>t</m:t>
            </m:r>
          </m:sub>
        </m:sSub>
      </m:oMath>
    </w:p>
    <w:p>
      <w:r>
        <w:rPr>
          <w:rFonts w:ascii="Calibri" w:hAnsi="Calibri"/>
          <w:color w:val="000000"/>
          <w:sz w:val="24"/>
        </w:rPr>
        <w:t xml:space="preserve">When plotted, the graph suggests that </w:t>
      </w:r>
      <m:oMath>
        <m:sSub>
          <m:e>
            <m:r>
              <m:t>rr</m:t>
            </m:r>
          </m:e>
          <m:sub>
            <m:r>
              <m:t>t</m:t>
            </m:r>
          </m:sub>
        </m:sSub>
      </m:oMath>
      <w:r>
        <w:rPr>
          <w:rFonts w:ascii="Calibri" w:hAnsi="Calibri"/>
          <w:color w:val="000000"/>
          <w:sz w:val="24"/>
        </w:rPr>
        <w:t xml:space="preserve"> appears only slightly more stable than the nominal rate and is considerably less stable than inflation. Both series follow a very similar pattern over time in that they both rise sharply during the Volcker disinflation of 1979–1982, gradually decline through the 1990s and 2000s, fall to negative territory after the 2008 Global Financial Crisis, and surge again from 2022 as the Fed tightened aggressively against post-pandemic inflation.</w:t>
      </w:r>
    </w:p>
    <w:p>
      <w:r>
        <w:rPr>
          <w:rFonts w:ascii="Calibri" w:hAnsi="Calibri"/>
          <w:color w:val="000000"/>
          <w:sz w:val="24"/>
        </w:rPr>
        <w:t xml:space="preserve">The standard deviations support this, where </w:t>
      </w:r>
      <m:oMath>
        <m:r>
          <m:t>SD</m:t>
        </m:r>
        <m:r>
          <m:t>(</m:t>
        </m:r>
        <m:sSub>
          <m:e>
            <m:r>
              <m:t>r</m:t>
            </m:r>
          </m:e>
          <m:sub>
            <m:r>
              <m:t>t</m:t>
            </m:r>
          </m:sub>
        </m:sSub>
        <m:r>
          <m:t>) = 3.276</m:t>
        </m:r>
      </m:oMath>
      <w:r>
        <w:rPr>
          <w:rFonts w:ascii="Calibri" w:hAnsi="Calibri"/>
          <w:color w:val="000000"/>
          <w:sz w:val="24"/>
        </w:rPr>
        <w:t xml:space="preserve"> and </w:t>
      </w:r>
      <m:oMath>
        <m:r>
          <m:t>SD</m:t>
        </m:r>
        <m:r>
          <m:t>(</m:t>
        </m:r>
        <m:sSub>
          <m:e>
            <m:r>
              <m:t>rr</m:t>
            </m:r>
          </m:e>
          <m:sub>
            <m:r>
              <m:t>t</m:t>
            </m:r>
          </m:sub>
        </m:sSub>
        <m:r>
          <m:t>) = 3.043</m:t>
        </m:r>
      </m:oMath>
      <w:r>
        <w:rPr>
          <w:rFonts w:ascii="Calibri" w:hAnsi="Calibri"/>
          <w:color w:val="000000"/>
          <w:sz w:val="24"/>
        </w:rPr>
        <w:t xml:space="preserve">. This means that adjusting for inflation only reduced the variability of </w:t>
      </w:r>
      <m:oMath>
        <m:sSub>
          <m:e>
            <m:r>
              <m:t>r</m:t>
            </m:r>
          </m:e>
          <m:sub>
            <m:r>
              <m:t>t</m:t>
            </m:r>
          </m:sub>
        </m:sSub>
      </m:oMath>
      <w:r>
        <w:rPr>
          <w:rFonts w:ascii="Calibri" w:hAnsi="Calibri"/>
          <w:color w:val="000000"/>
          <w:sz w:val="24"/>
        </w:rPr>
        <w:t xml:space="preserve"> by around 7%, indicating that real interest rates remained relatively volatile.</w:t>
      </w:r>
    </w:p>
    <w:p>
      <w:pPr>
        <w:pStyle w:val="Heading3"/>
      </w:pPr>
      <w:r>
        <w:t>4b)</w:t>
      </w:r>
    </w:p>
    <w:p>
      <w:pPr>
        <w:jc w:val="center"/>
      </w:pPr>
      <w:r>
        <w:drawing>
          <wp:inline xmlns:a="http://schemas.openxmlformats.org/drawingml/2006/main" xmlns:pic="http://schemas.openxmlformats.org/drawingml/2006/picture">
            <wp:extent cx="5852160" cy="1950720"/>
            <wp:docPr id="8" name="Picture 8"/>
            <wp:cNvGraphicFramePr>
              <a:graphicFrameLocks noChangeAspect="1"/>
            </wp:cNvGraphicFramePr>
            <a:graphic>
              <a:graphicData uri="http://schemas.openxmlformats.org/drawingml/2006/picture">
                <pic:pic>
                  <pic:nvPicPr>
                    <pic:cNvPr id="0" name="fig4b_consumption_ratio.png"/>
                    <pic:cNvPicPr/>
                  </pic:nvPicPr>
                  <pic:blipFill>
                    <a:blip r:embed="rId16"/>
                    <a:stretch>
                      <a:fillRect/>
                    </a:stretch>
                  </pic:blipFill>
                  <pic:spPr>
                    <a:xfrm>
                      <a:off x="0" y="0"/>
                      <a:ext cx="5852160" cy="1950720"/>
                    </a:xfrm>
                    <a:prstGeom prst="rect"/>
                  </pic:spPr>
                </pic:pic>
              </a:graphicData>
            </a:graphic>
          </wp:inline>
        </w:drawing>
      </w:r>
    </w:p>
    <w:p>
      <w:pPr>
        <w:jc w:val="center"/>
      </w:pPr>
      <w:r>
        <w:rPr>
          <w:rFonts w:ascii="Calibri" w:hAnsi="Calibri"/>
          <w:color w:val="000000"/>
          <w:sz w:val="24"/>
        </w:rPr>
        <w:t>Figure 6: Consumption Ratio (1959Q1 to 2023Q4)</w:t>
      </w:r>
    </w:p>
    <w:p>
      <w:r>
        <w:rPr>
          <w:rFonts w:ascii="Calibri" w:hAnsi="Calibri"/>
          <w:color w:val="000000"/>
          <w:sz w:val="24"/>
        </w:rPr>
        <w:t>The consumption ratio is:</w:t>
      </w:r>
    </w:p>
    <w:p>
      <w:pPr>
        <w:jc w:val="center"/>
      </w:pPr>
      <m:oMath>
        <m:sSub>
          <m:e>
            <m:r>
              <m:t>cy</m:t>
            </m:r>
          </m:e>
          <m:sub>
            <m:r>
              <m:t>t</m:t>
            </m:r>
          </m:sub>
        </m:sSub>
        <m:r>
          <m:t> = </m:t>
        </m:r>
        <m:sSub>
          <m:e>
            <m:r>
              <m:t>C</m:t>
            </m:r>
          </m:e>
          <m:sub>
            <m:r>
              <m:t>t</m:t>
            </m:r>
          </m:sub>
        </m:sSub>
        <m:r>
          <m:t> / </m:t>
        </m:r>
        <m:sSub>
          <m:e>
            <m:r>
              <m:t>Y</m:t>
            </m:r>
          </m:e>
          <m:sub>
            <m:r>
              <m:t>t</m:t>
            </m:r>
          </m:sub>
        </m:sSub>
      </m:oMath>
    </w:p>
    <w:p>
      <w:r>
        <w:rPr>
          <w:rFonts w:ascii="Calibri" w:hAnsi="Calibri"/>
          <w:color w:val="000000"/>
          <w:sz w:val="24"/>
        </w:rPr>
        <w:t xml:space="preserve">The main feature of the data is a long-run upward drift. Figure 6 shows </w:t>
      </w:r>
      <m:oMath>
        <m:sSub>
          <m:e>
            <m:r>
              <m:t>cy</m:t>
            </m:r>
          </m:e>
          <m:sub>
            <m:r>
              <m:t>t</m:t>
            </m:r>
          </m:sub>
        </m:sSub>
      </m:oMath>
      <w:r>
        <w:rPr>
          <w:rFonts w:ascii="Calibri" w:hAnsi="Calibri"/>
          <w:color w:val="000000"/>
          <w:sz w:val="24"/>
        </w:rPr>
        <w:t xml:space="preserve"> rising from about 0.590 early in the sample to about 0.693 by 2023Q4, with only small short-run deviations around that upward path. Economically, this indicates that consumption has grown faster than output over the period, so household spending takes up a rising share of GDP. Since private saving is income minus consumption, a rising consumption ratio implies a secular decline in the personal saving rate, consistent with the financial deregulation, increased household credit access, and demographic shifts observed over the sample.</w:t>
      </w:r>
    </w:p>
    <w:p>
      <w:pPr>
        <w:pStyle w:val="Heading3"/>
      </w:pPr>
      <w:r>
        <w:t>4c)</w:t>
      </w:r>
    </w:p>
    <w:p>
      <w:r>
        <w:rPr>
          <w:rFonts w:ascii="Calibri" w:hAnsi="Calibri"/>
          <w:color w:val="000000"/>
          <w:sz w:val="24"/>
        </w:rPr>
        <w:t xml:space="preserve">For the real interest rate, ARIMA models were searched over </w:t>
      </w:r>
      <m:oMath>
        <m:r>
          <m:t>p</m:t>
        </m:r>
        <m:r>
          <m:t>, </m:t>
        </m:r>
        <m:r>
          <m:t>q</m:t>
        </m:r>
        <m:r>
          <m:t> ∈ {0, ..., 10}</m:t>
        </m:r>
      </m:oMath>
      <w:r>
        <w:rPr>
          <w:rFonts w:ascii="Calibri" w:hAnsi="Calibri"/>
          <w:color w:val="000000"/>
          <w:sz w:val="24"/>
        </w:rPr>
        <w:t xml:space="preserve"> and </w:t>
      </w:r>
      <m:oMath>
        <m:r>
          <m:t>d</m:t>
        </m:r>
        <m:r>
          <m:t> ∈ {0, 1}</m:t>
        </m:r>
      </m:oMath>
      <w:r>
        <w:rPr>
          <w:rFonts w:ascii="Calibri" w:hAnsi="Calibri"/>
          <w:color w:val="000000"/>
          <w:sz w:val="24"/>
        </w:rPr>
        <w:t xml:space="preserve">, with and without deterministic terms. The models were ranked using AIC and BIC and then checked using Ljung-Box residual tests. The ADF test (Dickey-Fuller with lag order 6) gives a test statistic of −2.981 with p-value of 0.163, failing to formally reject the unit root null at the 5% level. However, this result is not decisive: </w:t>
      </w:r>
      <w:r>
        <w:rPr>
          <w:rFonts w:ascii="Calibri" w:hAnsi="Calibri"/>
          <w:i/>
          <w:color w:val="000000"/>
          <w:sz w:val="24"/>
        </w:rPr>
        <w:t>tseries::adf.test</w:t>
      </w:r>
      <w:r>
        <w:rPr>
          <w:rFonts w:ascii="Calibri" w:hAnsi="Calibri"/>
          <w:color w:val="000000"/>
          <w:sz w:val="24"/>
        </w:rPr>
        <w:t xml:space="preserve"> includes a deterministic trend by default, which is theoretically inappropriate for real interest rates since there is no economic reason for </w:t>
      </w:r>
      <m:oMath>
        <m:sSub>
          <m:e>
            <m:r>
              <m:t>rr</m:t>
            </m:r>
          </m:e>
          <m:sub>
            <m:r>
              <m:t>t</m:t>
            </m:r>
          </m:sub>
        </m:sSub>
      </m:oMath>
      <w:r>
        <w:rPr>
          <w:rFonts w:ascii="Calibri" w:hAnsi="Calibri"/>
          <w:color w:val="000000"/>
          <w:sz w:val="24"/>
        </w:rPr>
        <w:t xml:space="preserve"> to trend. Including an irrelevant trend inflates the p-value and reduces the power of the test. The choice of </w:t>
      </w:r>
      <m:oMath>
        <m:r>
          <m:t>d</m:t>
        </m:r>
        <m:r>
          <m:t> = 0</m:t>
        </m:r>
      </m:oMath>
      <w:r>
        <w:rPr>
          <w:rFonts w:ascii="Calibri" w:hAnsi="Calibri"/>
          <w:color w:val="000000"/>
          <w:sz w:val="24"/>
        </w:rPr>
        <w:t xml:space="preserve"> is instead supported by the Fisher hypothesis: </w:t>
      </w:r>
      <m:oMath>
        <m:sSub>
          <m:e>
            <m:r>
              <m:t>rr</m:t>
            </m:r>
          </m:e>
          <m:sub>
            <m:r>
              <m:t>t</m:t>
            </m:r>
          </m:sub>
        </m:sSub>
        <m:r>
          <m:t> = </m:t>
        </m:r>
        <m:sSub>
          <m:e>
            <m:r>
              <m:t>r</m:t>
            </m:r>
          </m:e>
          <m:sub>
            <m:r>
              <m:t>t</m:t>
            </m:r>
          </m:sub>
        </m:sSub>
        <m:r>
          <m:t> − 100·</m:t>
        </m:r>
        <m:r>
          <m:t>Δ</m:t>
        </m:r>
        <m:sSub>
          <m:e>
            <m:r>
              <m:t>p</m:t>
            </m:r>
          </m:e>
          <m:sub>
            <m:r>
              <m:t>t</m:t>
            </m:r>
          </m:sub>
        </m:sSub>
      </m:oMath>
      <w:r>
        <w:rPr>
          <w:rFonts w:ascii="Calibri" w:hAnsi="Calibri"/>
          <w:color w:val="000000"/>
          <w:sz w:val="24"/>
        </w:rPr>
        <w:t xml:space="preserve"> is a linear combination of two series sharing a common stochastic trend, forming a cointegrating residual that is theoretically I(0). Furthermore, the plot shows </w:t>
      </w:r>
      <m:oMath>
        <m:sSub>
          <m:e>
            <m:r>
              <m:t>rr</m:t>
            </m:r>
          </m:e>
          <m:sub>
            <m:r>
              <m:t>t</m:t>
            </m:r>
          </m:sub>
        </m:sSub>
      </m:oMath>
      <w:r>
        <w:rPr>
          <w:rFonts w:ascii="Calibri" w:hAnsi="Calibri"/>
          <w:color w:val="000000"/>
          <w:sz w:val="24"/>
        </w:rPr>
        <w:t xml:space="preserve"> oscillating around a stable positive mean of approximately 3.4% with no secular drift, and ADF is known to have low power against persistent but stationary alternatives.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Calibri" w:hAnsi="Calibri"/>
                <w:b/>
                <w:color w:val="000000"/>
                <w:sz w:val="24"/>
              </w:rPr>
              <w:t>Model</w:t>
            </w:r>
          </w:p>
        </w:tc>
        <w:tc>
          <w:tcPr>
            <w:tcW w:type="dxa" w:w="1728"/>
          </w:tcPr>
          <w:p>
            <w:r>
              <w:rPr>
                <w:rFonts w:ascii="Calibri" w:hAnsi="Calibri"/>
                <w:b/>
                <w:color w:val="000000"/>
                <w:sz w:val="24"/>
              </w:rPr>
              <w:t>d</w:t>
            </w:r>
          </w:p>
        </w:tc>
        <w:tc>
          <w:tcPr>
            <w:tcW w:type="dxa" w:w="1728"/>
          </w:tcPr>
          <w:p>
            <w:r>
              <w:rPr>
                <w:rFonts w:ascii="Calibri" w:hAnsi="Calibri"/>
                <w:b/>
                <w:color w:val="000000"/>
                <w:sz w:val="24"/>
              </w:rPr>
              <w:t>AIC</w:t>
            </w:r>
          </w:p>
        </w:tc>
        <w:tc>
          <w:tcPr>
            <w:tcW w:type="dxa" w:w="1728"/>
          </w:tcPr>
          <w:p>
            <w:r>
              <w:rPr>
                <w:rFonts w:ascii="Calibri" w:hAnsi="Calibri"/>
                <w:b/>
                <w:color w:val="000000"/>
                <w:sz w:val="24"/>
              </w:rPr>
              <w:t>BIC</w:t>
            </w:r>
          </w:p>
        </w:tc>
        <w:tc>
          <w:tcPr>
            <w:tcW w:type="dxa" w:w="1728"/>
          </w:tcPr>
          <w:p>
            <w:r>
              <w:rPr>
                <w:rFonts w:ascii="Calibri" w:hAnsi="Calibri"/>
                <w:b/>
                <w:color w:val="000000"/>
                <w:sz w:val="24"/>
              </w:rPr>
              <w:t>Ljung-Box p-value</w:t>
            </w:r>
          </w:p>
        </w:tc>
      </w:tr>
      <w:tr>
        <w:tc>
          <w:tcPr>
            <w:tcW w:type="dxa" w:w="1728"/>
          </w:tcPr>
          <w:p>
            <w:r>
              <w:rPr>
                <w:rFonts w:ascii="Calibri" w:hAnsi="Calibri"/>
                <w:color w:val="000000"/>
                <w:sz w:val="24"/>
              </w:rPr>
              <w:t>ARIMA(8,0,1)</w:t>
            </w:r>
          </w:p>
        </w:tc>
        <w:tc>
          <w:tcPr>
            <w:tcW w:type="dxa" w:w="1728"/>
          </w:tcPr>
          <w:p>
            <w:r>
              <w:rPr>
                <w:rFonts w:ascii="Calibri" w:hAnsi="Calibri"/>
                <w:color w:val="000000"/>
                <w:sz w:val="24"/>
              </w:rPr>
              <w:t>0</w:t>
            </w:r>
          </w:p>
        </w:tc>
        <w:tc>
          <w:tcPr>
            <w:tcW w:type="dxa" w:w="1728"/>
          </w:tcPr>
          <w:p>
            <w:r>
              <w:rPr>
                <w:rFonts w:ascii="Calibri" w:hAnsi="Calibri"/>
                <w:color w:val="000000"/>
                <w:sz w:val="24"/>
              </w:rPr>
              <w:t>463.82</w:t>
            </w:r>
          </w:p>
        </w:tc>
        <w:tc>
          <w:tcPr>
            <w:tcW w:type="dxa" w:w="1728"/>
          </w:tcPr>
          <w:p>
            <w:r>
              <w:rPr>
                <w:rFonts w:ascii="Calibri" w:hAnsi="Calibri"/>
                <w:color w:val="000000"/>
                <w:sz w:val="24"/>
              </w:rPr>
              <w:t>502.94</w:t>
            </w:r>
          </w:p>
        </w:tc>
        <w:tc>
          <w:tcPr>
            <w:tcW w:type="dxa" w:w="1728"/>
          </w:tcPr>
          <w:p>
            <w:r>
              <w:rPr>
                <w:rFonts w:ascii="Calibri" w:hAnsi="Calibri"/>
                <w:color w:val="000000"/>
                <w:sz w:val="24"/>
              </w:rPr>
              <w:t>1.0000</w:t>
            </w:r>
          </w:p>
        </w:tc>
      </w:tr>
    </w:tbl>
    <w:p/>
    <w:p>
      <w:r>
        <w:rPr>
          <w:rFonts w:ascii="Calibri" w:hAnsi="Calibri"/>
          <w:color w:val="000000"/>
          <w:sz w:val="24"/>
        </w:rPr>
        <w:t>This model is selected because it has the lowest AIC among the adequate models. Its Ljung-Box p-value of 1.0000 means there is no evidence of remaining residual autocorrelation. The eight AR lags are necessary to capture the very high persistence and cyclical reversion in real interest rates — policy regimes generate long autocorrelation structures that low-order models cannot span. The MA(1) term picks up short-run shock dynamics and the intercept (3.350) estimates the long-run unconditional mean.</w:t>
      </w:r>
    </w:p>
    <w:p>
      <w:pPr>
        <w:pStyle w:val="Heading3"/>
      </w:pPr>
      <w:r>
        <w:t>4d)</w:t>
      </w:r>
    </w:p>
    <w:p>
      <w:r>
        <w:rPr>
          <w:rFonts w:ascii="Calibri" w:hAnsi="Calibri"/>
          <w:color w:val="000000"/>
          <w:sz w:val="24"/>
        </w:rPr>
        <w:t xml:space="preserve">For the consumption ratio, a search over </w:t>
      </w:r>
      <m:oMath>
        <m:r>
          <m:t>p</m:t>
        </m:r>
        <m:r>
          <m:t>, </m:t>
        </m:r>
        <m:r>
          <m:t>q</m:t>
        </m:r>
        <m:r>
          <m:t> ∈ {0, ..., 6}</m:t>
        </m:r>
      </m:oMath>
      <w:r>
        <w:rPr>
          <w:rFonts w:ascii="Calibri" w:hAnsi="Calibri"/>
          <w:color w:val="000000"/>
          <w:sz w:val="24"/>
        </w:rPr>
        <w:t xml:space="preserve"> and </w:t>
      </w:r>
      <m:oMath>
        <m:r>
          <m:t>d</m:t>
        </m:r>
        <m:r>
          <m:t> ∈ {0, 1}</m:t>
        </m:r>
      </m:oMath>
      <w:r>
        <w:rPr>
          <w:rFonts w:ascii="Calibri" w:hAnsi="Calibri"/>
          <w:color w:val="000000"/>
          <w:sz w:val="24"/>
        </w:rPr>
        <w:t xml:space="preserve">, with and without deterministic terms, was carried out using AIC, BIC and residual diagnostics. ADF tests with a trend reject the null of a unit root for </w:t>
      </w:r>
      <m:oMath>
        <m:sSub>
          <m:e>
            <m:r>
              <m:t>cy</m:t>
            </m:r>
          </m:e>
          <m:sub>
            <m:r>
              <m:t>t</m:t>
            </m:r>
          </m:sub>
        </m:sSub>
      </m:oMath>
      <w:r>
        <w:rPr>
          <w:rFonts w:ascii="Calibri" w:hAnsi="Calibri"/>
          <w:color w:val="000000"/>
          <w:sz w:val="24"/>
        </w:rPr>
        <w:t xml:space="preserve"> at the 5% level (stat = −3.47, CV = −2.87), supporting </w:t>
      </w:r>
      <m:oMath>
        <m:r>
          <m:t>d</m:t>
        </m:r>
        <m:r>
          <m:t> = 0</m:t>
        </m:r>
      </m:oMath>
      <w:r>
        <w:rPr>
          <w:rFonts w:ascii="Calibri" w:hAnsi="Calibri"/>
          <w:color w:val="000000"/>
          <w:sz w:val="24"/>
        </w:rPr>
        <w:t>. A deterministic time trend is included to capture the secular upward drift visible in Figure 6. The best model by AIC is: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Calibri" w:hAnsi="Calibri"/>
                <w:b/>
                <w:color w:val="000000"/>
                <w:sz w:val="24"/>
              </w:rPr>
              <w:t>Model</w:t>
            </w:r>
          </w:p>
        </w:tc>
        <w:tc>
          <w:tcPr>
            <w:tcW w:type="dxa" w:w="1728"/>
          </w:tcPr>
          <w:p>
            <w:r>
              <w:rPr>
                <w:rFonts w:ascii="Calibri" w:hAnsi="Calibri"/>
                <w:b/>
                <w:color w:val="000000"/>
                <w:sz w:val="24"/>
              </w:rPr>
              <w:t>d</w:t>
            </w:r>
          </w:p>
        </w:tc>
        <w:tc>
          <w:tcPr>
            <w:tcW w:type="dxa" w:w="1728"/>
          </w:tcPr>
          <w:p>
            <w:r>
              <w:rPr>
                <w:rFonts w:ascii="Calibri" w:hAnsi="Calibri"/>
                <w:b/>
                <w:color w:val="000000"/>
                <w:sz w:val="24"/>
              </w:rPr>
              <w:t>AIC</w:t>
            </w:r>
          </w:p>
        </w:tc>
        <w:tc>
          <w:tcPr>
            <w:tcW w:type="dxa" w:w="1728"/>
          </w:tcPr>
          <w:p>
            <w:r>
              <w:rPr>
                <w:rFonts w:ascii="Calibri" w:hAnsi="Calibri"/>
                <w:b/>
                <w:color w:val="000000"/>
                <w:sz w:val="24"/>
              </w:rPr>
              <w:t>BIC</w:t>
            </w:r>
          </w:p>
        </w:tc>
        <w:tc>
          <w:tcPr>
            <w:tcW w:type="dxa" w:w="1728"/>
          </w:tcPr>
          <w:p>
            <w:r>
              <w:rPr>
                <w:rFonts w:ascii="Calibri" w:hAnsi="Calibri"/>
                <w:b/>
                <w:color w:val="000000"/>
                <w:sz w:val="24"/>
              </w:rPr>
              <w:t>Ljung-Box p-value</w:t>
            </w:r>
          </w:p>
        </w:tc>
      </w:tr>
      <w:tr>
        <w:tc>
          <w:tcPr>
            <w:tcW w:type="dxa" w:w="1728"/>
          </w:tcPr>
          <w:p>
            <w:r>
              <w:rPr>
                <w:rFonts w:ascii="Calibri" w:hAnsi="Calibri"/>
                <w:color w:val="000000"/>
                <w:sz w:val="24"/>
              </w:rPr>
              <w:t>ARIMA(3,0,2) with trend</w:t>
            </w:r>
          </w:p>
        </w:tc>
        <w:tc>
          <w:tcPr>
            <w:tcW w:type="dxa" w:w="1728"/>
          </w:tcPr>
          <w:p>
            <w:r>
              <w:rPr>
                <w:rFonts w:ascii="Calibri" w:hAnsi="Calibri"/>
                <w:color w:val="000000"/>
                <w:sz w:val="24"/>
              </w:rPr>
              <w:t>0</w:t>
            </w:r>
          </w:p>
        </w:tc>
        <w:tc>
          <w:tcPr>
            <w:tcW w:type="dxa" w:w="1728"/>
          </w:tcPr>
          <w:p>
            <w:r>
              <w:rPr>
                <w:rFonts w:ascii="Calibri" w:hAnsi="Calibri"/>
                <w:color w:val="000000"/>
                <w:sz w:val="24"/>
              </w:rPr>
              <w:t>−2146.13</w:t>
            </w:r>
          </w:p>
        </w:tc>
        <w:tc>
          <w:tcPr>
            <w:tcW w:type="dxa" w:w="1728"/>
          </w:tcPr>
          <w:p>
            <w:r>
              <w:rPr>
                <w:rFonts w:ascii="Calibri" w:hAnsi="Calibri"/>
                <w:color w:val="000000"/>
                <w:sz w:val="24"/>
              </w:rPr>
              <w:t>−2117.65</w:t>
            </w:r>
          </w:p>
        </w:tc>
        <w:tc>
          <w:tcPr>
            <w:tcW w:type="dxa" w:w="1728"/>
          </w:tcPr>
          <w:p>
            <w:r>
              <w:rPr>
                <w:rFonts w:ascii="Calibri" w:hAnsi="Calibri"/>
                <w:color w:val="000000"/>
                <w:sz w:val="24"/>
              </w:rPr>
              <w:t>0.9939</w:t>
            </w:r>
          </w:p>
        </w:tc>
      </w:tr>
    </w:tbl>
    <w:p/>
    <w:p>
      <w:r>
        <w:rPr>
          <w:rFonts w:ascii="Calibri" w:hAnsi="Calibri"/>
          <w:color w:val="000000"/>
          <w:sz w:val="24"/>
        </w:rPr>
        <w:t>This model is preferred because it has the lowest AIC and ADF supports stationarity around a trend. The positive trend coefficient of 0.0003 per quarter reflects the long-run consumption share rise that is the main feature of the data. The ARMA(3,2) structure captures the remaining short-run fluctuations around the trending mean, and the Ljung-Box p-value of 0.9939 confirms no residual autocorrelation.</w:t>
      </w:r>
    </w:p>
    <w:p>
      <w:pPr>
        <w:pStyle w:val="Heading3"/>
      </w:pPr>
      <w:r>
        <w:t>4e)</w:t>
      </w:r>
    </w:p>
    <w:p>
      <w:r>
        <w:rPr>
          <w:rFonts w:ascii="Calibri" w:hAnsi="Calibri"/>
          <w:color w:val="000000"/>
          <w:sz w:val="24"/>
        </w:rPr>
        <w:t xml:space="preserve">The real-rate model is useful for monetary policy as </w:t>
      </w:r>
      <m:oMath>
        <m:sSub>
          <m:e>
            <m:r>
              <m:t>rr</m:t>
            </m:r>
          </m:e>
          <m:sub>
            <m:r>
              <m:t>t</m:t>
            </m:r>
          </m:sub>
        </m:sSub>
      </m:oMath>
      <w:r>
        <w:rPr>
          <w:rFonts w:ascii="Calibri" w:hAnsi="Calibri"/>
          <w:color w:val="000000"/>
          <w:sz w:val="24"/>
        </w:rPr>
        <w:t xml:space="preserve"> determines the actual cost of borrowing in inflation-adjusted terms, driving investment and consumption decisions. An ARIMA model for </w:t>
      </w:r>
      <m:oMath>
        <m:sSub>
          <m:e>
            <m:r>
              <m:t>rr</m:t>
            </m:r>
          </m:e>
          <m:sub>
            <m:r>
              <m:t>t</m:t>
            </m:r>
          </m:sub>
        </m:sSub>
      </m:oMath>
      <w:r>
        <w:rPr>
          <w:rFonts w:ascii="Calibri" w:hAnsi="Calibri"/>
          <w:color w:val="000000"/>
          <w:sz w:val="24"/>
        </w:rPr>
        <w:t xml:space="preserve"> can be used to forecast whether policy rates are genuinely restrictive or accommodative in real terms, which is a key input to Taylor-rule assessments. Forecasting when </w:t>
      </w:r>
      <m:oMath>
        <m:sSub>
          <m:e>
            <m:r>
              <m:t>rr</m:t>
            </m:r>
          </m:e>
          <m:sub>
            <m:r>
              <m:t>t</m:t>
            </m:r>
          </m:sub>
        </m:sSub>
      </m:oMath>
      <w:r>
        <w:rPr>
          <w:rFonts w:ascii="Calibri" w:hAnsi="Calibri"/>
          <w:color w:val="000000"/>
          <w:sz w:val="24"/>
        </w:rPr>
        <w:t xml:space="preserve"> is likely to fall back toward neutral helps guide decisions on the timing and pace of rate cuts.</w:t>
      </w:r>
    </w:p>
    <w:p>
      <w:r>
        <w:rPr>
          <w:rFonts w:ascii="Calibri" w:hAnsi="Calibri"/>
          <w:color w:val="000000"/>
          <w:sz w:val="24"/>
        </w:rPr>
        <w:t xml:space="preserve">The consumption-ratio model is useful for both fiscal and monetary policy. A rising </w:t>
      </w:r>
      <m:oMath>
        <m:sSub>
          <m:e>
            <m:r>
              <m:t>cy</m:t>
            </m:r>
          </m:e>
          <m:sub>
            <m:r>
              <m:t>t</m:t>
            </m:r>
          </m:sub>
        </m:sSub>
      </m:oMath>
      <w:r>
        <w:rPr>
          <w:rFonts w:ascii="Calibri" w:hAnsi="Calibri"/>
          <w:color w:val="000000"/>
          <w:sz w:val="24"/>
        </w:rPr>
        <w:t xml:space="preserve"> means that household spending is taking up a larger share of output. For fiscal policy, this implies that consumption-based multipliers are larger, so tax cuts or transfer increases have greater demand stimulus effects. For monetary policy, a persistently high consumption ratio may signal growing household vulnerability to income or interest rate shocks, informing risk assessments around financial stability.</w:t>
      </w:r>
    </w:p>
    <w:p>
      <w:r>
        <w:br w:type="page"/>
      </w:r>
    </w:p>
    <w:p>
      <w:pPr>
        <w:pStyle w:val="Heading2"/>
      </w:pPr>
      <w:r>
        <w:t>Question 5</w:t>
      </w:r>
    </w:p>
    <w:p>
      <w:pPr>
        <w:pStyle w:val="Heading3"/>
      </w:pPr>
      <w:r>
        <w:t>5a)</w:t>
      </w:r>
    </w:p>
    <w:p>
      <w:r>
        <w:rPr>
          <w:rFonts w:ascii="Calibri" w:hAnsi="Calibri"/>
          <w:color w:val="000000"/>
          <w:sz w:val="24"/>
        </w:rPr>
        <w:t>Daily returns are:</w:t>
      </w:r>
    </w:p>
    <w:p>
      <w:pPr>
        <w:jc w:val="center"/>
      </w:pPr>
      <m:oMath>
        <m:sSub>
          <m:e>
            <m:r>
              <m:t>e</m:t>
            </m:r>
          </m:e>
          <m:sub>
            <m:r>
              <m:t>j,t</m:t>
            </m:r>
          </m:sub>
        </m:sSub>
        <m:r>
          <m:t> = 100·</m:t>
        </m:r>
        <m:r>
          <m:t>Δ</m:t>
        </m:r>
        <m:r>
          <m:t>ln</m:t>
        </m:r>
        <m:r>
          <m:t>(</m:t>
        </m:r>
        <m:sSub>
          <m:e>
            <m:r>
              <m:t>S</m:t>
            </m:r>
          </m:e>
          <m:sub>
            <m:r>
              <m:t>j,t</m:t>
            </m:r>
          </m:sub>
        </m:sSub>
        <m:r>
          <m:t>)</m:t>
        </m:r>
      </m:oMath>
    </w:p>
    <w:p>
      <w:r>
        <w:rPr>
          <w:rFonts w:ascii="Calibri" w:hAnsi="Calibri"/>
          <w:color w:val="000000"/>
          <w:sz w:val="24"/>
        </w:rPr>
        <w:t xml:space="preserve">for </w:t>
      </w:r>
      <m:oMath>
        <m:r>
          <m:t>j</m:t>
        </m:r>
        <m:r>
          <m:t> ∈ {</m:t>
        </m:r>
        <m:r>
          <m:t>CNY</m:t>
        </m:r>
        <m:r>
          <m:t>, </m:t>
        </m:r>
        <m:r>
          <m:t>USD</m:t>
        </m:r>
        <m:r>
          <m:t>, </m:t>
        </m:r>
        <m:r>
          <m:t>TWI</m:t>
        </m:r>
        <m:r>
          <m:t>, </m:t>
        </m:r>
        <m:r>
          <m:t>SDR</m:t>
        </m:r>
        <m:r>
          <m:t>}</m:t>
        </m:r>
      </m:oMath>
      <w:r>
        <w:rPr>
          <w:rFonts w:ascii="Calibri" w:hAnsi="Calibri"/>
          <w:color w:val="000000"/>
          <w:sz w:val="24"/>
        </w:rPr>
        <w:t>. The sample variances of these return series are:</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Calibri" w:hAnsi="Calibri"/>
                <w:b/>
                <w:color w:val="000000"/>
                <w:sz w:val="24"/>
              </w:rPr>
              <w:t>Currency</w:t>
            </w:r>
          </w:p>
        </w:tc>
        <w:tc>
          <w:tcPr>
            <w:tcW w:type="dxa" w:w="2880"/>
          </w:tcPr>
          <w:p>
            <w:r>
              <w:rPr>
                <w:rFonts w:ascii="Calibri" w:hAnsi="Calibri"/>
                <w:b/>
                <w:color w:val="000000"/>
                <w:sz w:val="24"/>
              </w:rPr>
              <w:t>Sample Variance</w:t>
            </w:r>
          </w:p>
        </w:tc>
        <w:tc>
          <w:tcPr>
            <w:tcW w:type="dxa" w:w="2880"/>
          </w:tcPr>
          <w:p>
            <w:r>
              <w:rPr>
                <w:rFonts w:ascii="Calibri" w:hAnsi="Calibri"/>
                <w:b/>
                <w:color w:val="000000"/>
                <w:sz w:val="24"/>
              </w:rPr>
              <w:t>SD (%)</w:t>
            </w:r>
          </w:p>
        </w:tc>
      </w:tr>
      <w:tr>
        <w:tc>
          <w:tcPr>
            <w:tcW w:type="dxa" w:w="2880"/>
          </w:tcPr>
          <w:p>
            <w:r>
              <w:rPr>
                <w:rFonts w:ascii="Calibri" w:hAnsi="Calibri"/>
                <w:color w:val="000000"/>
                <w:sz w:val="24"/>
              </w:rPr>
              <w:t>CNY</w:t>
            </w:r>
          </w:p>
        </w:tc>
        <w:tc>
          <w:tcPr>
            <w:tcW w:type="dxa" w:w="2880"/>
          </w:tcPr>
          <w:p>
            <w:r>
              <w:rPr>
                <w:rFonts w:ascii="Calibri" w:hAnsi="Calibri"/>
                <w:color w:val="000000"/>
                <w:sz w:val="24"/>
              </w:rPr>
              <w:t>0.3369</w:t>
            </w:r>
          </w:p>
        </w:tc>
        <w:tc>
          <w:tcPr>
            <w:tcW w:type="dxa" w:w="2880"/>
          </w:tcPr>
          <w:p>
            <w:r>
              <w:rPr>
                <w:rFonts w:ascii="Calibri" w:hAnsi="Calibri"/>
                <w:color w:val="000000"/>
                <w:sz w:val="24"/>
              </w:rPr>
              <w:t>0.580</w:t>
            </w:r>
          </w:p>
        </w:tc>
      </w:tr>
      <w:tr>
        <w:tc>
          <w:tcPr>
            <w:tcW w:type="dxa" w:w="2880"/>
          </w:tcPr>
          <w:p>
            <w:r>
              <w:rPr>
                <w:rFonts w:ascii="Calibri" w:hAnsi="Calibri"/>
                <w:color w:val="000000"/>
                <w:sz w:val="24"/>
              </w:rPr>
              <w:t>USD</w:t>
            </w:r>
          </w:p>
        </w:tc>
        <w:tc>
          <w:tcPr>
            <w:tcW w:type="dxa" w:w="2880"/>
          </w:tcPr>
          <w:p>
            <w:r>
              <w:rPr>
                <w:rFonts w:ascii="Calibri" w:hAnsi="Calibri"/>
                <w:color w:val="000000"/>
                <w:sz w:val="24"/>
              </w:rPr>
              <w:t>0.4381</w:t>
            </w:r>
          </w:p>
        </w:tc>
        <w:tc>
          <w:tcPr>
            <w:tcW w:type="dxa" w:w="2880"/>
          </w:tcPr>
          <w:p>
            <w:r>
              <w:rPr>
                <w:rFonts w:ascii="Calibri" w:hAnsi="Calibri"/>
                <w:color w:val="000000"/>
                <w:sz w:val="24"/>
              </w:rPr>
              <w:t>0.662</w:t>
            </w:r>
          </w:p>
        </w:tc>
      </w:tr>
      <w:tr>
        <w:tc>
          <w:tcPr>
            <w:tcW w:type="dxa" w:w="2880"/>
          </w:tcPr>
          <w:p>
            <w:r>
              <w:rPr>
                <w:rFonts w:ascii="Calibri" w:hAnsi="Calibri"/>
                <w:color w:val="000000"/>
                <w:sz w:val="24"/>
              </w:rPr>
              <w:t>TWI</w:t>
            </w:r>
          </w:p>
        </w:tc>
        <w:tc>
          <w:tcPr>
            <w:tcW w:type="dxa" w:w="2880"/>
          </w:tcPr>
          <w:p>
            <w:r>
              <w:rPr>
                <w:rFonts w:ascii="Calibri" w:hAnsi="Calibri"/>
                <w:color w:val="000000"/>
                <w:sz w:val="24"/>
              </w:rPr>
              <w:t>0.2675</w:t>
            </w:r>
          </w:p>
        </w:tc>
        <w:tc>
          <w:tcPr>
            <w:tcW w:type="dxa" w:w="2880"/>
          </w:tcPr>
          <w:p>
            <w:r>
              <w:rPr>
                <w:rFonts w:ascii="Calibri" w:hAnsi="Calibri"/>
                <w:color w:val="000000"/>
                <w:sz w:val="24"/>
              </w:rPr>
              <w:t>0.517</w:t>
            </w:r>
          </w:p>
        </w:tc>
      </w:tr>
      <w:tr>
        <w:tc>
          <w:tcPr>
            <w:tcW w:type="dxa" w:w="2880"/>
          </w:tcPr>
          <w:p>
            <w:r>
              <w:rPr>
                <w:rFonts w:ascii="Calibri" w:hAnsi="Calibri"/>
                <w:color w:val="000000"/>
                <w:sz w:val="24"/>
              </w:rPr>
              <w:t>SDR</w:t>
            </w:r>
          </w:p>
        </w:tc>
        <w:tc>
          <w:tcPr>
            <w:tcW w:type="dxa" w:w="2880"/>
          </w:tcPr>
          <w:p>
            <w:r>
              <w:rPr>
                <w:rFonts w:ascii="Calibri" w:hAnsi="Calibri"/>
                <w:color w:val="000000"/>
                <w:sz w:val="24"/>
              </w:rPr>
              <w:t>0.4492</w:t>
            </w:r>
          </w:p>
        </w:tc>
        <w:tc>
          <w:tcPr>
            <w:tcW w:type="dxa" w:w="2880"/>
          </w:tcPr>
          <w:p>
            <w:r>
              <w:rPr>
                <w:rFonts w:ascii="Calibri" w:hAnsi="Calibri"/>
                <w:color w:val="000000"/>
                <w:sz w:val="24"/>
              </w:rPr>
              <w:t>0.670</w:t>
            </w:r>
          </w:p>
        </w:tc>
      </w:tr>
    </w:tbl>
    <w:p/>
    <w:p>
      <w:r>
        <w:rPr>
          <w:rFonts w:ascii="Calibri" w:hAnsi="Calibri"/>
          <w:color w:val="000000"/>
          <w:sz w:val="24"/>
        </w:rPr>
        <w:t>Overall, SDR is the most volatile series on average, followed by USD, CNY and then TWI (SDR &gt; USD &gt; CNY &gt; TWI). SDR has the largest variance at 0.4492, which is a daily standard deviation of approximately 0.670%. These sample variances are useful for comparing average unconditional volatility across currencies, but estimating a single variance over a full sample assumes that the return process is iid with constant variance. This is not consistent with the volatility clustering visible in Question 5b, which motivates a GARCH-type model to capture time-varying conditional variance.</w:t>
      </w:r>
    </w:p>
    <w:p>
      <w:pPr>
        <w:pStyle w:val="Heading3"/>
      </w:pPr>
      <w:r>
        <w:t>5b)</w:t>
      </w:r>
    </w:p>
    <w:p>
      <w:pPr>
        <w:jc w:val="center"/>
      </w:pPr>
      <w:r>
        <w:drawing>
          <wp:inline xmlns:a="http://schemas.openxmlformats.org/drawingml/2006/main" xmlns:pic="http://schemas.openxmlformats.org/drawingml/2006/picture">
            <wp:extent cx="5852160" cy="2926080"/>
            <wp:docPr id="9" name="Picture 9"/>
            <wp:cNvGraphicFramePr>
              <a:graphicFrameLocks noChangeAspect="1"/>
            </wp:cNvGraphicFramePr>
            <a:graphic>
              <a:graphicData uri="http://schemas.openxmlformats.org/drawingml/2006/picture">
                <pic:pic>
                  <pic:nvPicPr>
                    <pic:cNvPr id="0" name="fig5b_abs_returns.png"/>
                    <pic:cNvPicPr/>
                  </pic:nvPicPr>
                  <pic:blipFill>
                    <a:blip r:embed="rId17"/>
                    <a:stretch>
                      <a:fillRect/>
                    </a:stretch>
                  </pic:blipFill>
                  <pic:spPr>
                    <a:xfrm>
                      <a:off x="0" y="0"/>
                      <a:ext cx="5852160" cy="2926080"/>
                    </a:xfrm>
                    <a:prstGeom prst="rect"/>
                  </pic:spPr>
                </pic:pic>
              </a:graphicData>
            </a:graphic>
          </wp:inline>
        </w:drawing>
      </w:r>
    </w:p>
    <w:p>
      <w:pPr>
        <w:jc w:val="center"/>
      </w:pPr>
      <w:r>
        <w:rPr>
          <w:rFonts w:ascii="Calibri" w:hAnsi="Calibri"/>
          <w:color w:val="000000"/>
          <w:sz w:val="24"/>
        </w:rPr>
        <w:t>Figure 7: Absolute returns for CNY, USD, TWI and SDR exchange rates (2018–2026)</w:t>
      </w:r>
    </w:p>
    <w:p>
      <w:r>
        <w:rPr>
          <w:rFonts w:ascii="Calibri" w:hAnsi="Calibri"/>
          <w:color w:val="000000"/>
          <w:sz w:val="24"/>
        </w:rPr>
        <w:t xml:space="preserve">In all four series, the plots of </w:t>
      </w:r>
      <m:oMath>
        <m:r>
          <m:t>|</m:t>
        </m:r>
        <m:sSub>
          <m:e>
            <m:r>
              <m:t>e</m:t>
            </m:r>
          </m:e>
          <m:sub>
            <m:r>
              <m:t>j,t</m:t>
            </m:r>
          </m:sub>
        </m:sSub>
        <m:r>
          <m:t>|</m:t>
        </m:r>
      </m:oMath>
      <w:r>
        <w:rPr>
          <w:rFonts w:ascii="Calibri" w:hAnsi="Calibri"/>
          <w:color w:val="000000"/>
          <w:sz w:val="24"/>
        </w:rPr>
        <w:t xml:space="preserve"> show volatility clustering, where large absolute returns tend to be followed by further large movements, and low absolute returns followed by smaller movements. This is most prominent around March 2020 (COVID-19 pandemic onset), where daily moves exceeded 3–5% across all currencies. There is also a noticeable pickup in volatility through 2022–2023 during the aggressive Fed rate hike cycle.</w:t>
      </w:r>
    </w:p>
    <w:p>
      <w:r>
        <w:rPr>
          <w:rFonts w:ascii="Calibri" w:hAnsi="Calibri"/>
          <w:color w:val="000000"/>
          <w:sz w:val="24"/>
        </w:rPr>
        <w:t>This behaviour is inconsistent with an iid process with constant variance, as the graphs would show absolute returns randomly scattered without systematic clustering. Instead, it suggests the presence of GARCH-type dynamics in the conditional variance.</w:t>
      </w:r>
    </w:p>
    <w:p>
      <w:r>
        <w:br w:type="page"/>
      </w:r>
    </w:p>
    <w:p>
      <w:pPr>
        <w:pStyle w:val="Heading2"/>
      </w:pPr>
      <w:r>
        <w:t>Question 6</w:t>
      </w:r>
    </w:p>
    <w:p>
      <w:r>
        <w:rPr>
          <w:rFonts w:ascii="Calibri" w:hAnsi="Calibri"/>
          <w:color w:val="000000"/>
          <w:sz w:val="24"/>
        </w:rPr>
        <w:t xml:space="preserve">Firstly, ARMA(p,q) models with </w:t>
      </w:r>
      <m:oMath>
        <m:r>
          <m:t>d</m:t>
        </m:r>
        <m:r>
          <m:t> = 0</m:t>
        </m:r>
      </m:oMath>
      <w:r>
        <w:rPr>
          <w:rFonts w:ascii="Calibri" w:hAnsi="Calibri"/>
          <w:color w:val="000000"/>
          <w:sz w:val="24"/>
        </w:rPr>
        <w:t xml:space="preserve"> were estimated for each return series </w:t>
      </w:r>
      <m:oMath>
        <m:sSub>
          <m:e>
            <m:r>
              <m:t>e</m:t>
            </m:r>
          </m:e>
          <m:sub>
            <m:r>
              <m:t>j,t</m:t>
            </m:r>
          </m:sub>
        </m:sSub>
      </m:oMath>
      <w:r>
        <w:rPr>
          <w:rFonts w:ascii="Calibri" w:hAnsi="Calibri"/>
          <w:color w:val="000000"/>
          <w:sz w:val="24"/>
        </w:rPr>
        <w:t xml:space="preserve">, searching over </w:t>
      </w:r>
      <m:oMath>
        <m:r>
          <m:t>p</m:t>
        </m:r>
        <m:r>
          <m:t>, </m:t>
        </m:r>
        <m:r>
          <m:t>q</m:t>
        </m:r>
        <m:r>
          <m:t> ∈ {0, 1, 2, 3}</m:t>
        </m:r>
      </m:oMath>
      <w:r>
        <w:rPr>
          <w:rFonts w:ascii="Calibri" w:hAnsi="Calibri"/>
          <w:color w:val="000000"/>
          <w:sz w:val="24"/>
        </w:rPr>
        <w:t>. Models were compared using AIC, BIC and the Ljung-Box test at lag 10.</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Calibri" w:hAnsi="Calibri"/>
                <w:b/>
                <w:color w:val="000000"/>
                <w:sz w:val="24"/>
              </w:rPr>
              <w:t>Exchange-rate return</w:t>
            </w:r>
          </w:p>
        </w:tc>
        <w:tc>
          <w:tcPr>
            <w:tcW w:type="dxa" w:w="1728"/>
          </w:tcPr>
          <w:p>
            <w:r>
              <w:rPr>
                <w:rFonts w:ascii="Calibri" w:hAnsi="Calibri"/>
                <w:b/>
                <w:color w:val="000000"/>
                <w:sz w:val="24"/>
              </w:rPr>
              <w:t>Selected ARMA model</w:t>
            </w:r>
          </w:p>
        </w:tc>
        <w:tc>
          <w:tcPr>
            <w:tcW w:type="dxa" w:w="1728"/>
          </w:tcPr>
          <w:p>
            <w:r>
              <w:rPr>
                <w:rFonts w:ascii="Calibri" w:hAnsi="Calibri"/>
                <w:b/>
                <w:color w:val="000000"/>
                <w:sz w:val="24"/>
              </w:rPr>
              <w:t>AIC</w:t>
            </w:r>
          </w:p>
        </w:tc>
        <w:tc>
          <w:tcPr>
            <w:tcW w:type="dxa" w:w="1728"/>
          </w:tcPr>
          <w:p>
            <w:r>
              <w:rPr>
                <w:rFonts w:ascii="Calibri" w:hAnsi="Calibri"/>
                <w:b/>
                <w:color w:val="000000"/>
                <w:sz w:val="24"/>
              </w:rPr>
              <w:t>BIC</w:t>
            </w:r>
          </w:p>
        </w:tc>
        <w:tc>
          <w:tcPr>
            <w:tcW w:type="dxa" w:w="1728"/>
          </w:tcPr>
          <w:p>
            <w:r>
              <w:rPr>
                <w:rFonts w:ascii="Calibri" w:hAnsi="Calibri"/>
                <w:b/>
                <w:color w:val="000000"/>
                <w:sz w:val="24"/>
              </w:rPr>
              <w:t>Ljung-Box p-value (lag 10)</w:t>
            </w:r>
          </w:p>
        </w:tc>
      </w:tr>
      <w:tr>
        <w:tc>
          <w:tcPr>
            <w:tcW w:type="dxa" w:w="1728"/>
          </w:tcPr>
          <w:p>
            <w:r>
              <w:rPr>
                <w:rFonts w:ascii="Calibri" w:hAnsi="Calibri"/>
                <w:color w:val="000000"/>
                <w:sz w:val="24"/>
              </w:rPr>
              <w:t>CNY</w:t>
            </w:r>
          </w:p>
        </w:tc>
        <w:tc>
          <w:tcPr>
            <w:tcW w:type="dxa" w:w="1728"/>
          </w:tcPr>
          <w:p>
            <w:r>
              <w:rPr>
                <w:rFonts w:ascii="Calibri" w:hAnsi="Calibri"/>
                <w:color w:val="000000"/>
                <w:sz w:val="24"/>
              </w:rPr>
              <w:t>ARMA(2,3)</w:t>
            </w:r>
          </w:p>
        </w:tc>
        <w:tc>
          <w:tcPr>
            <w:tcW w:type="dxa" w:w="1728"/>
          </w:tcPr>
          <w:p>
            <w:r>
              <w:rPr>
                <w:rFonts w:ascii="Calibri" w:hAnsi="Calibri"/>
                <w:color w:val="000000"/>
                <w:sz w:val="24"/>
              </w:rPr>
              <w:t>3521.96</w:t>
            </w:r>
          </w:p>
        </w:tc>
        <w:tc>
          <w:tcPr>
            <w:tcW w:type="dxa" w:w="1728"/>
          </w:tcPr>
          <w:p>
            <w:r>
              <w:rPr>
                <w:rFonts w:ascii="Calibri" w:hAnsi="Calibri"/>
                <w:color w:val="000000"/>
                <w:sz w:val="24"/>
              </w:rPr>
              <w:t>3561.22</w:t>
            </w:r>
          </w:p>
        </w:tc>
        <w:tc>
          <w:tcPr>
            <w:tcW w:type="dxa" w:w="1728"/>
          </w:tcPr>
          <w:p>
            <w:r>
              <w:rPr>
                <w:rFonts w:ascii="Calibri" w:hAnsi="Calibri"/>
                <w:color w:val="000000"/>
                <w:sz w:val="24"/>
              </w:rPr>
              <w:t>0.0835</w:t>
            </w:r>
          </w:p>
        </w:tc>
      </w:tr>
      <w:tr>
        <w:tc>
          <w:tcPr>
            <w:tcW w:type="dxa" w:w="1728"/>
          </w:tcPr>
          <w:p>
            <w:r>
              <w:rPr>
                <w:rFonts w:ascii="Calibri" w:hAnsi="Calibri"/>
                <w:color w:val="000000"/>
                <w:sz w:val="24"/>
              </w:rPr>
              <w:t>USD</w:t>
            </w:r>
          </w:p>
        </w:tc>
        <w:tc>
          <w:tcPr>
            <w:tcW w:type="dxa" w:w="1728"/>
          </w:tcPr>
          <w:p>
            <w:r>
              <w:rPr>
                <w:rFonts w:ascii="Calibri" w:hAnsi="Calibri"/>
                <w:color w:val="000000"/>
                <w:sz w:val="24"/>
              </w:rPr>
              <w:t>ARMA(1,0)</w:t>
            </w:r>
          </w:p>
        </w:tc>
        <w:tc>
          <w:tcPr>
            <w:tcW w:type="dxa" w:w="1728"/>
          </w:tcPr>
          <w:p>
            <w:r>
              <w:rPr>
                <w:rFonts w:ascii="Calibri" w:hAnsi="Calibri"/>
                <w:color w:val="000000"/>
                <w:sz w:val="24"/>
              </w:rPr>
              <w:t>4054.69</w:t>
            </w:r>
          </w:p>
        </w:tc>
        <w:tc>
          <w:tcPr>
            <w:tcW w:type="dxa" w:w="1728"/>
          </w:tcPr>
          <w:p>
            <w:r>
              <w:rPr>
                <w:rFonts w:ascii="Calibri" w:hAnsi="Calibri"/>
                <w:color w:val="000000"/>
                <w:sz w:val="24"/>
              </w:rPr>
              <w:t>4071.52</w:t>
            </w:r>
          </w:p>
        </w:tc>
        <w:tc>
          <w:tcPr>
            <w:tcW w:type="dxa" w:w="1728"/>
          </w:tcPr>
          <w:p>
            <w:r>
              <w:rPr>
                <w:rFonts w:ascii="Calibri" w:hAnsi="Calibri"/>
                <w:color w:val="000000"/>
                <w:sz w:val="24"/>
              </w:rPr>
              <w:t>0.1636</w:t>
            </w:r>
          </w:p>
        </w:tc>
      </w:tr>
      <w:tr>
        <w:tc>
          <w:tcPr>
            <w:tcW w:type="dxa" w:w="1728"/>
          </w:tcPr>
          <w:p>
            <w:r>
              <w:rPr>
                <w:rFonts w:ascii="Calibri" w:hAnsi="Calibri"/>
                <w:color w:val="000000"/>
                <w:sz w:val="24"/>
              </w:rPr>
              <w:t>TWI</w:t>
            </w:r>
          </w:p>
        </w:tc>
        <w:tc>
          <w:tcPr>
            <w:tcW w:type="dxa" w:w="1728"/>
          </w:tcPr>
          <w:p>
            <w:r>
              <w:rPr>
                <w:rFonts w:ascii="Calibri" w:hAnsi="Calibri"/>
                <w:color w:val="000000"/>
                <w:sz w:val="24"/>
              </w:rPr>
              <w:t>ARMA(1,3)</w:t>
            </w:r>
          </w:p>
        </w:tc>
        <w:tc>
          <w:tcPr>
            <w:tcW w:type="dxa" w:w="1728"/>
          </w:tcPr>
          <w:p>
            <w:r>
              <w:rPr>
                <w:rFonts w:ascii="Calibri" w:hAnsi="Calibri"/>
                <w:color w:val="000000"/>
                <w:sz w:val="24"/>
              </w:rPr>
              <w:t>3046.54</w:t>
            </w:r>
          </w:p>
        </w:tc>
        <w:tc>
          <w:tcPr>
            <w:tcW w:type="dxa" w:w="1728"/>
          </w:tcPr>
          <w:p>
            <w:r>
              <w:rPr>
                <w:rFonts w:ascii="Calibri" w:hAnsi="Calibri"/>
                <w:color w:val="000000"/>
                <w:sz w:val="24"/>
              </w:rPr>
              <w:t>3080.19</w:t>
            </w:r>
          </w:p>
        </w:tc>
        <w:tc>
          <w:tcPr>
            <w:tcW w:type="dxa" w:w="1728"/>
          </w:tcPr>
          <w:p>
            <w:r>
              <w:rPr>
                <w:rFonts w:ascii="Calibri" w:hAnsi="Calibri"/>
                <w:color w:val="000000"/>
                <w:sz w:val="24"/>
              </w:rPr>
              <w:t>0.1260</w:t>
            </w:r>
          </w:p>
        </w:tc>
      </w:tr>
      <w:tr>
        <w:tc>
          <w:tcPr>
            <w:tcW w:type="dxa" w:w="1728"/>
          </w:tcPr>
          <w:p>
            <w:r>
              <w:rPr>
                <w:rFonts w:ascii="Calibri" w:hAnsi="Calibri"/>
                <w:color w:val="000000"/>
                <w:sz w:val="24"/>
              </w:rPr>
              <w:t>SDR</w:t>
            </w:r>
          </w:p>
        </w:tc>
        <w:tc>
          <w:tcPr>
            <w:tcW w:type="dxa" w:w="1728"/>
          </w:tcPr>
          <w:p>
            <w:r>
              <w:rPr>
                <w:rFonts w:ascii="Calibri" w:hAnsi="Calibri"/>
                <w:color w:val="000000"/>
                <w:sz w:val="24"/>
              </w:rPr>
              <w:t>ARMA(0,1)</w:t>
            </w:r>
          </w:p>
        </w:tc>
        <w:tc>
          <w:tcPr>
            <w:tcW w:type="dxa" w:w="1728"/>
          </w:tcPr>
          <w:p>
            <w:r>
              <w:rPr>
                <w:rFonts w:ascii="Calibri" w:hAnsi="Calibri"/>
                <w:color w:val="000000"/>
                <w:sz w:val="24"/>
              </w:rPr>
              <w:t>4010.04</w:t>
            </w:r>
          </w:p>
        </w:tc>
        <w:tc>
          <w:tcPr>
            <w:tcW w:type="dxa" w:w="1728"/>
          </w:tcPr>
          <w:p>
            <w:r>
              <w:rPr>
                <w:rFonts w:ascii="Calibri" w:hAnsi="Calibri"/>
                <w:color w:val="000000"/>
                <w:sz w:val="24"/>
              </w:rPr>
              <w:t>4026.86</w:t>
            </w:r>
          </w:p>
        </w:tc>
        <w:tc>
          <w:tcPr>
            <w:tcW w:type="dxa" w:w="1728"/>
          </w:tcPr>
          <w:p>
            <w:r>
              <w:rPr>
                <w:rFonts w:ascii="Calibri" w:hAnsi="Calibri"/>
                <w:color w:val="000000"/>
                <w:sz w:val="24"/>
              </w:rPr>
              <w:t>0.3243</w:t>
            </w:r>
          </w:p>
        </w:tc>
      </w:tr>
    </w:tbl>
    <w:p/>
    <w:p>
      <w:r>
        <w:rPr>
          <w:rFonts w:ascii="Calibri" w:hAnsi="Calibri"/>
          <w:color w:val="000000"/>
          <w:sz w:val="24"/>
        </w:rPr>
        <w:t>All four models pass the Ljung-Box test at the 5% level. The Engle ARCH LM test was then applied to the squared residuals at lags 1, 5 and 10 to test for ARCH effects.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Calibri" w:hAnsi="Calibri"/>
                <w:b/>
                <w:color w:val="000000"/>
                <w:sz w:val="24"/>
              </w:rPr>
              <w:t>Currency</w:t>
            </w:r>
          </w:p>
        </w:tc>
        <w:tc>
          <w:tcPr>
            <w:tcW w:type="dxa" w:w="1728"/>
          </w:tcPr>
          <w:p>
            <w:r>
              <w:rPr>
                <w:rFonts w:ascii="Calibri" w:hAnsi="Calibri"/>
                <w:b/>
                <w:color w:val="000000"/>
                <w:sz w:val="24"/>
              </w:rPr>
              <w:t>LM statistic (lag 1)</w:t>
            </w:r>
          </w:p>
        </w:tc>
        <w:tc>
          <w:tcPr>
            <w:tcW w:type="dxa" w:w="1728"/>
          </w:tcPr>
          <w:p>
            <w:r>
              <w:rPr>
                <w:rFonts w:ascii="Calibri" w:hAnsi="Calibri"/>
                <w:b/>
                <w:color w:val="000000"/>
                <w:sz w:val="24"/>
              </w:rPr>
              <w:t>LM statistic (lag 5)</w:t>
            </w:r>
          </w:p>
        </w:tc>
        <w:tc>
          <w:tcPr>
            <w:tcW w:type="dxa" w:w="1728"/>
          </w:tcPr>
          <w:p>
            <w:r>
              <w:rPr>
                <w:rFonts w:ascii="Calibri" w:hAnsi="Calibri"/>
                <w:b/>
                <w:color w:val="000000"/>
                <w:sz w:val="24"/>
              </w:rPr>
              <w:t>LM statistic (lag 10)</w:t>
            </w:r>
          </w:p>
        </w:tc>
        <w:tc>
          <w:tcPr>
            <w:tcW w:type="dxa" w:w="1728"/>
          </w:tcPr>
          <w:p>
            <w:r>
              <w:rPr>
                <w:rFonts w:ascii="Calibri" w:hAnsi="Calibri"/>
                <w:b/>
                <w:color w:val="000000"/>
                <w:sz w:val="24"/>
              </w:rPr>
              <w:t>p-value</w:t>
            </w:r>
          </w:p>
        </w:tc>
      </w:tr>
      <w:tr>
        <w:tc>
          <w:tcPr>
            <w:tcW w:type="dxa" w:w="1728"/>
          </w:tcPr>
          <w:p>
            <w:r>
              <w:rPr>
                <w:rFonts w:ascii="Calibri" w:hAnsi="Calibri"/>
                <w:color w:val="000000"/>
                <w:sz w:val="24"/>
              </w:rPr>
              <w:t>CNY</w:t>
            </w:r>
          </w:p>
        </w:tc>
        <w:tc>
          <w:tcPr>
            <w:tcW w:type="dxa" w:w="1728"/>
          </w:tcPr>
          <w:p>
            <w:r>
              <w:rPr>
                <w:rFonts w:ascii="Calibri" w:hAnsi="Calibri"/>
                <w:color w:val="000000"/>
                <w:sz w:val="24"/>
              </w:rPr>
              <w:t>229.93</w:t>
            </w:r>
          </w:p>
        </w:tc>
        <w:tc>
          <w:tcPr>
            <w:tcW w:type="dxa" w:w="1728"/>
          </w:tcPr>
          <w:p>
            <w:r>
              <w:rPr>
                <w:rFonts w:ascii="Calibri" w:hAnsi="Calibri"/>
                <w:color w:val="000000"/>
                <w:sz w:val="24"/>
              </w:rPr>
              <w:t>289.42</w:t>
            </w:r>
          </w:p>
        </w:tc>
        <w:tc>
          <w:tcPr>
            <w:tcW w:type="dxa" w:w="1728"/>
          </w:tcPr>
          <w:p>
            <w:r>
              <w:rPr>
                <w:rFonts w:ascii="Calibri" w:hAnsi="Calibri"/>
                <w:color w:val="000000"/>
                <w:sz w:val="24"/>
              </w:rPr>
              <w:t>293.54</w:t>
            </w:r>
          </w:p>
        </w:tc>
        <w:tc>
          <w:tcPr>
            <w:tcW w:type="dxa" w:w="1728"/>
          </w:tcPr>
          <w:p>
            <w:r>
              <w:rPr>
                <w:rFonts w:ascii="Calibri" w:hAnsi="Calibri"/>
                <w:color w:val="000000"/>
                <w:sz w:val="24"/>
              </w:rPr>
              <w:t>&lt; 0.001</w:t>
            </w:r>
          </w:p>
        </w:tc>
      </w:tr>
      <w:tr>
        <w:tc>
          <w:tcPr>
            <w:tcW w:type="dxa" w:w="1728"/>
          </w:tcPr>
          <w:p>
            <w:r>
              <w:rPr>
                <w:rFonts w:ascii="Calibri" w:hAnsi="Calibri"/>
                <w:color w:val="000000"/>
                <w:sz w:val="24"/>
              </w:rPr>
              <w:t>USD</w:t>
            </w:r>
          </w:p>
        </w:tc>
        <w:tc>
          <w:tcPr>
            <w:tcW w:type="dxa" w:w="1728"/>
          </w:tcPr>
          <w:p>
            <w:r>
              <w:rPr>
                <w:rFonts w:ascii="Calibri" w:hAnsi="Calibri"/>
                <w:color w:val="000000"/>
                <w:sz w:val="24"/>
              </w:rPr>
              <w:t>166.18</w:t>
            </w:r>
          </w:p>
        </w:tc>
        <w:tc>
          <w:tcPr>
            <w:tcW w:type="dxa" w:w="1728"/>
          </w:tcPr>
          <w:p>
            <w:r>
              <w:rPr>
                <w:rFonts w:ascii="Calibri" w:hAnsi="Calibri"/>
                <w:color w:val="000000"/>
                <w:sz w:val="24"/>
              </w:rPr>
              <w:t>224.62</w:t>
            </w:r>
          </w:p>
        </w:tc>
        <w:tc>
          <w:tcPr>
            <w:tcW w:type="dxa" w:w="1728"/>
          </w:tcPr>
          <w:p>
            <w:r>
              <w:rPr>
                <w:rFonts w:ascii="Calibri" w:hAnsi="Calibri"/>
                <w:color w:val="000000"/>
                <w:sz w:val="24"/>
              </w:rPr>
              <w:t>232.36</w:t>
            </w:r>
          </w:p>
        </w:tc>
        <w:tc>
          <w:tcPr>
            <w:tcW w:type="dxa" w:w="1728"/>
          </w:tcPr>
          <w:p>
            <w:r>
              <w:rPr>
                <w:rFonts w:ascii="Calibri" w:hAnsi="Calibri"/>
                <w:color w:val="000000"/>
                <w:sz w:val="24"/>
              </w:rPr>
              <w:t>&lt; 0.001</w:t>
            </w:r>
          </w:p>
        </w:tc>
      </w:tr>
      <w:tr>
        <w:tc>
          <w:tcPr>
            <w:tcW w:type="dxa" w:w="1728"/>
          </w:tcPr>
          <w:p>
            <w:r>
              <w:rPr>
                <w:rFonts w:ascii="Calibri" w:hAnsi="Calibri"/>
                <w:color w:val="000000"/>
                <w:sz w:val="24"/>
              </w:rPr>
              <w:t>TWI</w:t>
            </w:r>
          </w:p>
        </w:tc>
        <w:tc>
          <w:tcPr>
            <w:tcW w:type="dxa" w:w="1728"/>
          </w:tcPr>
          <w:p>
            <w:r>
              <w:rPr>
                <w:rFonts w:ascii="Calibri" w:hAnsi="Calibri"/>
                <w:color w:val="000000"/>
                <w:sz w:val="24"/>
              </w:rPr>
              <w:t>262.01</w:t>
            </w:r>
          </w:p>
        </w:tc>
        <w:tc>
          <w:tcPr>
            <w:tcW w:type="dxa" w:w="1728"/>
          </w:tcPr>
          <w:p>
            <w:r>
              <w:rPr>
                <w:rFonts w:ascii="Calibri" w:hAnsi="Calibri"/>
                <w:color w:val="000000"/>
                <w:sz w:val="24"/>
              </w:rPr>
              <w:t>345.00</w:t>
            </w:r>
          </w:p>
        </w:tc>
        <w:tc>
          <w:tcPr>
            <w:tcW w:type="dxa" w:w="1728"/>
          </w:tcPr>
          <w:p>
            <w:r>
              <w:rPr>
                <w:rFonts w:ascii="Calibri" w:hAnsi="Calibri"/>
                <w:color w:val="000000"/>
                <w:sz w:val="24"/>
              </w:rPr>
              <w:t>346.64</w:t>
            </w:r>
          </w:p>
        </w:tc>
        <w:tc>
          <w:tcPr>
            <w:tcW w:type="dxa" w:w="1728"/>
          </w:tcPr>
          <w:p>
            <w:r>
              <w:rPr>
                <w:rFonts w:ascii="Calibri" w:hAnsi="Calibri"/>
                <w:color w:val="000000"/>
                <w:sz w:val="24"/>
              </w:rPr>
              <w:t>&lt; 0.001</w:t>
            </w:r>
          </w:p>
        </w:tc>
      </w:tr>
      <w:tr>
        <w:tc>
          <w:tcPr>
            <w:tcW w:type="dxa" w:w="1728"/>
          </w:tcPr>
          <w:p>
            <w:r>
              <w:rPr>
                <w:rFonts w:ascii="Calibri" w:hAnsi="Calibri"/>
                <w:color w:val="000000"/>
                <w:sz w:val="24"/>
              </w:rPr>
              <w:t>SDR</w:t>
            </w:r>
          </w:p>
        </w:tc>
        <w:tc>
          <w:tcPr>
            <w:tcW w:type="dxa" w:w="1728"/>
          </w:tcPr>
          <w:p>
            <w:r>
              <w:rPr>
                <w:rFonts w:ascii="Calibri" w:hAnsi="Calibri"/>
                <w:color w:val="000000"/>
                <w:sz w:val="24"/>
              </w:rPr>
              <w:t>126.65</w:t>
            </w:r>
          </w:p>
        </w:tc>
        <w:tc>
          <w:tcPr>
            <w:tcW w:type="dxa" w:w="1728"/>
          </w:tcPr>
          <w:p>
            <w:r>
              <w:rPr>
                <w:rFonts w:ascii="Calibri" w:hAnsi="Calibri"/>
                <w:color w:val="000000"/>
                <w:sz w:val="24"/>
              </w:rPr>
              <w:t>172.26</w:t>
            </w:r>
          </w:p>
        </w:tc>
        <w:tc>
          <w:tcPr>
            <w:tcW w:type="dxa" w:w="1728"/>
          </w:tcPr>
          <w:p>
            <w:r>
              <w:rPr>
                <w:rFonts w:ascii="Calibri" w:hAnsi="Calibri"/>
                <w:color w:val="000000"/>
                <w:sz w:val="24"/>
              </w:rPr>
              <w:t>200.90</w:t>
            </w:r>
          </w:p>
        </w:tc>
        <w:tc>
          <w:tcPr>
            <w:tcW w:type="dxa" w:w="1728"/>
          </w:tcPr>
          <w:p>
            <w:r>
              <w:rPr>
                <w:rFonts w:ascii="Calibri" w:hAnsi="Calibri"/>
                <w:color w:val="000000"/>
                <w:sz w:val="24"/>
              </w:rPr>
              <w:t>&lt; 0.001</w:t>
            </w:r>
          </w:p>
        </w:tc>
      </w:tr>
    </w:tbl>
    <w:p/>
    <w:p>
      <w:r>
        <w:rPr>
          <w:rFonts w:ascii="Calibri" w:hAnsi="Calibri"/>
          <w:color w:val="000000"/>
          <w:sz w:val="24"/>
        </w:rPr>
        <w:t xml:space="preserve">This indicates that the null of no ARCH effects is rejected for all four currencies at every lag (p &lt; 0.001), consistent with the clustering visible in Question 5b, meaning a GARCH specification for conditional variance is required. ARMA(p,q)-sGARCH(p,q) models were then estimated using Normal errors, searching over </w:t>
      </w:r>
      <m:oMath>
        <m:r>
          <m:t>p</m:t>
        </m:r>
        <m:r>
          <m:t>, </m:t>
        </m:r>
        <m:r>
          <m:t>q</m:t>
        </m:r>
        <m:r>
          <m:t> ∈ {0, 1, 2}</m:t>
        </m:r>
      </m:oMath>
      <w:r>
        <w:rPr>
          <w:rFonts w:ascii="Calibri" w:hAnsi="Calibri"/>
          <w:color w:val="000000"/>
          <w:sz w:val="24"/>
        </w:rPr>
        <w:t xml:space="preserve"> for both ARMA and GARCH orders.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Calibri" w:hAnsi="Calibri"/>
                <w:b/>
                <w:color w:val="000000"/>
                <w:sz w:val="24"/>
              </w:rPr>
              <w:t>Currency</w:t>
            </w:r>
          </w:p>
        </w:tc>
        <w:tc>
          <w:tcPr>
            <w:tcW w:type="dxa" w:w="1728"/>
          </w:tcPr>
          <w:p>
            <w:r>
              <w:rPr>
                <w:rFonts w:ascii="Calibri" w:hAnsi="Calibri"/>
                <w:b/>
                <w:color w:val="000000"/>
                <w:sz w:val="24"/>
              </w:rPr>
              <w:t>Mean model</w:t>
            </w:r>
          </w:p>
        </w:tc>
        <w:tc>
          <w:tcPr>
            <w:tcW w:type="dxa" w:w="1728"/>
          </w:tcPr>
          <w:p>
            <w:r>
              <w:rPr>
                <w:rFonts w:ascii="Calibri" w:hAnsi="Calibri"/>
                <w:b/>
                <w:color w:val="000000"/>
                <w:sz w:val="24"/>
              </w:rPr>
              <w:t>Variance model</w:t>
            </w:r>
          </w:p>
        </w:tc>
        <w:tc>
          <w:tcPr>
            <w:tcW w:type="dxa" w:w="1728"/>
          </w:tcPr>
          <w:p>
            <w:r>
              <w:rPr>
                <w:rFonts w:ascii="Calibri" w:hAnsi="Calibri"/>
                <w:b/>
                <w:color w:val="000000"/>
                <w:sz w:val="24"/>
              </w:rPr>
              <w:t>AIC</w:t>
            </w:r>
          </w:p>
        </w:tc>
        <w:tc>
          <w:tcPr>
            <w:tcW w:type="dxa" w:w="1728"/>
          </w:tcPr>
          <w:p>
            <w:r>
              <w:rPr>
                <w:rFonts w:ascii="Calibri" w:hAnsi="Calibri"/>
                <w:b/>
                <w:color w:val="000000"/>
                <w:sz w:val="24"/>
              </w:rPr>
              <w:t>BIC</w:t>
            </w:r>
          </w:p>
        </w:tc>
      </w:tr>
      <w:tr>
        <w:tc>
          <w:tcPr>
            <w:tcW w:type="dxa" w:w="1728"/>
          </w:tcPr>
          <w:p>
            <w:r>
              <w:rPr>
                <w:rFonts w:ascii="Calibri" w:hAnsi="Calibri"/>
                <w:color w:val="000000"/>
                <w:sz w:val="24"/>
              </w:rPr>
              <w:t>CNY</w:t>
            </w:r>
          </w:p>
        </w:tc>
        <w:tc>
          <w:tcPr>
            <w:tcW w:type="dxa" w:w="1728"/>
          </w:tcPr>
          <w:p>
            <w:r>
              <w:rPr>
                <w:rFonts w:ascii="Calibri" w:hAnsi="Calibri"/>
                <w:color w:val="000000"/>
                <w:sz w:val="24"/>
              </w:rPr>
              <w:t>ARMA(2,2)</w:t>
            </w:r>
          </w:p>
        </w:tc>
        <w:tc>
          <w:tcPr>
            <w:tcW w:type="dxa" w:w="1728"/>
          </w:tcPr>
          <w:p>
            <w:r>
              <w:rPr>
                <w:rFonts w:ascii="Calibri" w:hAnsi="Calibri"/>
                <w:color w:val="000000"/>
                <w:sz w:val="24"/>
              </w:rPr>
              <w:t>sGARCH(1,2)</w:t>
            </w:r>
          </w:p>
        </w:tc>
        <w:tc>
          <w:tcPr>
            <w:tcW w:type="dxa" w:w="1728"/>
          </w:tcPr>
          <w:p>
            <w:r>
              <w:rPr>
                <w:rFonts w:ascii="Calibri" w:hAnsi="Calibri"/>
                <w:color w:val="000000"/>
                <w:sz w:val="24"/>
              </w:rPr>
              <w:t>1.5527</w:t>
            </w:r>
          </w:p>
        </w:tc>
        <w:tc>
          <w:tcPr>
            <w:tcW w:type="dxa" w:w="1728"/>
          </w:tcPr>
          <w:p>
            <w:r>
              <w:rPr>
                <w:rFonts w:ascii="Calibri" w:hAnsi="Calibri"/>
                <w:color w:val="000000"/>
                <w:sz w:val="24"/>
              </w:rPr>
              <w:t>1.5777</w:t>
            </w:r>
          </w:p>
        </w:tc>
      </w:tr>
      <w:tr>
        <w:tc>
          <w:tcPr>
            <w:tcW w:type="dxa" w:w="1728"/>
          </w:tcPr>
          <w:p>
            <w:r>
              <w:rPr>
                <w:rFonts w:ascii="Calibri" w:hAnsi="Calibri"/>
                <w:color w:val="000000"/>
                <w:sz w:val="24"/>
              </w:rPr>
              <w:t>USD</w:t>
            </w:r>
          </w:p>
        </w:tc>
        <w:tc>
          <w:tcPr>
            <w:tcW w:type="dxa" w:w="1728"/>
          </w:tcPr>
          <w:p>
            <w:r>
              <w:rPr>
                <w:rFonts w:ascii="Calibri" w:hAnsi="Calibri"/>
                <w:color w:val="000000"/>
                <w:sz w:val="24"/>
              </w:rPr>
              <w:t>ARMA(2,2)</w:t>
            </w:r>
          </w:p>
        </w:tc>
        <w:tc>
          <w:tcPr>
            <w:tcW w:type="dxa" w:w="1728"/>
          </w:tcPr>
          <w:p>
            <w:r>
              <w:rPr>
                <w:rFonts w:ascii="Calibri" w:hAnsi="Calibri"/>
                <w:color w:val="000000"/>
                <w:sz w:val="24"/>
              </w:rPr>
              <w:t>sGARCH(2,2)</w:t>
            </w:r>
          </w:p>
        </w:tc>
        <w:tc>
          <w:tcPr>
            <w:tcW w:type="dxa" w:w="1728"/>
          </w:tcPr>
          <w:p>
            <w:r>
              <w:rPr>
                <w:rFonts w:ascii="Calibri" w:hAnsi="Calibri"/>
                <w:color w:val="000000"/>
                <w:sz w:val="24"/>
              </w:rPr>
              <w:t>1.8352</w:t>
            </w:r>
          </w:p>
        </w:tc>
        <w:tc>
          <w:tcPr>
            <w:tcW w:type="dxa" w:w="1728"/>
          </w:tcPr>
          <w:p>
            <w:r>
              <w:rPr>
                <w:rFonts w:ascii="Calibri" w:hAnsi="Calibri"/>
                <w:color w:val="000000"/>
                <w:sz w:val="24"/>
              </w:rPr>
              <w:t>1.8631</w:t>
            </w:r>
          </w:p>
        </w:tc>
      </w:tr>
      <w:tr>
        <w:tc>
          <w:tcPr>
            <w:tcW w:type="dxa" w:w="1728"/>
          </w:tcPr>
          <w:p>
            <w:r>
              <w:rPr>
                <w:rFonts w:ascii="Calibri" w:hAnsi="Calibri"/>
                <w:color w:val="000000"/>
                <w:sz w:val="24"/>
              </w:rPr>
              <w:t>TWI</w:t>
            </w:r>
          </w:p>
        </w:tc>
        <w:tc>
          <w:tcPr>
            <w:tcW w:type="dxa" w:w="1728"/>
          </w:tcPr>
          <w:p>
            <w:r>
              <w:rPr>
                <w:rFonts w:ascii="Calibri" w:hAnsi="Calibri"/>
                <w:color w:val="000000"/>
                <w:sz w:val="24"/>
              </w:rPr>
              <w:t>ARMA(2,2)</w:t>
            </w:r>
          </w:p>
        </w:tc>
        <w:tc>
          <w:tcPr>
            <w:tcW w:type="dxa" w:w="1728"/>
          </w:tcPr>
          <w:p>
            <w:r>
              <w:rPr>
                <w:rFonts w:ascii="Calibri" w:hAnsi="Calibri"/>
                <w:color w:val="000000"/>
                <w:sz w:val="24"/>
              </w:rPr>
              <w:t>sGARCH(2,2)</w:t>
            </w:r>
          </w:p>
        </w:tc>
        <w:tc>
          <w:tcPr>
            <w:tcW w:type="dxa" w:w="1728"/>
          </w:tcPr>
          <w:p>
            <w:r>
              <w:rPr>
                <w:rFonts w:ascii="Calibri" w:hAnsi="Calibri"/>
                <w:color w:val="000000"/>
                <w:sz w:val="24"/>
              </w:rPr>
              <w:t>1.3109</w:t>
            </w:r>
          </w:p>
        </w:tc>
        <w:tc>
          <w:tcPr>
            <w:tcW w:type="dxa" w:w="1728"/>
          </w:tcPr>
          <w:p>
            <w:r>
              <w:rPr>
                <w:rFonts w:ascii="Calibri" w:hAnsi="Calibri"/>
                <w:color w:val="000000"/>
                <w:sz w:val="24"/>
              </w:rPr>
              <w:t>1.3387</w:t>
            </w:r>
          </w:p>
        </w:tc>
      </w:tr>
      <w:tr>
        <w:tc>
          <w:tcPr>
            <w:tcW w:type="dxa" w:w="1728"/>
          </w:tcPr>
          <w:p>
            <w:r>
              <w:rPr>
                <w:rFonts w:ascii="Calibri" w:hAnsi="Calibri"/>
                <w:color w:val="000000"/>
                <w:sz w:val="24"/>
              </w:rPr>
              <w:t>SDR</w:t>
            </w:r>
          </w:p>
        </w:tc>
        <w:tc>
          <w:tcPr>
            <w:tcW w:type="dxa" w:w="1728"/>
          </w:tcPr>
          <w:p>
            <w:r>
              <w:rPr>
                <w:rFonts w:ascii="Calibri" w:hAnsi="Calibri"/>
                <w:color w:val="000000"/>
                <w:sz w:val="24"/>
              </w:rPr>
              <w:t>ARMA(2,2)</w:t>
            </w:r>
          </w:p>
        </w:tc>
        <w:tc>
          <w:tcPr>
            <w:tcW w:type="dxa" w:w="1728"/>
          </w:tcPr>
          <w:p>
            <w:r>
              <w:rPr>
                <w:rFonts w:ascii="Calibri" w:hAnsi="Calibri"/>
                <w:color w:val="000000"/>
                <w:sz w:val="24"/>
              </w:rPr>
              <w:t>sGARCH(1,2)</w:t>
            </w:r>
          </w:p>
        </w:tc>
        <w:tc>
          <w:tcPr>
            <w:tcW w:type="dxa" w:w="1728"/>
          </w:tcPr>
          <w:p>
            <w:r>
              <w:rPr>
                <w:rFonts w:ascii="Calibri" w:hAnsi="Calibri"/>
                <w:color w:val="000000"/>
                <w:sz w:val="24"/>
              </w:rPr>
              <w:t>1.8195</w:t>
            </w:r>
          </w:p>
        </w:tc>
        <w:tc>
          <w:tcPr>
            <w:tcW w:type="dxa" w:w="1728"/>
          </w:tcPr>
          <w:p>
            <w:r>
              <w:rPr>
                <w:rFonts w:ascii="Calibri" w:hAnsi="Calibri"/>
                <w:color w:val="000000"/>
                <w:sz w:val="24"/>
              </w:rPr>
              <w:t>1.8446</w:t>
            </w:r>
          </w:p>
        </w:tc>
      </w:tr>
    </w:tbl>
    <w:p/>
    <w:p>
      <w:r>
        <w:rPr>
          <w:rFonts w:ascii="Calibri" w:hAnsi="Calibri"/>
          <w:color w:val="000000"/>
          <w:sz w:val="24"/>
        </w:rPr>
        <w:t>All four currencies select ARMA(2,2) mean equations, with CNY and SDR best described by sGARCH(1,2) and USD and TWI by sGARCH(2,2). The estimated variance parameters are: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rFonts w:ascii="Calibri" w:hAnsi="Calibri"/>
                <w:b/>
                <w:color w:val="000000"/>
                <w:sz w:val="24"/>
              </w:rPr>
              <w:t>Currency</w:t>
            </w:r>
          </w:p>
        </w:tc>
        <w:tc>
          <w:tcPr>
            <w:tcW w:type="dxa" w:w="1440"/>
          </w:tcPr>
          <w:p>
            <m:oMath>
              <m:r>
                <m:t>ω</m:t>
              </m:r>
            </m:oMath>
          </w:p>
        </w:tc>
        <w:tc>
          <w:tcPr>
            <w:tcW w:type="dxa" w:w="1440"/>
          </w:tcPr>
          <w:p>
            <m:oMath>
              <m:r>
                <m:t>α</m:t>
              </m:r>
              <m:r>
                <m:t>₁</m:t>
              </m:r>
            </m:oMath>
          </w:p>
        </w:tc>
        <w:tc>
          <w:tcPr>
            <w:tcW w:type="dxa" w:w="1440"/>
          </w:tcPr>
          <w:p>
            <m:oMath>
              <m:r>
                <m:t>β</m:t>
              </m:r>
              <m:r>
                <m:t>₁</m:t>
              </m:r>
            </m:oMath>
          </w:p>
        </w:tc>
        <w:tc>
          <w:tcPr>
            <w:tcW w:type="dxa" w:w="1440"/>
          </w:tcPr>
          <w:p>
            <m:oMath>
              <m:r>
                <m:t>β</m:t>
              </m:r>
              <m:r>
                <m:t>₂</m:t>
              </m:r>
            </m:oMath>
          </w:p>
        </w:tc>
        <w:tc>
          <w:tcPr>
            <w:tcW w:type="dxa" w:w="1440"/>
          </w:tcPr>
          <w:p>
            <m:oMath>
              <m:r>
                <m:t>Σ</m:t>
              </m:r>
            </m:oMath>
            <m:oMath>
              <m:r>
                <m:t>α</m:t>
              </m:r>
            </m:oMath>
            <w:r>
              <w:rPr>
                <w:rFonts w:ascii="Calibri" w:hAnsi="Calibri"/>
                <w:b/>
                <w:color w:val="000000"/>
                <w:sz w:val="24"/>
              </w:rPr>
              <w:t>+</w:t>
            </w:r>
            <m:oMath>
              <m:r>
                <m:t>Σ</m:t>
              </m:r>
            </m:oMath>
            <m:oMath>
              <m:r>
                <m:t>β</m:t>
              </m:r>
            </m:oMath>
          </w:p>
        </w:tc>
      </w:tr>
      <w:tr>
        <w:tc>
          <w:tcPr>
            <w:tcW w:type="dxa" w:w="1440"/>
          </w:tcPr>
          <w:p>
            <w:r>
              <w:rPr>
                <w:rFonts w:ascii="Calibri" w:hAnsi="Calibri"/>
                <w:color w:val="000000"/>
                <w:sz w:val="24"/>
              </w:rPr>
              <w:t>CNY</w:t>
            </w:r>
          </w:p>
        </w:tc>
        <w:tc>
          <w:tcPr>
            <w:tcW w:type="dxa" w:w="1440"/>
          </w:tcPr>
          <w:p>
            <w:r>
              <w:rPr>
                <w:rFonts w:ascii="Calibri" w:hAnsi="Calibri"/>
                <w:color w:val="000000"/>
                <w:sz w:val="24"/>
              </w:rPr>
              <w:t>0.0243</w:t>
            </w:r>
          </w:p>
        </w:tc>
        <w:tc>
          <w:tcPr>
            <w:tcW w:type="dxa" w:w="1440"/>
          </w:tcPr>
          <w:p>
            <w:r>
              <w:rPr>
                <w:rFonts w:ascii="Calibri" w:hAnsi="Calibri"/>
                <w:color w:val="000000"/>
                <w:sz w:val="24"/>
              </w:rPr>
              <w:t>0.1360</w:t>
            </w:r>
          </w:p>
        </w:tc>
        <w:tc>
          <w:tcPr>
            <w:tcW w:type="dxa" w:w="1440"/>
          </w:tcPr>
          <w:p>
            <w:r>
              <w:rPr>
                <w:rFonts w:ascii="Calibri" w:hAnsi="Calibri"/>
                <w:color w:val="000000"/>
                <w:sz w:val="24"/>
              </w:rPr>
              <w:t>0.3450</w:t>
            </w:r>
          </w:p>
        </w:tc>
        <w:tc>
          <w:tcPr>
            <w:tcW w:type="dxa" w:w="1440"/>
          </w:tcPr>
          <w:p>
            <w:r>
              <w:rPr>
                <w:rFonts w:ascii="Calibri" w:hAnsi="Calibri"/>
                <w:color w:val="000000"/>
                <w:sz w:val="24"/>
              </w:rPr>
              <w:t>0.4390</w:t>
            </w:r>
          </w:p>
        </w:tc>
        <w:tc>
          <w:tcPr>
            <w:tcW w:type="dxa" w:w="1440"/>
          </w:tcPr>
          <w:p>
            <w:r>
              <w:rPr>
                <w:rFonts w:ascii="Calibri" w:hAnsi="Calibri"/>
                <w:color w:val="000000"/>
                <w:sz w:val="24"/>
              </w:rPr>
              <w:t>0.9200</w:t>
            </w:r>
          </w:p>
        </w:tc>
      </w:tr>
      <w:tr>
        <w:tc>
          <w:tcPr>
            <w:tcW w:type="dxa" w:w="1440"/>
          </w:tcPr>
          <w:p>
            <w:r>
              <w:rPr>
                <w:rFonts w:ascii="Calibri" w:hAnsi="Calibri"/>
                <w:color w:val="000000"/>
                <w:sz w:val="24"/>
              </w:rPr>
              <w:t>USD</w:t>
            </w:r>
          </w:p>
        </w:tc>
        <w:tc>
          <w:tcPr>
            <w:tcW w:type="dxa" w:w="1440"/>
          </w:tcPr>
          <w:p>
            <w:r>
              <w:rPr>
                <w:rFonts w:ascii="Calibri" w:hAnsi="Calibri"/>
                <w:color w:val="000000"/>
                <w:sz w:val="24"/>
              </w:rPr>
              <w:t>0.0150</w:t>
            </w:r>
          </w:p>
        </w:tc>
        <w:tc>
          <w:tcPr>
            <w:tcW w:type="dxa" w:w="1440"/>
          </w:tcPr>
          <w:p>
            <w:r>
              <w:rPr>
                <w:rFonts w:ascii="Calibri" w:hAnsi="Calibri"/>
                <w:color w:val="000000"/>
                <w:sz w:val="24"/>
              </w:rPr>
              <w:t>0.1290</w:t>
            </w:r>
          </w:p>
        </w:tc>
        <w:tc>
          <w:tcPr>
            <w:tcW w:type="dxa" w:w="1440"/>
          </w:tcPr>
          <w:p>
            <w:r>
              <w:rPr>
                <w:rFonts w:ascii="Calibri" w:hAnsi="Calibri"/>
                <w:color w:val="000000"/>
                <w:sz w:val="24"/>
              </w:rPr>
              <w:t>0.2290</w:t>
            </w:r>
          </w:p>
        </w:tc>
        <w:tc>
          <w:tcPr>
            <w:tcW w:type="dxa" w:w="1440"/>
          </w:tcPr>
          <w:p>
            <w:r>
              <w:rPr>
                <w:rFonts w:ascii="Calibri" w:hAnsi="Calibri"/>
                <w:color w:val="000000"/>
                <w:sz w:val="24"/>
              </w:rPr>
              <w:t>0.6110</w:t>
            </w:r>
          </w:p>
        </w:tc>
        <w:tc>
          <w:tcPr>
            <w:tcW w:type="dxa" w:w="1440"/>
          </w:tcPr>
          <w:p>
            <w:r>
              <w:rPr>
                <w:rFonts w:ascii="Calibri" w:hAnsi="Calibri"/>
                <w:color w:val="000000"/>
                <w:sz w:val="24"/>
              </w:rPr>
              <w:t>0.9690</w:t>
            </w:r>
          </w:p>
        </w:tc>
      </w:tr>
      <w:tr>
        <w:tc>
          <w:tcPr>
            <w:tcW w:type="dxa" w:w="1440"/>
          </w:tcPr>
          <w:p>
            <w:r>
              <w:rPr>
                <w:rFonts w:ascii="Calibri" w:hAnsi="Calibri"/>
                <w:color w:val="000000"/>
                <w:sz w:val="24"/>
              </w:rPr>
              <w:t>TWI</w:t>
            </w:r>
          </w:p>
        </w:tc>
        <w:tc>
          <w:tcPr>
            <w:tcW w:type="dxa" w:w="1440"/>
          </w:tcPr>
          <w:p>
            <w:r>
              <w:rPr>
                <w:rFonts w:ascii="Calibri" w:hAnsi="Calibri"/>
                <w:color w:val="000000"/>
                <w:sz w:val="24"/>
              </w:rPr>
              <w:t>0.0232</w:t>
            </w:r>
          </w:p>
        </w:tc>
        <w:tc>
          <w:tcPr>
            <w:tcW w:type="dxa" w:w="1440"/>
          </w:tcPr>
          <w:p>
            <w:r>
              <w:rPr>
                <w:rFonts w:ascii="Calibri" w:hAnsi="Calibri"/>
                <w:color w:val="000000"/>
                <w:sz w:val="24"/>
              </w:rPr>
              <w:t>0.1570</w:t>
            </w:r>
          </w:p>
        </w:tc>
        <w:tc>
          <w:tcPr>
            <w:tcW w:type="dxa" w:w="1440"/>
          </w:tcPr>
          <w:p>
            <w:r>
              <w:rPr>
                <w:rFonts w:ascii="Calibri" w:hAnsi="Calibri"/>
                <w:color w:val="000000"/>
                <w:sz w:val="24"/>
              </w:rPr>
              <w:t>0.2240</w:t>
            </w:r>
          </w:p>
        </w:tc>
        <w:tc>
          <w:tcPr>
            <w:tcW w:type="dxa" w:w="1440"/>
          </w:tcPr>
          <w:p>
            <w:r>
              <w:rPr>
                <w:rFonts w:ascii="Calibri" w:hAnsi="Calibri"/>
                <w:color w:val="000000"/>
                <w:sz w:val="24"/>
              </w:rPr>
              <w:t>0.5220</w:t>
            </w:r>
          </w:p>
        </w:tc>
        <w:tc>
          <w:tcPr>
            <w:tcW w:type="dxa" w:w="1440"/>
          </w:tcPr>
          <w:p>
            <w:r>
              <w:rPr>
                <w:rFonts w:ascii="Calibri" w:hAnsi="Calibri"/>
                <w:color w:val="000000"/>
                <w:sz w:val="24"/>
              </w:rPr>
              <w:t>0.9030</w:t>
            </w:r>
          </w:p>
        </w:tc>
      </w:tr>
      <w:tr>
        <w:tc>
          <w:tcPr>
            <w:tcW w:type="dxa" w:w="1440"/>
          </w:tcPr>
          <w:p>
            <w:r>
              <w:rPr>
                <w:rFonts w:ascii="Calibri" w:hAnsi="Calibri"/>
                <w:color w:val="000000"/>
                <w:sz w:val="24"/>
              </w:rPr>
              <w:t>SDR</w:t>
            </w:r>
          </w:p>
        </w:tc>
        <w:tc>
          <w:tcPr>
            <w:tcW w:type="dxa" w:w="1440"/>
          </w:tcPr>
          <w:p>
            <w:r>
              <w:rPr>
                <w:rFonts w:ascii="Calibri" w:hAnsi="Calibri"/>
                <w:color w:val="000000"/>
                <w:sz w:val="24"/>
              </w:rPr>
              <w:t>0.0169</w:t>
            </w:r>
          </w:p>
        </w:tc>
        <w:tc>
          <w:tcPr>
            <w:tcW w:type="dxa" w:w="1440"/>
          </w:tcPr>
          <w:p>
            <w:r>
              <w:rPr>
                <w:rFonts w:ascii="Calibri" w:hAnsi="Calibri"/>
                <w:color w:val="000000"/>
                <w:sz w:val="24"/>
              </w:rPr>
              <w:t>0.1310</w:t>
            </w:r>
          </w:p>
        </w:tc>
        <w:tc>
          <w:tcPr>
            <w:tcW w:type="dxa" w:w="1440"/>
          </w:tcPr>
          <w:p>
            <w:r>
              <w:rPr>
                <w:rFonts w:ascii="Calibri" w:hAnsi="Calibri"/>
                <w:color w:val="000000"/>
                <w:sz w:val="24"/>
              </w:rPr>
              <w:t>0.2320</w:t>
            </w:r>
          </w:p>
        </w:tc>
        <w:tc>
          <w:tcPr>
            <w:tcW w:type="dxa" w:w="1440"/>
          </w:tcPr>
          <w:p>
            <w:r>
              <w:rPr>
                <w:rFonts w:ascii="Calibri" w:hAnsi="Calibri"/>
                <w:color w:val="000000"/>
                <w:sz w:val="24"/>
              </w:rPr>
              <w:t>0.5990</w:t>
            </w:r>
          </w:p>
        </w:tc>
        <w:tc>
          <w:tcPr>
            <w:tcW w:type="dxa" w:w="1440"/>
          </w:tcPr>
          <w:p>
            <w:r>
              <w:rPr>
                <w:rFonts w:ascii="Calibri" w:hAnsi="Calibri"/>
                <w:color w:val="000000"/>
                <w:sz w:val="24"/>
              </w:rPr>
              <w:t>0.9620</w:t>
            </w:r>
          </w:p>
        </w:tc>
      </w:tr>
    </w:tbl>
    <w:p/>
    <w:p>
      <w:r>
        <w:rPr>
          <w:rFonts w:ascii="Calibri" w:hAnsi="Calibri"/>
          <w:color w:val="000000"/>
          <w:sz w:val="24"/>
        </w:rPr>
        <w:t xml:space="preserve">Persistence sums are below 1 for all four currencies, confirming that unconditional variance exists and each GARCH process is covariance stationary, meaning volatility shocks eventually die out. These models were then checked for adequacy using Ljung-Box tests on the standardised residuals </w:t>
      </w:r>
      <m:oMath>
        <m:sSub>
          <m:e>
            <m:r>
              <m:t>z</m:t>
            </m:r>
          </m:e>
          <m:sub>
            <m:r>
              <m:t>t</m:t>
            </m:r>
          </m:sub>
        </m:sSub>
      </m:oMath>
      <w:r>
        <w:rPr>
          <w:rFonts w:ascii="Calibri" w:hAnsi="Calibri"/>
          <w:color w:val="000000"/>
          <w:sz w:val="24"/>
        </w:rPr>
        <w:t>.</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b/>
                <w:color w:val="000000"/>
                <w:sz w:val="24"/>
              </w:rPr>
              <w:t>Currency</w:t>
            </w:r>
          </w:p>
        </w:tc>
        <w:tc>
          <w:tcPr>
            <w:tcW w:type="dxa" w:w="4320"/>
          </w:tcPr>
          <w:p>
            <w:r>
              <w:rPr>
                <w:rFonts w:ascii="Calibri" w:hAnsi="Calibri"/>
                <w:b/>
                <w:color w:val="000000"/>
                <w:sz w:val="24"/>
              </w:rPr>
              <w:t xml:space="preserve">LB p-value on </w:t>
            </w:r>
            <m:oMath>
              <m:sSub>
                <m:e>
                  <m:r>
                    <m:t>z</m:t>
                  </m:r>
                </m:e>
                <m:sub>
                  <m:r>
                    <m:t>t</m:t>
                  </m:r>
                </m:sub>
              </m:sSub>
            </m:oMath>
          </w:p>
        </w:tc>
      </w:tr>
      <w:tr>
        <w:tc>
          <w:tcPr>
            <w:tcW w:type="dxa" w:w="4320"/>
          </w:tcPr>
          <w:p>
            <w:r>
              <w:rPr>
                <w:rFonts w:ascii="Calibri" w:hAnsi="Calibri"/>
                <w:color w:val="000000"/>
                <w:sz w:val="24"/>
              </w:rPr>
              <w:t>CNY</w:t>
            </w:r>
          </w:p>
        </w:tc>
        <w:tc>
          <w:tcPr>
            <w:tcW w:type="dxa" w:w="4320"/>
          </w:tcPr>
          <w:p>
            <w:r>
              <w:rPr>
                <w:rFonts w:ascii="Calibri" w:hAnsi="Calibri"/>
                <w:color w:val="000000"/>
                <w:sz w:val="24"/>
              </w:rPr>
              <w:t>0.4640</w:t>
            </w:r>
          </w:p>
        </w:tc>
      </w:tr>
      <w:tr>
        <w:tc>
          <w:tcPr>
            <w:tcW w:type="dxa" w:w="4320"/>
          </w:tcPr>
          <w:p>
            <w:r>
              <w:rPr>
                <w:rFonts w:ascii="Calibri" w:hAnsi="Calibri"/>
                <w:color w:val="000000"/>
                <w:sz w:val="24"/>
              </w:rPr>
              <w:t>USD</w:t>
            </w:r>
          </w:p>
        </w:tc>
        <w:tc>
          <w:tcPr>
            <w:tcW w:type="dxa" w:w="4320"/>
          </w:tcPr>
          <w:p>
            <w:r>
              <w:rPr>
                <w:rFonts w:ascii="Calibri" w:hAnsi="Calibri"/>
                <w:color w:val="000000"/>
                <w:sz w:val="24"/>
              </w:rPr>
              <w:t>0.8100</w:t>
            </w:r>
          </w:p>
        </w:tc>
      </w:tr>
      <w:tr>
        <w:tc>
          <w:tcPr>
            <w:tcW w:type="dxa" w:w="4320"/>
          </w:tcPr>
          <w:p>
            <w:r>
              <w:rPr>
                <w:rFonts w:ascii="Calibri" w:hAnsi="Calibri"/>
                <w:color w:val="000000"/>
                <w:sz w:val="24"/>
              </w:rPr>
              <w:t>TWI</w:t>
            </w:r>
          </w:p>
        </w:tc>
        <w:tc>
          <w:tcPr>
            <w:tcW w:type="dxa" w:w="4320"/>
          </w:tcPr>
          <w:p>
            <w:r>
              <w:rPr>
                <w:rFonts w:ascii="Calibri" w:hAnsi="Calibri"/>
                <w:color w:val="000000"/>
                <w:sz w:val="24"/>
              </w:rPr>
              <w:t>0.6550</w:t>
            </w:r>
          </w:p>
        </w:tc>
      </w:tr>
      <w:tr>
        <w:tc>
          <w:tcPr>
            <w:tcW w:type="dxa" w:w="4320"/>
          </w:tcPr>
          <w:p>
            <w:r>
              <w:rPr>
                <w:rFonts w:ascii="Calibri" w:hAnsi="Calibri"/>
                <w:color w:val="000000"/>
                <w:sz w:val="24"/>
              </w:rPr>
              <w:t>SDR</w:t>
            </w:r>
          </w:p>
        </w:tc>
        <w:tc>
          <w:tcPr>
            <w:tcW w:type="dxa" w:w="4320"/>
          </w:tcPr>
          <w:p>
            <w:r>
              <w:rPr>
                <w:rFonts w:ascii="Calibri" w:hAnsi="Calibri"/>
                <w:color w:val="000000"/>
                <w:sz w:val="24"/>
              </w:rPr>
              <w:t>0.8840</w:t>
            </w:r>
          </w:p>
        </w:tc>
      </w:tr>
    </w:tbl>
    <w:p/>
    <w:p>
      <w:r>
        <w:rPr>
          <w:rFonts w:ascii="Calibri" w:hAnsi="Calibri"/>
          <w:color w:val="000000"/>
          <w:sz w:val="24"/>
        </w:rPr>
        <w:t>For the variance equations, the Ljung-Box results on the squared standardised residuals provide mixed evidence across lags. At lower lags, several p-values fall below the 5 percent level for CNY and SDR, indicating some remaining short-run autocorrelation in volatility. However, at higher lags the p-values generally recover, and the pattern is not persistent. Figure 9 shows the ACF and PACF of the squared standardised residuals together with the Ljung-Box p-values across lags 1–20. While there are some spikes at specific lags, particularly around lower lags, these are not systematic and the ACF largely remains within the confidence bands.</w:t>
      </w:r>
    </w:p>
    <w:p>
      <w:pPr>
        <w:jc w:val="center"/>
      </w:pPr>
      <w:r>
        <w:drawing>
          <wp:inline xmlns:a="http://schemas.openxmlformats.org/drawingml/2006/main" xmlns:pic="http://schemas.openxmlformats.org/drawingml/2006/picture">
            <wp:extent cx="5852160" cy="5201920"/>
            <wp:docPr id="10" name="Picture 10"/>
            <wp:cNvGraphicFramePr>
              <a:graphicFrameLocks noChangeAspect="1"/>
            </wp:cNvGraphicFramePr>
            <a:graphic>
              <a:graphicData uri="http://schemas.openxmlformats.org/drawingml/2006/picture">
                <pic:pic>
                  <pic:nvPicPr>
                    <pic:cNvPr id="0" name="fig6_sq_resid_diagnostics.png"/>
                    <pic:cNvPicPr/>
                  </pic:nvPicPr>
                  <pic:blipFill>
                    <a:blip r:embed="rId18"/>
                    <a:stretch>
                      <a:fillRect/>
                    </a:stretch>
                  </pic:blipFill>
                  <pic:spPr>
                    <a:xfrm>
                      <a:off x="0" y="0"/>
                      <a:ext cx="5852160" cy="5201920"/>
                    </a:xfrm>
                    <a:prstGeom prst="rect"/>
                  </pic:spPr>
                </pic:pic>
              </a:graphicData>
            </a:graphic>
          </wp:inline>
        </w:drawing>
      </w:r>
    </w:p>
    <w:p>
      <w:pPr>
        <w:jc w:val="center"/>
      </w:pPr>
      <w:r>
        <w:rPr>
          <w:rFonts w:ascii="Calibri" w:hAnsi="Calibri"/>
          <w:color w:val="000000"/>
          <w:sz w:val="24"/>
        </w:rPr>
        <w:t>Figure 9: Squared Standardised Residual Adequacy Test</w:t>
      </w:r>
    </w:p>
    <w:p>
      <w:r>
        <w:rPr>
          <w:rFonts w:ascii="Calibri" w:hAnsi="Calibri"/>
          <w:color w:val="000000"/>
          <w:sz w:val="24"/>
        </w:rPr>
        <w:t>Overall, this suggests that the models capture the main volatility dynamics reasonably well. Although some short-run dependence remains, particularly for CNY and SDR, it is not systematic, and all four models can be treated as adequate overall under the symmetric Normal GARCH framework. The estimated conditional volatility paths are shown in Figure 10.</w:t>
      </w:r>
    </w:p>
    <w:p>
      <w:pPr>
        <w:jc w:val="center"/>
      </w:pPr>
      <w:r>
        <w:drawing>
          <wp:inline xmlns:a="http://schemas.openxmlformats.org/drawingml/2006/main" xmlns:pic="http://schemas.openxmlformats.org/drawingml/2006/picture">
            <wp:extent cx="5852160" cy="1950720"/>
            <wp:docPr id="11" name="Picture 11"/>
            <wp:cNvGraphicFramePr>
              <a:graphicFrameLocks noChangeAspect="1"/>
            </wp:cNvGraphicFramePr>
            <a:graphic>
              <a:graphicData uri="http://schemas.openxmlformats.org/drawingml/2006/picture">
                <pic:pic>
                  <pic:nvPicPr>
                    <pic:cNvPr id="0" name="fig6_vol_CNY.png"/>
                    <pic:cNvPicPr/>
                  </pic:nvPicPr>
                  <pic:blipFill>
                    <a:blip r:embed="rId19"/>
                    <a:stretch>
                      <a:fillRect/>
                    </a:stretch>
                  </pic:blipFill>
                  <pic:spPr>
                    <a:xfrm>
                      <a:off x="0" y="0"/>
                      <a:ext cx="5852160" cy="1950720"/>
                    </a:xfrm>
                    <a:prstGeom prst="rect"/>
                  </pic:spPr>
                </pic:pic>
              </a:graphicData>
            </a:graphic>
          </wp:inline>
        </w:drawing>
      </w:r>
    </w:p>
    <w:p>
      <w:pPr>
        <w:jc w:val="center"/>
      </w:pPr>
      <w:r>
        <w:drawing>
          <wp:inline xmlns:a="http://schemas.openxmlformats.org/drawingml/2006/main" xmlns:pic="http://schemas.openxmlformats.org/drawingml/2006/picture">
            <wp:extent cx="5852160" cy="1950720"/>
            <wp:docPr id="12" name="Picture 12"/>
            <wp:cNvGraphicFramePr>
              <a:graphicFrameLocks noChangeAspect="1"/>
            </wp:cNvGraphicFramePr>
            <a:graphic>
              <a:graphicData uri="http://schemas.openxmlformats.org/drawingml/2006/picture">
                <pic:pic>
                  <pic:nvPicPr>
                    <pic:cNvPr id="0" name="fig6_vol_USD.png"/>
                    <pic:cNvPicPr/>
                  </pic:nvPicPr>
                  <pic:blipFill>
                    <a:blip r:embed="rId20"/>
                    <a:stretch>
                      <a:fillRect/>
                    </a:stretch>
                  </pic:blipFill>
                  <pic:spPr>
                    <a:xfrm>
                      <a:off x="0" y="0"/>
                      <a:ext cx="5852160" cy="1950720"/>
                    </a:xfrm>
                    <a:prstGeom prst="rect"/>
                  </pic:spPr>
                </pic:pic>
              </a:graphicData>
            </a:graphic>
          </wp:inline>
        </w:drawing>
      </w:r>
    </w:p>
    <w:p>
      <w:pPr>
        <w:jc w:val="center"/>
      </w:pPr>
      <w:r>
        <w:drawing>
          <wp:inline xmlns:a="http://schemas.openxmlformats.org/drawingml/2006/main" xmlns:pic="http://schemas.openxmlformats.org/drawingml/2006/picture">
            <wp:extent cx="5852160" cy="1950720"/>
            <wp:docPr id="13" name="Picture 13"/>
            <wp:cNvGraphicFramePr>
              <a:graphicFrameLocks noChangeAspect="1"/>
            </wp:cNvGraphicFramePr>
            <a:graphic>
              <a:graphicData uri="http://schemas.openxmlformats.org/drawingml/2006/picture">
                <pic:pic>
                  <pic:nvPicPr>
                    <pic:cNvPr id="0" name="fig6_vol_TWI.png"/>
                    <pic:cNvPicPr/>
                  </pic:nvPicPr>
                  <pic:blipFill>
                    <a:blip r:embed="rId21"/>
                    <a:stretch>
                      <a:fillRect/>
                    </a:stretch>
                  </pic:blipFill>
                  <pic:spPr>
                    <a:xfrm>
                      <a:off x="0" y="0"/>
                      <a:ext cx="5852160" cy="1950720"/>
                    </a:xfrm>
                    <a:prstGeom prst="rect"/>
                  </pic:spPr>
                </pic:pic>
              </a:graphicData>
            </a:graphic>
          </wp:inline>
        </w:drawing>
      </w:r>
    </w:p>
    <w:p>
      <w:pPr>
        <w:jc w:val="center"/>
      </w:pPr>
      <w:r>
        <w:drawing>
          <wp:inline xmlns:a="http://schemas.openxmlformats.org/drawingml/2006/main" xmlns:pic="http://schemas.openxmlformats.org/drawingml/2006/picture">
            <wp:extent cx="5852160" cy="1950720"/>
            <wp:docPr id="14" name="Picture 14"/>
            <wp:cNvGraphicFramePr>
              <a:graphicFrameLocks noChangeAspect="1"/>
            </wp:cNvGraphicFramePr>
            <a:graphic>
              <a:graphicData uri="http://schemas.openxmlformats.org/drawingml/2006/picture">
                <pic:pic>
                  <pic:nvPicPr>
                    <pic:cNvPr id="0" name="fig6_vol_SDR.png"/>
                    <pic:cNvPicPr/>
                  </pic:nvPicPr>
                  <pic:blipFill>
                    <a:blip r:embed="rId22"/>
                    <a:stretch>
                      <a:fillRect/>
                    </a:stretch>
                  </pic:blipFill>
                  <pic:spPr>
                    <a:xfrm>
                      <a:off x="0" y="0"/>
                      <a:ext cx="5852160" cy="1950720"/>
                    </a:xfrm>
                    <a:prstGeom prst="rect"/>
                  </pic:spPr>
                </pic:pic>
              </a:graphicData>
            </a:graphic>
          </wp:inline>
        </w:drawing>
      </w:r>
    </w:p>
    <w:p>
      <w:pPr>
        <w:jc w:val="center"/>
      </w:pPr>
      <w:r>
        <w:rPr>
          <w:rFonts w:ascii="Calibri" w:hAnsi="Calibri"/>
          <w:color w:val="000000"/>
          <w:sz w:val="24"/>
        </w:rPr>
        <w:t>Figure 10: Estimated Conditional Volatility (SD) of ARMA-GARCH models for exchange rate returns (2018–2026)</w:t>
      </w:r>
    </w:p>
    <w:p>
      <w:r>
        <w:br w:type="page"/>
      </w:r>
    </w:p>
    <w:p>
      <w:pPr>
        <w:pStyle w:val="Heading2"/>
      </w:pPr>
      <w:r>
        <w:t>Question 7</w:t>
      </w:r>
    </w:p>
    <w:p>
      <w:r>
        <w:rPr>
          <w:rFonts w:ascii="Calibri" w:hAnsi="Calibri"/>
          <w:color w:val="000000"/>
          <w:sz w:val="24"/>
        </w:rPr>
        <w:t>For the symmetric GARCH models selected in Question 6, the unconditional variance exists when:</w:t>
      </w:r>
    </w:p>
    <w:p>
      <w:pPr>
        <w:jc w:val="center"/>
      </w:pPr>
      <m:oMath>
        <m:r>
          <m:t>Σ</m:t>
        </m:r>
        <m:sSub>
          <m:e>
            <m:r>
              <m:t>α</m:t>
            </m:r>
          </m:e>
          <m:sub>
            <m:r>
              <m:t>i</m:t>
            </m:r>
          </m:sub>
        </m:sSub>
        <m:r>
          <m:t> + </m:t>
        </m:r>
        <m:r>
          <m:t>Σ</m:t>
        </m:r>
        <m:sSub>
          <m:e>
            <m:r>
              <m:t>β</m:t>
            </m:r>
          </m:e>
          <m:sub>
            <m:r>
              <m:t>j</m:t>
            </m:r>
          </m:sub>
        </m:sSub>
        <m:r>
          <m:t> &lt; 1</m:t>
        </m:r>
      </m:oMath>
    </w:p>
    <w:p>
      <w:r>
        <w:rPr>
          <w:rFonts w:ascii="Calibri" w:hAnsi="Calibri"/>
          <w:color w:val="000000"/>
          <w:sz w:val="24"/>
        </w:rPr>
        <w:t>When that condition holds, the unconditional variance is:</w:t>
      </w:r>
    </w:p>
    <w:p>
      <w:pPr>
        <w:jc w:val="center"/>
      </w:pPr>
      <m:oMath>
        <m:r>
          <m:t>σ</m:t>
        </m:r>
        <m:r>
          <m:t>² = </m:t>
        </m:r>
        <m:r>
          <m:t>ω</m:t>
        </m:r>
        <m:r>
          <m:t> / (1 − </m:t>
        </m:r>
        <m:r>
          <m:t>Σ</m:t>
        </m:r>
        <m:sSub>
          <m:e>
            <m:r>
              <m:t>α</m:t>
            </m:r>
          </m:e>
          <m:sub>
            <m:r>
              <m:t>i</m:t>
            </m:r>
          </m:sub>
        </m:sSub>
        <m:r>
          <m:t> − </m:t>
        </m:r>
        <m:r>
          <m:t>Σ</m:t>
        </m:r>
        <m:sSub>
          <m:e>
            <m:r>
              <m:t>β</m:t>
            </m:r>
          </m:e>
          <m:sub>
            <m:r>
              <m:t>j</m:t>
            </m:r>
          </m:sub>
        </m:sSub>
        <m:r>
          <m:t>)</m:t>
        </m:r>
      </m:oMath>
    </w:p>
    <w:p>
      <w:r>
        <w:rPr>
          <w:rFonts w:ascii="Calibri" w:hAnsi="Calibri"/>
          <w:color w:val="000000"/>
          <w:sz w:val="24"/>
        </w:rPr>
        <w:t>This formula comes from the expected conditional variance in a stationary GARCH process. If the persistence sum is equal to or above one, the denominator is zero or negative and the unconditional variance is not defined. In that case, shocks to volatility do not die out and no finite long-run variance exists.</w:t>
      </w:r>
    </w:p>
    <w:p>
      <w:r>
        <w:rPr>
          <w:rFonts w:ascii="Calibri" w:hAnsi="Calibri"/>
          <w:color w:val="000000"/>
          <w:sz w:val="24"/>
        </w:rPr>
        <w:t>Applying this formula to each fitted model:</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Calibri" w:hAnsi="Calibri"/>
                <w:b/>
                <w:color w:val="000000"/>
                <w:sz w:val="24"/>
              </w:rPr>
              <w:t>Currency</w:t>
            </w:r>
          </w:p>
        </w:tc>
        <w:tc>
          <w:tcPr>
            <w:tcW w:type="dxa" w:w="1728"/>
          </w:tcPr>
          <w:p>
            <w:r>
              <w:rPr>
                <w:rFonts w:ascii="Calibri" w:hAnsi="Calibri"/>
                <w:b/>
                <w:color w:val="000000"/>
                <w:sz w:val="24"/>
              </w:rPr>
              <w:t>Persistence (</w:t>
            </w:r>
            <m:oMath>
              <m:r>
                <m:t>Σ</m:t>
              </m:r>
            </m:oMath>
            <m:oMath>
              <m:r>
                <m:t>α</m:t>
              </m:r>
            </m:oMath>
            <w:r>
              <w:rPr>
                <w:rFonts w:ascii="Calibri" w:hAnsi="Calibri"/>
                <w:b/>
                <w:color w:val="000000"/>
                <w:sz w:val="24"/>
              </w:rPr>
              <w:t>+</w:t>
            </w:r>
            <m:oMath>
              <m:r>
                <m:t>Σ</m:t>
              </m:r>
            </m:oMath>
            <m:oMath>
              <m:r>
                <m:t>β</m:t>
              </m:r>
            </m:oMath>
            <w:r>
              <w:rPr>
                <w:rFonts w:ascii="Calibri" w:hAnsi="Calibri"/>
                <w:b/>
                <w:color w:val="000000"/>
                <w:sz w:val="24"/>
              </w:rPr>
              <w:t>)</w:t>
            </w:r>
          </w:p>
        </w:tc>
        <w:tc>
          <w:tcPr>
            <w:tcW w:type="dxa" w:w="1728"/>
          </w:tcPr>
          <w:p>
            <w:r>
              <w:rPr>
                <w:rFonts w:ascii="Calibri" w:hAnsi="Calibri"/>
                <w:b/>
                <w:color w:val="000000"/>
                <w:sz w:val="24"/>
              </w:rPr>
              <w:t>Model Variance</w:t>
            </w:r>
          </w:p>
        </w:tc>
        <w:tc>
          <w:tcPr>
            <w:tcW w:type="dxa" w:w="1728"/>
          </w:tcPr>
          <w:p>
            <w:r>
              <w:rPr>
                <w:rFonts w:ascii="Calibri" w:hAnsi="Calibri"/>
                <w:b/>
                <w:color w:val="000000"/>
                <w:sz w:val="24"/>
              </w:rPr>
              <w:t>Sample Variance</w:t>
            </w:r>
          </w:p>
        </w:tc>
        <w:tc>
          <w:tcPr>
            <w:tcW w:type="dxa" w:w="1728"/>
          </w:tcPr>
          <w:p>
            <w:r>
              <w:rPr>
                <w:rFonts w:ascii="Calibri" w:hAnsi="Calibri"/>
                <w:b/>
                <w:color w:val="000000"/>
                <w:sz w:val="24"/>
              </w:rPr>
              <w:t>Ratio</w:t>
            </w:r>
          </w:p>
        </w:tc>
      </w:tr>
      <w:tr>
        <w:tc>
          <w:tcPr>
            <w:tcW w:type="dxa" w:w="1728"/>
          </w:tcPr>
          <w:p>
            <w:r>
              <w:rPr>
                <w:rFonts w:ascii="Calibri" w:hAnsi="Calibri"/>
                <w:color w:val="000000"/>
                <w:sz w:val="24"/>
              </w:rPr>
              <w:t>CNY</w:t>
            </w:r>
          </w:p>
        </w:tc>
        <w:tc>
          <w:tcPr>
            <w:tcW w:type="dxa" w:w="1728"/>
          </w:tcPr>
          <w:p>
            <w:r>
              <w:rPr>
                <w:rFonts w:ascii="Calibri" w:hAnsi="Calibri"/>
                <w:color w:val="000000"/>
                <w:sz w:val="24"/>
              </w:rPr>
              <w:t>0.9200</w:t>
            </w:r>
          </w:p>
        </w:tc>
        <w:tc>
          <w:tcPr>
            <w:tcW w:type="dxa" w:w="1728"/>
          </w:tcPr>
          <w:p>
            <w:r>
              <w:rPr>
                <w:rFonts w:ascii="Calibri" w:hAnsi="Calibri"/>
                <w:color w:val="000000"/>
                <w:sz w:val="24"/>
              </w:rPr>
              <w:t>0.3052</w:t>
            </w:r>
          </w:p>
        </w:tc>
        <w:tc>
          <w:tcPr>
            <w:tcW w:type="dxa" w:w="1728"/>
          </w:tcPr>
          <w:p>
            <w:r>
              <w:rPr>
                <w:rFonts w:ascii="Calibri" w:hAnsi="Calibri"/>
                <w:color w:val="000000"/>
                <w:sz w:val="24"/>
              </w:rPr>
              <w:t>0.3369</w:t>
            </w:r>
          </w:p>
        </w:tc>
        <w:tc>
          <w:tcPr>
            <w:tcW w:type="dxa" w:w="1728"/>
          </w:tcPr>
          <w:p>
            <w:r>
              <w:rPr>
                <w:rFonts w:ascii="Calibri" w:hAnsi="Calibri"/>
                <w:color w:val="000000"/>
                <w:sz w:val="24"/>
              </w:rPr>
              <w:t>0.9059</w:t>
            </w:r>
          </w:p>
        </w:tc>
      </w:tr>
      <w:tr>
        <w:tc>
          <w:tcPr>
            <w:tcW w:type="dxa" w:w="1728"/>
          </w:tcPr>
          <w:p>
            <w:r>
              <w:rPr>
                <w:rFonts w:ascii="Calibri" w:hAnsi="Calibri"/>
                <w:color w:val="000000"/>
                <w:sz w:val="24"/>
              </w:rPr>
              <w:t>USD</w:t>
            </w:r>
          </w:p>
        </w:tc>
        <w:tc>
          <w:tcPr>
            <w:tcW w:type="dxa" w:w="1728"/>
          </w:tcPr>
          <w:p>
            <w:r>
              <w:rPr>
                <w:rFonts w:ascii="Calibri" w:hAnsi="Calibri"/>
                <w:color w:val="000000"/>
                <w:sz w:val="24"/>
              </w:rPr>
              <w:t>0.9683</w:t>
            </w:r>
          </w:p>
        </w:tc>
        <w:tc>
          <w:tcPr>
            <w:tcW w:type="dxa" w:w="1728"/>
          </w:tcPr>
          <w:p>
            <w:r>
              <w:rPr>
                <w:rFonts w:ascii="Calibri" w:hAnsi="Calibri"/>
                <w:color w:val="000000"/>
                <w:sz w:val="24"/>
              </w:rPr>
              <w:t>0.4725</w:t>
            </w:r>
          </w:p>
        </w:tc>
        <w:tc>
          <w:tcPr>
            <w:tcW w:type="dxa" w:w="1728"/>
          </w:tcPr>
          <w:p>
            <w:r>
              <w:rPr>
                <w:rFonts w:ascii="Calibri" w:hAnsi="Calibri"/>
                <w:color w:val="000000"/>
                <w:sz w:val="24"/>
              </w:rPr>
              <w:t>0.4381</w:t>
            </w:r>
          </w:p>
        </w:tc>
        <w:tc>
          <w:tcPr>
            <w:tcW w:type="dxa" w:w="1728"/>
          </w:tcPr>
          <w:p>
            <w:r>
              <w:rPr>
                <w:rFonts w:ascii="Calibri" w:hAnsi="Calibri"/>
                <w:color w:val="000000"/>
                <w:sz w:val="24"/>
              </w:rPr>
              <w:t>1.0786</w:t>
            </w:r>
          </w:p>
        </w:tc>
      </w:tr>
      <w:tr>
        <w:tc>
          <w:tcPr>
            <w:tcW w:type="dxa" w:w="1728"/>
          </w:tcPr>
          <w:p>
            <w:r>
              <w:rPr>
                <w:rFonts w:ascii="Calibri" w:hAnsi="Calibri"/>
                <w:color w:val="000000"/>
                <w:sz w:val="24"/>
              </w:rPr>
              <w:t>TWI</w:t>
            </w:r>
          </w:p>
        </w:tc>
        <w:tc>
          <w:tcPr>
            <w:tcW w:type="dxa" w:w="1728"/>
          </w:tcPr>
          <w:p>
            <w:r>
              <w:rPr>
                <w:rFonts w:ascii="Calibri" w:hAnsi="Calibri"/>
                <w:color w:val="000000"/>
                <w:sz w:val="24"/>
              </w:rPr>
              <w:t>0.9030</w:t>
            </w:r>
          </w:p>
        </w:tc>
        <w:tc>
          <w:tcPr>
            <w:tcW w:type="dxa" w:w="1728"/>
          </w:tcPr>
          <w:p>
            <w:r>
              <w:rPr>
                <w:rFonts w:ascii="Calibri" w:hAnsi="Calibri"/>
                <w:color w:val="000000"/>
                <w:sz w:val="24"/>
              </w:rPr>
              <w:t>0.2393</w:t>
            </w:r>
          </w:p>
        </w:tc>
        <w:tc>
          <w:tcPr>
            <w:tcW w:type="dxa" w:w="1728"/>
          </w:tcPr>
          <w:p>
            <w:r>
              <w:rPr>
                <w:rFonts w:ascii="Calibri" w:hAnsi="Calibri"/>
                <w:color w:val="000000"/>
                <w:sz w:val="24"/>
              </w:rPr>
              <w:t>0.2675</w:t>
            </w:r>
          </w:p>
        </w:tc>
        <w:tc>
          <w:tcPr>
            <w:tcW w:type="dxa" w:w="1728"/>
          </w:tcPr>
          <w:p>
            <w:r>
              <w:rPr>
                <w:rFonts w:ascii="Calibri" w:hAnsi="Calibri"/>
                <w:color w:val="000000"/>
                <w:sz w:val="24"/>
              </w:rPr>
              <w:t>0.8947</w:t>
            </w:r>
          </w:p>
        </w:tc>
      </w:tr>
      <w:tr>
        <w:tc>
          <w:tcPr>
            <w:tcW w:type="dxa" w:w="1728"/>
          </w:tcPr>
          <w:p>
            <w:r>
              <w:rPr>
                <w:rFonts w:ascii="Calibri" w:hAnsi="Calibri"/>
                <w:color w:val="000000"/>
                <w:sz w:val="24"/>
              </w:rPr>
              <w:t>SDR</w:t>
            </w:r>
          </w:p>
        </w:tc>
        <w:tc>
          <w:tcPr>
            <w:tcW w:type="dxa" w:w="1728"/>
          </w:tcPr>
          <w:p>
            <w:r>
              <w:rPr>
                <w:rFonts w:ascii="Calibri" w:hAnsi="Calibri"/>
                <w:color w:val="000000"/>
                <w:sz w:val="24"/>
              </w:rPr>
              <w:t>0.9608</w:t>
            </w:r>
          </w:p>
        </w:tc>
        <w:tc>
          <w:tcPr>
            <w:tcW w:type="dxa" w:w="1728"/>
          </w:tcPr>
          <w:p>
            <w:r>
              <w:rPr>
                <w:rFonts w:ascii="Calibri" w:hAnsi="Calibri"/>
                <w:color w:val="000000"/>
                <w:sz w:val="24"/>
              </w:rPr>
              <w:t>0.4110</w:t>
            </w:r>
          </w:p>
        </w:tc>
        <w:tc>
          <w:tcPr>
            <w:tcW w:type="dxa" w:w="1728"/>
          </w:tcPr>
          <w:p>
            <w:r>
              <w:rPr>
                <w:rFonts w:ascii="Calibri" w:hAnsi="Calibri"/>
                <w:color w:val="000000"/>
                <w:sz w:val="24"/>
              </w:rPr>
              <w:t>0.4492</w:t>
            </w:r>
          </w:p>
        </w:tc>
        <w:tc>
          <w:tcPr>
            <w:tcW w:type="dxa" w:w="1728"/>
          </w:tcPr>
          <w:p>
            <w:r>
              <w:rPr>
                <w:rFonts w:ascii="Calibri" w:hAnsi="Calibri"/>
                <w:color w:val="000000"/>
                <w:sz w:val="24"/>
              </w:rPr>
              <w:t>0.9149</w:t>
            </w:r>
          </w:p>
        </w:tc>
      </w:tr>
    </w:tbl>
    <w:p/>
    <w:p>
      <w:r>
        <w:rPr>
          <w:rFonts w:ascii="Calibri" w:hAnsi="Calibri"/>
          <w:color w:val="000000"/>
          <w:sz w:val="24"/>
        </w:rPr>
        <w:t>Although the persistence values are still high, above 0.90 for all four currencies, the unconditional variance can still be calculated as persistence remains below 1. This suggests that volatility shocks fade slowly but do eventually die out. USD and SDR have the highest persistence at 0.9683 and 0.9608 respectively, implying that variance shocks take longer to dissipate for these currencies.</w:t>
      </w:r>
    </w:p>
    <w:p>
      <w:r>
        <w:rPr>
          <w:rFonts w:ascii="Calibri" w:hAnsi="Calibri"/>
          <w:color w:val="000000"/>
          <w:sz w:val="24"/>
        </w:rPr>
        <w:t>The GARCH-implied unconditional variances are close to the sample variances from Question 5, where ratios all remain close to 1. The volatility ranking stays the same: TWI is still the least volatile, with a model variance of 0.2393 compared with a sample variance of 0.2675, while SDR and USD remain the most volatile. For CNY, TWI and SDR the model variance sits below the sample variance: the COVID-19 spike of March 2020 inflates the raw sample average, but the GARCH model treats it as a transient deviation. USD's model variance slightly exceeds the sample (ratio = 1.079), reflecting the tendency of the hybrid solver to converge to a solution with a marginally higher long-run variance estimate.</w:t>
      </w:r>
    </w:p>
    <w:p>
      <w:r>
        <w:br w:type="page"/>
      </w:r>
    </w:p>
    <w:p>
      <w:pPr>
        <w:pStyle w:val="Heading2"/>
      </w:pPr>
      <w:r>
        <w:t>Question 8</w:t>
      </w:r>
    </w:p>
    <w:p>
      <w:r>
        <w:rPr>
          <w:rFonts w:ascii="Calibri" w:hAnsi="Calibri"/>
          <w:color w:val="000000"/>
          <w:sz w:val="24"/>
        </w:rPr>
        <w:t>The probability of a return less than 0.01% for each currency on 13/01/2026 and 14/01/2026 can be calculated as:</w:t>
      </w:r>
    </w:p>
    <w:p>
      <w:pPr>
        <w:jc w:val="center"/>
      </w:pPr>
      <m:oMath>
        <m:r>
          <m:t>P</m:t>
        </m:r>
        <m:r>
          <m:t>(</m:t>
        </m:r>
        <m:sSub>
          <m:e>
            <m:r>
              <m:t>e</m:t>
            </m:r>
          </m:e>
          <m:sub>
            <m:r>
              <m:t>j,T+h</m:t>
            </m:r>
          </m:sub>
        </m:sSub>
        <m:r>
          <m:t> &lt; 0.01) = </m:t>
        </m:r>
        <m:r>
          <m:t>Φ</m:t>
        </m:r>
        <m:r>
          <m:t>((0.01 − </m:t>
        </m:r>
        <m:sSub>
          <m:e>
            <m:r>
              <m:t>μ</m:t>
            </m:r>
          </m:e>
          <m:sub>
            <m:r>
              <m:t>T+h</m:t>
            </m:r>
          </m:sub>
        </m:sSub>
        <m:r>
          <m:t>) / </m:t>
        </m:r>
        <m:sSub>
          <m:e>
            <m:r>
              <m:t>σ</m:t>
            </m:r>
          </m:e>
          <m:sub>
            <m:r>
              <m:t>T+h</m:t>
            </m:r>
          </m:sub>
        </m:sSub>
        <m:r>
          <m:t>)</m:t>
        </m:r>
      </m:oMath>
    </w:p>
    <w:p>
      <w:r>
        <w:rPr>
          <w:rFonts w:ascii="Calibri" w:hAnsi="Calibri"/>
          <w:color w:val="000000"/>
          <w:sz w:val="24"/>
        </w:rPr>
        <w:t xml:space="preserve">where </w:t>
      </w:r>
      <m:oMath>
        <m:r>
          <m:t>Φ</m:t>
        </m:r>
      </m:oMath>
      <w:r>
        <w:rPr>
          <w:rFonts w:ascii="Calibri" w:hAnsi="Calibri"/>
          <w:color w:val="000000"/>
          <w:sz w:val="24"/>
        </w:rPr>
        <w:t xml:space="preserve"> is the standard Normal CDF, </w:t>
      </w:r>
      <m:oMath>
        <m:sSub>
          <m:e>
            <m:r>
              <m:t>μ</m:t>
            </m:r>
          </m:e>
          <m:sub>
            <m:r>
              <m:t>T+h</m:t>
            </m:r>
          </m:sub>
        </m:sSub>
      </m:oMath>
      <w:r>
        <w:rPr>
          <w:rFonts w:ascii="Calibri" w:hAnsi="Calibri"/>
          <w:color w:val="000000"/>
          <w:sz w:val="24"/>
        </w:rPr>
        <w:t xml:space="preserve"> is the h-step-ahead conditional mean, and </w:t>
      </w:r>
      <m:oMath>
        <m:sSub>
          <m:e>
            <m:r>
              <m:t>σ</m:t>
            </m:r>
          </m:e>
          <m:sub>
            <m:r>
              <m:t>T+h</m:t>
            </m:r>
          </m:sub>
        </m:sSub>
      </m:oMath>
      <w:r>
        <w:rPr>
          <w:rFonts w:ascii="Calibri" w:hAnsi="Calibri"/>
          <w:color w:val="000000"/>
          <w:sz w:val="24"/>
        </w:rPr>
        <w:t xml:space="preserve"> is the h-step-ahead conditional standard deviation from the ARMA-GARCH model. All four final models use Normal errors.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rFonts w:ascii="Calibri" w:hAnsi="Calibri"/>
                <w:b/>
                <w:color w:val="000000"/>
                <w:sz w:val="24"/>
              </w:rPr>
              <w:t>Currency</w:t>
            </w:r>
          </w:p>
        </w:tc>
        <w:tc>
          <w:tcPr>
            <w:tcW w:type="dxa" w:w="1440"/>
          </w:tcPr>
          <w:p>
            <w:r>
              <w:rPr>
                <w:rFonts w:ascii="Calibri" w:hAnsi="Calibri"/>
                <w:b/>
                <w:color w:val="000000"/>
                <w:sz w:val="24"/>
              </w:rPr>
              <w:t>Date</w:t>
            </w:r>
          </w:p>
        </w:tc>
        <w:tc>
          <w:tcPr>
            <w:tcW w:type="dxa" w:w="1440"/>
          </w:tcPr>
          <w:p>
            <m:oMath>
              <m:sSub>
                <m:e>
                  <m:r>
                    <m:t>μ</m:t>
                  </m:r>
                </m:e>
                <m:sub>
                  <m:r>
                    <m:t>T+h</m:t>
                  </m:r>
                </m:sub>
              </m:sSub>
            </m:oMath>
          </w:p>
        </w:tc>
        <w:tc>
          <w:tcPr>
            <w:tcW w:type="dxa" w:w="1440"/>
          </w:tcPr>
          <w:p>
            <m:oMath>
              <m:r>
                <m:t>σ</m:t>
              </m:r>
              <m:r>
                <m:t>²_{</m:t>
              </m:r>
              <m:r>
                <m:t>T</m:t>
              </m:r>
              <m:r>
                <m:t>+</m:t>
              </m:r>
              <m:r>
                <m:t>h</m:t>
              </m:r>
              <m:r>
                <m:t>}</m:t>
              </m:r>
            </m:oMath>
          </w:p>
        </w:tc>
        <w:tc>
          <w:tcPr>
            <w:tcW w:type="dxa" w:w="1440"/>
          </w:tcPr>
          <w:p>
            <m:oMath>
              <m:sSub>
                <m:e>
                  <m:r>
                    <m:t>σ</m:t>
                  </m:r>
                </m:e>
                <m:sub>
                  <m:r>
                    <m:t>T+h</m:t>
                  </m:r>
                </m:sub>
              </m:sSub>
            </m:oMath>
          </w:p>
        </w:tc>
        <w:tc>
          <w:tcPr>
            <w:tcW w:type="dxa" w:w="1440"/>
          </w:tcPr>
          <w:p>
            <w:r>
              <w:rPr>
                <w:rFonts w:ascii="Calibri" w:hAnsi="Calibri"/>
                <w:b/>
                <w:color w:val="000000"/>
                <w:sz w:val="24"/>
              </w:rPr>
              <w:t>P(e &lt; 0.01%)</w:t>
            </w:r>
          </w:p>
        </w:tc>
      </w:tr>
      <w:tr>
        <w:tc>
          <w:tcPr>
            <w:tcW w:type="dxa" w:w="1440"/>
          </w:tcPr>
          <w:p>
            <w:r>
              <w:rPr>
                <w:rFonts w:ascii="Calibri" w:hAnsi="Calibri"/>
                <w:color w:val="000000"/>
                <w:sz w:val="24"/>
              </w:rPr>
              <w:t>CNY</w:t>
            </w:r>
          </w:p>
        </w:tc>
        <w:tc>
          <w:tcPr>
            <w:tcW w:type="dxa" w:w="1440"/>
          </w:tcPr>
          <w:p>
            <w:r>
              <w:rPr>
                <w:rFonts w:ascii="Calibri" w:hAnsi="Calibri"/>
                <w:color w:val="000000"/>
                <w:sz w:val="24"/>
              </w:rPr>
              <w:t>13 Jan</w:t>
            </w:r>
          </w:p>
        </w:tc>
        <w:tc>
          <w:tcPr>
            <w:tcW w:type="dxa" w:w="1440"/>
          </w:tcPr>
          <w:p>
            <w:r>
              <w:rPr>
                <w:rFonts w:ascii="Calibri" w:hAnsi="Calibri"/>
                <w:color w:val="000000"/>
                <w:sz w:val="24"/>
              </w:rPr>
              <w:t>−0.0049</w:t>
            </w:r>
          </w:p>
        </w:tc>
        <w:tc>
          <w:tcPr>
            <w:tcW w:type="dxa" w:w="1440"/>
          </w:tcPr>
          <w:p>
            <w:r>
              <w:rPr>
                <w:rFonts w:ascii="Calibri" w:hAnsi="Calibri"/>
                <w:color w:val="000000"/>
                <w:sz w:val="24"/>
              </w:rPr>
              <w:t>0.2352</w:t>
            </w:r>
          </w:p>
        </w:tc>
        <w:tc>
          <w:tcPr>
            <w:tcW w:type="dxa" w:w="1440"/>
          </w:tcPr>
          <w:p>
            <w:r>
              <w:rPr>
                <w:rFonts w:ascii="Calibri" w:hAnsi="Calibri"/>
                <w:color w:val="000000"/>
                <w:sz w:val="24"/>
              </w:rPr>
              <w:t>0.4850</w:t>
            </w:r>
          </w:p>
        </w:tc>
        <w:tc>
          <w:tcPr>
            <w:tcW w:type="dxa" w:w="1440"/>
          </w:tcPr>
          <w:p>
            <w:r>
              <w:rPr>
                <w:rFonts w:ascii="Calibri" w:hAnsi="Calibri"/>
                <w:color w:val="000000"/>
                <w:sz w:val="24"/>
              </w:rPr>
              <w:t>0.5123</w:t>
            </w:r>
          </w:p>
        </w:tc>
      </w:tr>
      <w:tr>
        <w:tc>
          <w:tcPr>
            <w:tcW w:type="dxa" w:w="1440"/>
          </w:tcPr>
          <w:p>
            <w:r>
              <w:rPr>
                <w:rFonts w:ascii="Calibri" w:hAnsi="Calibri"/>
                <w:color w:val="000000"/>
                <w:sz w:val="24"/>
              </w:rPr>
              <w:t>CNY</w:t>
            </w:r>
          </w:p>
        </w:tc>
        <w:tc>
          <w:tcPr>
            <w:tcW w:type="dxa" w:w="1440"/>
          </w:tcPr>
          <w:p>
            <w:r>
              <w:rPr>
                <w:rFonts w:ascii="Calibri" w:hAnsi="Calibri"/>
                <w:color w:val="000000"/>
                <w:sz w:val="24"/>
              </w:rPr>
              <w:t>14 Jan</w:t>
            </w:r>
          </w:p>
        </w:tc>
        <w:tc>
          <w:tcPr>
            <w:tcW w:type="dxa" w:w="1440"/>
          </w:tcPr>
          <w:p>
            <w:r>
              <w:rPr>
                <w:rFonts w:ascii="Calibri" w:hAnsi="Calibri"/>
                <w:color w:val="000000"/>
                <w:sz w:val="24"/>
              </w:rPr>
              <w:t>−0.0057</w:t>
            </w:r>
          </w:p>
        </w:tc>
        <w:tc>
          <w:tcPr>
            <w:tcW w:type="dxa" w:w="1440"/>
          </w:tcPr>
          <w:p>
            <w:r>
              <w:rPr>
                <w:rFonts w:ascii="Calibri" w:hAnsi="Calibri"/>
                <w:color w:val="000000"/>
                <w:sz w:val="24"/>
              </w:rPr>
              <w:t>0.2417</w:t>
            </w:r>
          </w:p>
        </w:tc>
        <w:tc>
          <w:tcPr>
            <w:tcW w:type="dxa" w:w="1440"/>
          </w:tcPr>
          <w:p>
            <w:r>
              <w:rPr>
                <w:rFonts w:ascii="Calibri" w:hAnsi="Calibri"/>
                <w:color w:val="000000"/>
                <w:sz w:val="24"/>
              </w:rPr>
              <w:t>0.4916</w:t>
            </w:r>
          </w:p>
        </w:tc>
        <w:tc>
          <w:tcPr>
            <w:tcW w:type="dxa" w:w="1440"/>
          </w:tcPr>
          <w:p>
            <w:r>
              <w:rPr>
                <w:rFonts w:ascii="Calibri" w:hAnsi="Calibri"/>
                <w:color w:val="000000"/>
                <w:sz w:val="24"/>
              </w:rPr>
              <w:t>0.5127</w:t>
            </w:r>
          </w:p>
        </w:tc>
      </w:tr>
      <w:tr>
        <w:tc>
          <w:tcPr>
            <w:tcW w:type="dxa" w:w="1440"/>
          </w:tcPr>
          <w:p>
            <w:r>
              <w:rPr>
                <w:rFonts w:ascii="Calibri" w:hAnsi="Calibri"/>
                <w:color w:val="000000"/>
                <w:sz w:val="24"/>
              </w:rPr>
              <w:t>USD</w:t>
            </w:r>
          </w:p>
        </w:tc>
        <w:tc>
          <w:tcPr>
            <w:tcW w:type="dxa" w:w="1440"/>
          </w:tcPr>
          <w:p>
            <w:r>
              <w:rPr>
                <w:rFonts w:ascii="Calibri" w:hAnsi="Calibri"/>
                <w:color w:val="000000"/>
                <w:sz w:val="24"/>
              </w:rPr>
              <w:t>13 Jan</w:t>
            </w:r>
          </w:p>
        </w:tc>
        <w:tc>
          <w:tcPr>
            <w:tcW w:type="dxa" w:w="1440"/>
          </w:tcPr>
          <w:p>
            <w:r>
              <w:rPr>
                <w:rFonts w:ascii="Calibri" w:hAnsi="Calibri"/>
                <w:color w:val="000000"/>
                <w:sz w:val="24"/>
              </w:rPr>
              <w:t>−0.0025</w:t>
            </w:r>
          </w:p>
        </w:tc>
        <w:tc>
          <w:tcPr>
            <w:tcW w:type="dxa" w:w="1440"/>
          </w:tcPr>
          <w:p>
            <w:r>
              <w:rPr>
                <w:rFonts w:ascii="Calibri" w:hAnsi="Calibri"/>
                <w:color w:val="000000"/>
                <w:sz w:val="24"/>
              </w:rPr>
              <w:t>0.2432</w:t>
            </w:r>
          </w:p>
        </w:tc>
        <w:tc>
          <w:tcPr>
            <w:tcW w:type="dxa" w:w="1440"/>
          </w:tcPr>
          <w:p>
            <w:r>
              <w:rPr>
                <w:rFonts w:ascii="Calibri" w:hAnsi="Calibri"/>
                <w:color w:val="000000"/>
                <w:sz w:val="24"/>
              </w:rPr>
              <w:t>0.4931</w:t>
            </w:r>
          </w:p>
        </w:tc>
        <w:tc>
          <w:tcPr>
            <w:tcW w:type="dxa" w:w="1440"/>
          </w:tcPr>
          <w:p>
            <w:r>
              <w:rPr>
                <w:rFonts w:ascii="Calibri" w:hAnsi="Calibri"/>
                <w:color w:val="000000"/>
                <w:sz w:val="24"/>
              </w:rPr>
              <w:t>0.5101</w:t>
            </w:r>
          </w:p>
        </w:tc>
      </w:tr>
      <w:tr>
        <w:tc>
          <w:tcPr>
            <w:tcW w:type="dxa" w:w="1440"/>
          </w:tcPr>
          <w:p>
            <w:r>
              <w:rPr>
                <w:rFonts w:ascii="Calibri" w:hAnsi="Calibri"/>
                <w:color w:val="000000"/>
                <w:sz w:val="24"/>
              </w:rPr>
              <w:t>USD</w:t>
            </w:r>
          </w:p>
        </w:tc>
        <w:tc>
          <w:tcPr>
            <w:tcW w:type="dxa" w:w="1440"/>
          </w:tcPr>
          <w:p>
            <w:r>
              <w:rPr>
                <w:rFonts w:ascii="Calibri" w:hAnsi="Calibri"/>
                <w:color w:val="000000"/>
                <w:sz w:val="24"/>
              </w:rPr>
              <w:t>14 Jan</w:t>
            </w:r>
          </w:p>
        </w:tc>
        <w:tc>
          <w:tcPr>
            <w:tcW w:type="dxa" w:w="1440"/>
          </w:tcPr>
          <w:p>
            <w:r>
              <w:rPr>
                <w:rFonts w:ascii="Calibri" w:hAnsi="Calibri"/>
                <w:color w:val="000000"/>
                <w:sz w:val="24"/>
              </w:rPr>
              <w:t>−0.0023</w:t>
            </w:r>
          </w:p>
        </w:tc>
        <w:tc>
          <w:tcPr>
            <w:tcW w:type="dxa" w:w="1440"/>
          </w:tcPr>
          <w:p>
            <w:r>
              <w:rPr>
                <w:rFonts w:ascii="Calibri" w:hAnsi="Calibri"/>
                <w:color w:val="000000"/>
                <w:sz w:val="24"/>
              </w:rPr>
              <w:t>0.2347</w:t>
            </w:r>
          </w:p>
        </w:tc>
        <w:tc>
          <w:tcPr>
            <w:tcW w:type="dxa" w:w="1440"/>
          </w:tcPr>
          <w:p>
            <w:r>
              <w:rPr>
                <w:rFonts w:ascii="Calibri" w:hAnsi="Calibri"/>
                <w:color w:val="000000"/>
                <w:sz w:val="24"/>
              </w:rPr>
              <w:t>0.4844</w:t>
            </w:r>
          </w:p>
        </w:tc>
        <w:tc>
          <w:tcPr>
            <w:tcW w:type="dxa" w:w="1440"/>
          </w:tcPr>
          <w:p>
            <w:r>
              <w:rPr>
                <w:rFonts w:ascii="Calibri" w:hAnsi="Calibri"/>
                <w:color w:val="000000"/>
                <w:sz w:val="24"/>
              </w:rPr>
              <w:t>0.5101</w:t>
            </w:r>
          </w:p>
        </w:tc>
      </w:tr>
      <w:tr>
        <w:tc>
          <w:tcPr>
            <w:tcW w:type="dxa" w:w="1440"/>
          </w:tcPr>
          <w:p>
            <w:r>
              <w:rPr>
                <w:rFonts w:ascii="Calibri" w:hAnsi="Calibri"/>
                <w:color w:val="000000"/>
                <w:sz w:val="24"/>
              </w:rPr>
              <w:t>TWI</w:t>
            </w:r>
          </w:p>
        </w:tc>
        <w:tc>
          <w:tcPr>
            <w:tcW w:type="dxa" w:w="1440"/>
          </w:tcPr>
          <w:p>
            <w:r>
              <w:rPr>
                <w:rFonts w:ascii="Calibri" w:hAnsi="Calibri"/>
                <w:color w:val="000000"/>
                <w:sz w:val="24"/>
              </w:rPr>
              <w:t>13 Jan</w:t>
            </w:r>
          </w:p>
        </w:tc>
        <w:tc>
          <w:tcPr>
            <w:tcW w:type="dxa" w:w="1440"/>
          </w:tcPr>
          <w:p>
            <w:r>
              <w:rPr>
                <w:rFonts w:ascii="Calibri" w:hAnsi="Calibri"/>
                <w:color w:val="000000"/>
                <w:sz w:val="24"/>
              </w:rPr>
              <w:t>−0.0543</w:t>
            </w:r>
          </w:p>
        </w:tc>
        <w:tc>
          <w:tcPr>
            <w:tcW w:type="dxa" w:w="1440"/>
          </w:tcPr>
          <w:p>
            <w:r>
              <w:rPr>
                <w:rFonts w:ascii="Calibri" w:hAnsi="Calibri"/>
                <w:color w:val="000000"/>
                <w:sz w:val="24"/>
              </w:rPr>
              <w:t>0.1604</w:t>
            </w:r>
          </w:p>
        </w:tc>
        <w:tc>
          <w:tcPr>
            <w:tcW w:type="dxa" w:w="1440"/>
          </w:tcPr>
          <w:p>
            <w:r>
              <w:rPr>
                <w:rFonts w:ascii="Calibri" w:hAnsi="Calibri"/>
                <w:color w:val="000000"/>
                <w:sz w:val="24"/>
              </w:rPr>
              <w:t>0.4005</w:t>
            </w:r>
          </w:p>
        </w:tc>
        <w:tc>
          <w:tcPr>
            <w:tcW w:type="dxa" w:w="1440"/>
          </w:tcPr>
          <w:p>
            <w:r>
              <w:rPr>
                <w:rFonts w:ascii="Calibri" w:hAnsi="Calibri"/>
                <w:color w:val="000000"/>
                <w:sz w:val="24"/>
              </w:rPr>
              <w:t>0.5638</w:t>
            </w:r>
          </w:p>
        </w:tc>
      </w:tr>
      <w:tr>
        <w:tc>
          <w:tcPr>
            <w:tcW w:type="dxa" w:w="1440"/>
          </w:tcPr>
          <w:p>
            <w:r>
              <w:rPr>
                <w:rFonts w:ascii="Calibri" w:hAnsi="Calibri"/>
                <w:color w:val="000000"/>
                <w:sz w:val="24"/>
              </w:rPr>
              <w:t>TWI</w:t>
            </w:r>
          </w:p>
        </w:tc>
        <w:tc>
          <w:tcPr>
            <w:tcW w:type="dxa" w:w="1440"/>
          </w:tcPr>
          <w:p>
            <w:r>
              <w:rPr>
                <w:rFonts w:ascii="Calibri" w:hAnsi="Calibri"/>
                <w:color w:val="000000"/>
                <w:sz w:val="24"/>
              </w:rPr>
              <w:t>14 Jan</w:t>
            </w:r>
          </w:p>
        </w:tc>
        <w:tc>
          <w:tcPr>
            <w:tcW w:type="dxa" w:w="1440"/>
          </w:tcPr>
          <w:p>
            <w:r>
              <w:rPr>
                <w:rFonts w:ascii="Calibri" w:hAnsi="Calibri"/>
                <w:color w:val="000000"/>
                <w:sz w:val="24"/>
              </w:rPr>
              <w:t>−0.0014</w:t>
            </w:r>
          </w:p>
        </w:tc>
        <w:tc>
          <w:tcPr>
            <w:tcW w:type="dxa" w:w="1440"/>
          </w:tcPr>
          <w:p>
            <w:r>
              <w:rPr>
                <w:rFonts w:ascii="Calibri" w:hAnsi="Calibri"/>
                <w:color w:val="000000"/>
                <w:sz w:val="24"/>
              </w:rPr>
              <w:t>0.1661</w:t>
            </w:r>
          </w:p>
        </w:tc>
        <w:tc>
          <w:tcPr>
            <w:tcW w:type="dxa" w:w="1440"/>
          </w:tcPr>
          <w:p>
            <w:r>
              <w:rPr>
                <w:rFonts w:ascii="Calibri" w:hAnsi="Calibri"/>
                <w:color w:val="000000"/>
                <w:sz w:val="24"/>
              </w:rPr>
              <w:t>0.4075</w:t>
            </w:r>
          </w:p>
        </w:tc>
        <w:tc>
          <w:tcPr>
            <w:tcW w:type="dxa" w:w="1440"/>
          </w:tcPr>
          <w:p>
            <w:r>
              <w:rPr>
                <w:rFonts w:ascii="Calibri" w:hAnsi="Calibri"/>
                <w:color w:val="000000"/>
                <w:sz w:val="24"/>
              </w:rPr>
              <w:t>0.5111</w:t>
            </w:r>
          </w:p>
        </w:tc>
      </w:tr>
      <w:tr>
        <w:tc>
          <w:tcPr>
            <w:tcW w:type="dxa" w:w="1440"/>
          </w:tcPr>
          <w:p>
            <w:r>
              <w:rPr>
                <w:rFonts w:ascii="Calibri" w:hAnsi="Calibri"/>
                <w:color w:val="000000"/>
                <w:sz w:val="24"/>
              </w:rPr>
              <w:t>SDR</w:t>
            </w:r>
          </w:p>
        </w:tc>
        <w:tc>
          <w:tcPr>
            <w:tcW w:type="dxa" w:w="1440"/>
          </w:tcPr>
          <w:p>
            <w:r>
              <w:rPr>
                <w:rFonts w:ascii="Calibri" w:hAnsi="Calibri"/>
                <w:color w:val="000000"/>
                <w:sz w:val="24"/>
              </w:rPr>
              <w:t>13 Jan</w:t>
            </w:r>
          </w:p>
        </w:tc>
        <w:tc>
          <w:tcPr>
            <w:tcW w:type="dxa" w:w="1440"/>
          </w:tcPr>
          <w:p>
            <w:r>
              <w:rPr>
                <w:rFonts w:ascii="Calibri" w:hAnsi="Calibri"/>
                <w:color w:val="000000"/>
                <w:sz w:val="24"/>
              </w:rPr>
              <w:t>−0.0136</w:t>
            </w:r>
          </w:p>
        </w:tc>
        <w:tc>
          <w:tcPr>
            <w:tcW w:type="dxa" w:w="1440"/>
          </w:tcPr>
          <w:p>
            <w:r>
              <w:rPr>
                <w:rFonts w:ascii="Calibri" w:hAnsi="Calibri"/>
                <w:color w:val="000000"/>
                <w:sz w:val="24"/>
              </w:rPr>
              <w:t>0.2186</w:t>
            </w:r>
          </w:p>
        </w:tc>
        <w:tc>
          <w:tcPr>
            <w:tcW w:type="dxa" w:w="1440"/>
          </w:tcPr>
          <w:p>
            <w:r>
              <w:rPr>
                <w:rFonts w:ascii="Calibri" w:hAnsi="Calibri"/>
                <w:color w:val="000000"/>
                <w:sz w:val="24"/>
              </w:rPr>
              <w:t>0.4675</w:t>
            </w:r>
          </w:p>
        </w:tc>
        <w:tc>
          <w:tcPr>
            <w:tcW w:type="dxa" w:w="1440"/>
          </w:tcPr>
          <w:p>
            <w:r>
              <w:rPr>
                <w:rFonts w:ascii="Calibri" w:hAnsi="Calibri"/>
                <w:color w:val="000000"/>
                <w:sz w:val="24"/>
              </w:rPr>
              <w:t>0.5201</w:t>
            </w:r>
          </w:p>
        </w:tc>
      </w:tr>
      <w:tr>
        <w:tc>
          <w:tcPr>
            <w:tcW w:type="dxa" w:w="1440"/>
          </w:tcPr>
          <w:p>
            <w:r>
              <w:rPr>
                <w:rFonts w:ascii="Calibri" w:hAnsi="Calibri"/>
                <w:color w:val="000000"/>
                <w:sz w:val="24"/>
              </w:rPr>
              <w:t>SDR</w:t>
            </w:r>
          </w:p>
        </w:tc>
        <w:tc>
          <w:tcPr>
            <w:tcW w:type="dxa" w:w="1440"/>
          </w:tcPr>
          <w:p>
            <w:r>
              <w:rPr>
                <w:rFonts w:ascii="Calibri" w:hAnsi="Calibri"/>
                <w:color w:val="000000"/>
                <w:sz w:val="24"/>
              </w:rPr>
              <w:t>14 Jan</w:t>
            </w:r>
          </w:p>
        </w:tc>
        <w:tc>
          <w:tcPr>
            <w:tcW w:type="dxa" w:w="1440"/>
          </w:tcPr>
          <w:p>
            <w:r>
              <w:rPr>
                <w:rFonts w:ascii="Calibri" w:hAnsi="Calibri"/>
                <w:color w:val="000000"/>
                <w:sz w:val="24"/>
              </w:rPr>
              <w:t>−0.0098</w:t>
            </w:r>
          </w:p>
        </w:tc>
        <w:tc>
          <w:tcPr>
            <w:tcW w:type="dxa" w:w="1440"/>
          </w:tcPr>
          <w:p>
            <w:r>
              <w:rPr>
                <w:rFonts w:ascii="Calibri" w:hAnsi="Calibri"/>
                <w:color w:val="000000"/>
                <w:sz w:val="24"/>
              </w:rPr>
              <w:t>0.2213</w:t>
            </w:r>
          </w:p>
        </w:tc>
        <w:tc>
          <w:tcPr>
            <w:tcW w:type="dxa" w:w="1440"/>
          </w:tcPr>
          <w:p>
            <w:r>
              <w:rPr>
                <w:rFonts w:ascii="Calibri" w:hAnsi="Calibri"/>
                <w:color w:val="000000"/>
                <w:sz w:val="24"/>
              </w:rPr>
              <w:t>0.4704</w:t>
            </w:r>
          </w:p>
        </w:tc>
        <w:tc>
          <w:tcPr>
            <w:tcW w:type="dxa" w:w="1440"/>
          </w:tcPr>
          <w:p>
            <w:r>
              <w:rPr>
                <w:rFonts w:ascii="Calibri" w:hAnsi="Calibri"/>
                <w:color w:val="000000"/>
                <w:sz w:val="24"/>
              </w:rPr>
              <w:t>0.5168</w:t>
            </w:r>
          </w:p>
        </w:tc>
      </w:tr>
    </w:tbl>
    <w:p/>
    <w:p>
      <w:r>
        <w:rPr>
          <w:rFonts w:ascii="Calibri" w:hAnsi="Calibri"/>
          <w:color w:val="000000"/>
          <w:sz w:val="24"/>
        </w:rPr>
        <w:t>The table shows that the probabilities that returns are less than 0.01% for each currency on both dates all exceed 0.5. This means that no currency has a better-than-even chance of returning more than 0.01% on either day, limiting the return maximisation potential. Instead, the investment decision should focus on minimising risk, which corresponds to choosing the currency with the lowest conditional variance.</w:t>
      </w:r>
    </w:p>
    <w:p>
      <w:r>
        <w:rPr>
          <w:rFonts w:ascii="Calibri" w:hAnsi="Calibri"/>
          <w:color w:val="000000"/>
          <w:sz w:val="24"/>
        </w:rPr>
        <w:t>Based on this, TWI would be the preferred currency as it has the lowest conditional variance on both days of 0.1604 and 0.1661 on 13/01/2026 and 14/01/2026 respectively. Its low variance reflects the diversification of a trade-weighted index across multiple exchange rates. In comparison, USD, SDR and CNY all have higher conditional variances, making them less attractive from a risk-minimisation perspective.</w:t>
      </w:r>
    </w:p>
    <w:p>
      <w:r>
        <w:rPr>
          <w:rFonts w:ascii="Calibri" w:hAnsi="Calibri"/>
          <w:color w:val="000000"/>
          <w:sz w:val="24"/>
        </w:rPr>
        <w:t>However, TWI returns do have an unusually large negative conditional mean on 13/01/2026 of −0.054%, contributing to a larger probability of returns falling below 0.01% of 56.38%. However, this is still relatively close to the other probabilities ranging around approximately 51–52%, and does not reflect long-run risk. By 14/01/2026, the TWI conditional mean reverts toward zero (−0.001%) as the ARMA mean equation mean-reverts, and its probability falls to 0.5111 — comparable to the other currencies. This illustrates the short-lived nature of ARMA conditional mean deviations at the two-day horizon.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Nguyen</dc:creator>
  <cp:keywords/>
  <dc:description>generated by python-docx</dc:description>
  <cp:lastModifiedBy>Michael Nguyen</cp:lastModifiedBy>
  <cp:revision>1</cp:revision>
  <dcterms:created xsi:type="dcterms:W3CDTF">2026-04-15T11:56:52Z</dcterms:created>
  <dcterms:modified xsi:type="dcterms:W3CDTF">2026-04-15T11:56:52Z</dcterms:modified>
  <cp:category/>
</cp:coreProperties>
</file>