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ECON3350 Research Report 1</w:t>
      </w:r>
    </w:p>
    <w:p>
      <w:r>
        <w:br w:type="page"/>
      </w:r>
    </w:p>
    <w:p>
      <w:pPr>
        <w:pStyle w:val="Heading2"/>
      </w:pPr>
      <w:r>
        <w:t>Question 1</w:t>
      </w:r>
    </w:p>
    <w:p>
      <w:pPr>
        <w:pStyle w:val="Heading3"/>
      </w:pPr>
      <w:r>
        <w:t>1(a) Exploratory Plots and Series Properties</w:t>
      </w:r>
    </w:p>
    <w:p>
      <w:pPr>
        <w:jc w:val="center"/>
      </w:pPr>
      <w:r>
        <w:drawing>
          <wp:inline xmlns:a="http://schemas.openxmlformats.org/drawingml/2006/main" xmlns:pic="http://schemas.openxmlformats.org/drawingml/2006/picture">
            <wp:extent cx="5852160" cy="1950720"/>
            <wp:docPr id="1" name="Picture 1"/>
            <wp:cNvGraphicFramePr>
              <a:graphicFrameLocks noChangeAspect="1"/>
            </wp:cNvGraphicFramePr>
            <a:graphic>
              <a:graphicData uri="http://schemas.openxmlformats.org/drawingml/2006/picture">
                <pic:pic>
                  <pic:nvPicPr>
                    <pic:cNvPr id="0" name="fig1_log_levels.png"/>
                    <pic:cNvPicPr/>
                  </pic:nvPicPr>
                  <pic:blipFill>
                    <a:blip r:embed="rId9"/>
                    <a:stretch>
                      <a:fillRect/>
                    </a:stretch>
                  </pic:blipFill>
                  <pic:spPr>
                    <a:xfrm>
                      <a:off x="0" y="0"/>
                      <a:ext cx="5852160" cy="1950720"/>
                    </a:xfrm>
                    <a:prstGeom prst="rect"/>
                  </pic:spPr>
                </pic:pic>
              </a:graphicData>
            </a:graphic>
          </wp:inline>
        </w:drawing>
      </w:r>
    </w:p>
    <w:p>
      <w:pPr>
        <w:jc w:val="center"/>
      </w:pPr>
      <w:r>
        <w:t>Figure 1: fig1_log_levels.png</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fig2_log_diffs.png"/>
                    <pic:cNvPicPr/>
                  </pic:nvPicPr>
                  <pic:blipFill>
                    <a:blip r:embed="rId10"/>
                    <a:stretch>
                      <a:fillRect/>
                    </a:stretch>
                  </pic:blipFill>
                  <pic:spPr>
                    <a:xfrm>
                      <a:off x="0" y="0"/>
                      <a:ext cx="5852160" cy="2926080"/>
                    </a:xfrm>
                    <a:prstGeom prst="rect"/>
                  </pic:spPr>
                </pic:pic>
              </a:graphicData>
            </a:graphic>
          </wp:inline>
        </w:drawing>
      </w:r>
    </w:p>
    <w:p>
      <w:pPr>
        <w:jc w:val="center"/>
      </w:pPr>
      <w:r>
        <w:t>Figure 2: fig2_log_diffs.png</w:t>
      </w:r>
    </w:p>
    <w:p>
      <w:r>
        <w:t>The quarterly time-series cover macroeconomic indicators for the USA over 1959Q1–2023Q4 (260 observations). The dataset contains the log price level (p_t), log real GDP per capita (y_t), log real consumption (c_t), and the nominal 3-month T-bill rate (r_t).</w:t>
      </w:r>
    </w:p>
    <w:p>
      <w:r>
        <w:t>Looking at the log-level plots, all three series — p_t, y_t, and c_t — show a pronounced upward trend throughout the sample. The means of these series are clearly not constant over time, which is the defining feature of a non-stationary process. The price index grows particularly fast through the 1970s and early 1980s during the high-inflation episode, while real GDP and real consumption rise more steadily and track each other closely, with visible dips around major recessions.</w:t>
      </w:r>
    </w:p>
    <w:p>
      <w:r>
        <w:t>Once the logged series are first-differenced, the trend is removed and all three growth-rate series — Δp_t, Δy_t, Δc_t — fluctuate around a roughly constant mean. This pattern is consistent with a difference-stationary process, or I(1) behaviour, where shocks accumulate in levels but not in differences. The implication is that the trend in p_t, y_t, and c_t is most likely stochastic rather than purely deterministic.</w:t>
      </w:r>
    </w:p>
    <w:p>
      <w:r>
        <w:t>The nominal interest rate r_t behaves differently from the differenced series. It rises sharply from the 1960s into the Volcker tightening period around 1980, then drifts gradually lower over several decades, falls near zero following the Global Financial Crisis, and climbs again from 2022 as monetary policy tightened. This prolonged cycling between very different rate regimes — with shocks appearing to accumulate rather than dissipate — is consistent with a stochastic process and suggests strong low-frequency autocorrelation.</w:t>
      </w:r>
    </w:p>
    <w:p>
      <w:pPr>
        <w:pStyle w:val="Heading3"/>
      </w:pPr>
      <w:r>
        <w:t>1(b)(i) Trend Regressions on Log Levels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Series</w:t>
            </w:r>
          </w:p>
        </w:tc>
        <w:tc>
          <w:tcPr>
            <w:tcW w:type="dxa" w:w="1728"/>
          </w:tcPr>
          <w:p>
            <w:r>
              <w:t>Intercept</w:t>
            </w:r>
          </w:p>
        </w:tc>
        <w:tc>
          <w:tcPr>
            <w:tcW w:type="dxa" w:w="1728"/>
          </w:tcPr>
          <w:p>
            <w:r>
              <w:t>Trend (δ̂)</w:t>
            </w:r>
          </w:p>
        </w:tc>
        <w:tc>
          <w:tcPr>
            <w:tcW w:type="dxa" w:w="1728"/>
          </w:tcPr>
          <w:p>
            <w:r>
              <w:t>SE(Trend)</w:t>
            </w:r>
          </w:p>
        </w:tc>
        <w:tc>
          <w:tcPr>
            <w:tcW w:type="dxa" w:w="1728"/>
          </w:tcPr>
          <w:p>
            <w:r>
              <w:t>R²</w:t>
            </w:r>
          </w:p>
        </w:tc>
      </w:tr>
      <w:tr>
        <w:tc>
          <w:tcPr>
            <w:tcW w:type="dxa" w:w="1728"/>
          </w:tcPr>
          <w:p>
            <w:r>
              <w:t>p_t</w:t>
            </w:r>
          </w:p>
        </w:tc>
        <w:tc>
          <w:tcPr>
            <w:tcW w:type="dxa" w:w="1728"/>
          </w:tcPr>
          <w:p>
            <w:r>
              <w:t>0.270678</w:t>
            </w:r>
          </w:p>
        </w:tc>
        <w:tc>
          <w:tcPr>
            <w:tcW w:type="dxa" w:w="1728"/>
          </w:tcPr>
          <w:p>
            <w:r>
              <w:t>0.010125</w:t>
            </w:r>
          </w:p>
        </w:tc>
        <w:tc>
          <w:tcPr>
            <w:tcW w:type="dxa" w:w="1728"/>
          </w:tcPr>
          <w:p>
            <w:r>
              <w:t>0.000147</w:t>
            </w:r>
          </w:p>
        </w:tc>
        <w:tc>
          <w:tcPr>
            <w:tcW w:type="dxa" w:w="1728"/>
          </w:tcPr>
          <w:p>
            <w:r>
              <w:t>0.9487</w:t>
            </w:r>
          </w:p>
        </w:tc>
      </w:tr>
      <w:tr>
        <w:tc>
          <w:tcPr>
            <w:tcW w:type="dxa" w:w="1728"/>
          </w:tcPr>
          <w:p>
            <w:r>
              <w:t>y_t</w:t>
            </w:r>
          </w:p>
        </w:tc>
        <w:tc>
          <w:tcPr>
            <w:tcW w:type="dxa" w:w="1728"/>
          </w:tcPr>
          <w:p>
            <w:r>
              <w:t>9.945124</w:t>
            </w:r>
          </w:p>
        </w:tc>
        <w:tc>
          <w:tcPr>
            <w:tcW w:type="dxa" w:w="1728"/>
          </w:tcPr>
          <w:p>
            <w:r>
              <w:t>0.004757</w:t>
            </w:r>
          </w:p>
        </w:tc>
        <w:tc>
          <w:tcPr>
            <w:tcW w:type="dxa" w:w="1728"/>
          </w:tcPr>
          <w:p>
            <w:r>
              <w:t>0.000042</w:t>
            </w:r>
          </w:p>
        </w:tc>
        <w:tc>
          <w:tcPr>
            <w:tcW w:type="dxa" w:w="1728"/>
          </w:tcPr>
          <w:p>
            <w:r>
              <w:t>0.9799</w:t>
            </w:r>
          </w:p>
        </w:tc>
      </w:tr>
      <w:tr>
        <w:tc>
          <w:tcPr>
            <w:tcW w:type="dxa" w:w="1728"/>
          </w:tcPr>
          <w:p>
            <w:r>
              <w:t>c_t</w:t>
            </w:r>
          </w:p>
        </w:tc>
        <w:tc>
          <w:tcPr>
            <w:tcW w:type="dxa" w:w="1728"/>
          </w:tcPr>
          <w:p>
            <w:r>
              <w:t>9.428678</w:t>
            </w:r>
          </w:p>
        </w:tc>
        <w:tc>
          <w:tcPr>
            <w:tcW w:type="dxa" w:w="1728"/>
          </w:tcPr>
          <w:p>
            <w:r>
              <w:t>0.005305</w:t>
            </w:r>
          </w:p>
        </w:tc>
        <w:tc>
          <w:tcPr>
            <w:tcW w:type="dxa" w:w="1728"/>
          </w:tcPr>
          <w:p>
            <w:r>
              <w:t>0.000043</w:t>
            </w:r>
          </w:p>
        </w:tc>
        <w:tc>
          <w:tcPr>
            <w:tcW w:type="dxa" w:w="1728"/>
          </w:tcPr>
          <w:p>
            <w:r>
              <w:t>0.9834</w:t>
            </w:r>
          </w:p>
        </w:tc>
      </w:tr>
    </w:tbl>
    <w:p/>
    <w:p>
      <w:r>
        <w:t>All three trend slope estimates are statistically significant and economically meaningful. The high R² values confirm that a linear time trend accounts for most of the long-run variation in each log-level series.</w:t>
      </w:r>
    </w:p>
    <w:p>
      <w:pPr>
        <w:pStyle w:val="Heading3"/>
      </w:pPr>
      <w:r>
        <w:t>1(b)(ii) Means of First Differences</w:t>
      </w:r>
    </w:p>
    <w:tbl>
      <w:tblPr>
        <w:tblStyle w:val="TableGrid"/>
        <w:tblW w:type="auto" w:w="0"/>
        <w:tblLook w:firstColumn="1" w:firstRow="1" w:lastColumn="0" w:lastRow="0" w:noHBand="0" w:noVBand="1" w:val="04A0"/>
      </w:tblPr>
      <w:tblGrid>
        <w:gridCol w:w="4320"/>
        <w:gridCol w:w="4320"/>
      </w:tblGrid>
      <w:tr>
        <w:tc>
          <w:tcPr>
            <w:tcW w:type="dxa" w:w="4320"/>
          </w:tcPr>
          <w:p>
            <w:r>
              <w:t>Series</w:t>
            </w:r>
          </w:p>
        </w:tc>
        <w:tc>
          <w:tcPr>
            <w:tcW w:type="dxa" w:w="4320"/>
          </w:tcPr>
          <w:p>
            <w:r>
              <w:t>Mean (μ̂)</w:t>
            </w:r>
          </w:p>
        </w:tc>
      </w:tr>
      <w:tr>
        <w:tc>
          <w:tcPr>
            <w:tcW w:type="dxa" w:w="4320"/>
          </w:tcPr>
          <w:p>
            <w:r>
              <w:t>Δp_t</w:t>
            </w:r>
          </w:p>
        </w:tc>
        <w:tc>
          <w:tcPr>
            <w:tcW w:type="dxa" w:w="4320"/>
          </w:tcPr>
          <w:p>
            <w:r>
              <w:t>0.009310</w:t>
            </w:r>
          </w:p>
        </w:tc>
      </w:tr>
      <w:tr>
        <w:tc>
          <w:tcPr>
            <w:tcW w:type="dxa" w:w="4320"/>
          </w:tcPr>
          <w:p>
            <w:r>
              <w:t>Δy_t</w:t>
            </w:r>
          </w:p>
        </w:tc>
        <w:tc>
          <w:tcPr>
            <w:tcW w:type="dxa" w:w="4320"/>
          </w:tcPr>
          <w:p>
            <w:r>
              <w:t>0.004919</w:t>
            </w:r>
          </w:p>
        </w:tc>
      </w:tr>
      <w:tr>
        <w:tc>
          <w:tcPr>
            <w:tcW w:type="dxa" w:w="4320"/>
          </w:tcPr>
          <w:p>
            <w:r>
              <w:t>Δc_t</w:t>
            </w:r>
          </w:p>
        </w:tc>
        <w:tc>
          <w:tcPr>
            <w:tcW w:type="dxa" w:w="4320"/>
          </w:tcPr>
          <w:p>
            <w:r>
              <w:t>0.005379</w:t>
            </w:r>
          </w:p>
        </w:tc>
      </w:tr>
    </w:tbl>
    <w:p/>
    <w:p>
      <w:pPr>
        <w:pStyle w:val="Heading3"/>
      </w:pPr>
      <w:r>
        <w:t>1(b)(iii) Why Estimate Both?</w:t>
      </w:r>
    </w:p>
    <w:p>
      <w:r>
        <w:t>The purpose of both exercises is to characterise the underlying growth behaviour of each series and to determine whether that growth is better described by a deterministic trend or by the average of accumulated changes over time.</w:t>
      </w:r>
    </w:p>
    <w:p>
      <w:r>
        <w:t>In a random-walk-with-drift model, the drift parameter is exactly the average period-to-period change. Regressing the log level on a time trend estimates that same average growth through the slope coefficient δ̂, while the sample mean of first differences μ̂ estimates it directly. Both are therefore trying to capture the same quantity — the typical quarterly growth rate.</w:t>
      </w:r>
    </w:p>
    <w:p>
      <w:r>
        <w:t>The two estimates are indeed very similar: for y_t, δ̂ = 0.004757 versus μ̂ = 0.004919; for c_t, δ̂ = 0.005305 versus μ̂ = 0.005379. The similarity suggests both approaches are capturing a consistent long-run growth pattern. The price series shows the largest gap (δ̂ = 0.010125 versus μ̂ = 0.009310) because inflation was not stable across the full sample — the high-inflation 1970s and the subsequent disinflation distort a single linear trend more than they distort the average of quarterly changes.</w:t>
      </w:r>
    </w:p>
    <w:p>
      <w:r>
        <w:t>It is worth noting that close agreement between δ̂ and μ̂ is expected regardless of whether the series is trend-stationary or difference-stationary: in both cases, the average growth rate in levels and the mean of differences are estimating the same underlying quantity. This comparison is therefore informative about the typical growth rate, but it cannot distinguish between I(0) with a deterministic trend and I(1) with a stochastic trend. Formal unit root testing is required for that distinction. What the close agreement does confirm is that both approaches are internally consistent, and the series are not behaving in some erratic way that would cause the two estimators to diverge.</w:t>
      </w:r>
    </w:p>
    <w:p>
      <w:r>
        <w:br w:type="page"/>
      </w:r>
    </w:p>
    <w:p>
      <w:pPr>
        <w:pStyle w:val="Heading2"/>
      </w:pPr>
      <w:r>
        <w:t>Question 2</w:t>
      </w:r>
    </w:p>
    <w:p>
      <w:pPr>
        <w:pStyle w:val="Heading3"/>
      </w:pPr>
      <w:r>
        <w:t>2(a) Model Selection</w:t>
      </w:r>
    </w:p>
    <w:p>
      <w:r>
        <w:t>For inflation, the relevant object is Δp_t, not the price level. The ADF test on Δp_t gives its strongest evidence against a unit root at lag 3 in the drift specification (ADF = −3.2457, p = 0.0199), and the KPSS statistic under the drift specification is 0.1128, which does not reject stationarity at conventional levels. Treating inflation as a stationary ARMA process is therefore well-supported.</w:t>
      </w:r>
    </w:p>
    <w:p>
      <w:r>
        <w:t>For the nominal interest rate r_t, the ADF test does not reject a unit root in the usual drift specification (ADF = −2.3787, p = 0.1789). Combined with the visual evidence in Figure 2 — prolonged swings with no tendency to revert to a fixed mean — differencing appears warranted.</w:t>
      </w:r>
    </w:p>
    <w:p>
      <w:r>
        <w:t>A search over ARIMA models with p, q = 0,...,10 was run for both series, covering d ∈ {0, 1} for interest rates. For inflation, only models that ranked well on both AIC and BIC *and* passed the Ljung-Box residual check at 12 lags were retained. The three best adequate models for inflation were: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Inflation model</w:t>
            </w:r>
          </w:p>
        </w:tc>
        <w:tc>
          <w:tcPr>
            <w:tcW w:type="dxa" w:w="2160"/>
          </w:tcPr>
          <w:p>
            <w:r>
              <w:t>AIC</w:t>
            </w:r>
          </w:p>
        </w:tc>
        <w:tc>
          <w:tcPr>
            <w:tcW w:type="dxa" w:w="2160"/>
          </w:tcPr>
          <w:p>
            <w:r>
              <w:t>BIC</w:t>
            </w:r>
          </w:p>
        </w:tc>
        <w:tc>
          <w:tcPr>
            <w:tcW w:type="dxa" w:w="2160"/>
          </w:tcPr>
          <w:p>
            <w:r>
              <w:t>Ljung-Box p-value</w:t>
            </w:r>
          </w:p>
        </w:tc>
      </w:tr>
      <w:tr>
        <w:tc>
          <w:tcPr>
            <w:tcW w:type="dxa" w:w="2160"/>
          </w:tcPr>
          <w:p>
            <w:r>
              <w:t>ARIMA(2,0,10)</w:t>
            </w:r>
          </w:p>
        </w:tc>
        <w:tc>
          <w:tcPr>
            <w:tcW w:type="dxa" w:w="2160"/>
          </w:tcPr>
          <w:p>
            <w:r>
              <w:t>−2692.14</w:t>
            </w:r>
          </w:p>
        </w:tc>
        <w:tc>
          <w:tcPr>
            <w:tcW w:type="dxa" w:w="2160"/>
          </w:tcPr>
          <w:p>
            <w:r>
              <w:t>−2644.38</w:t>
            </w:r>
          </w:p>
        </w:tc>
        <w:tc>
          <w:tcPr>
            <w:tcW w:type="dxa" w:w="2160"/>
          </w:tcPr>
          <w:p>
            <w:r>
              <w:t>0.1243</w:t>
            </w:r>
          </w:p>
        </w:tc>
      </w:tr>
      <w:tr>
        <w:tc>
          <w:tcPr>
            <w:tcW w:type="dxa" w:w="2160"/>
          </w:tcPr>
          <w:p>
            <w:r>
              <w:t>ARIMA(4,0,9)</w:t>
            </w:r>
          </w:p>
        </w:tc>
        <w:tc>
          <w:tcPr>
            <w:tcW w:type="dxa" w:w="2160"/>
          </w:tcPr>
          <w:p>
            <w:r>
              <w:t>−2690.87</w:t>
            </w:r>
          </w:p>
        </w:tc>
        <w:tc>
          <w:tcPr>
            <w:tcW w:type="dxa" w:w="2160"/>
          </w:tcPr>
          <w:p>
            <w:r>
              <w:t>−2643.11</w:t>
            </w:r>
          </w:p>
        </w:tc>
        <w:tc>
          <w:tcPr>
            <w:tcW w:type="dxa" w:w="2160"/>
          </w:tcPr>
          <w:p>
            <w:r>
              <w:t>0.1087</w:t>
            </w:r>
          </w:p>
        </w:tc>
      </w:tr>
      <w:tr>
        <w:tc>
          <w:tcPr>
            <w:tcW w:type="dxa" w:w="2160"/>
          </w:tcPr>
          <w:p>
            <w:r>
              <w:t>ARIMA(2,0,9)</w:t>
            </w:r>
          </w:p>
        </w:tc>
        <w:tc>
          <w:tcPr>
            <w:tcW w:type="dxa" w:w="2160"/>
          </w:tcPr>
          <w:p>
            <w:r>
              <w:t>−2689.53</w:t>
            </w:r>
          </w:p>
        </w:tc>
        <w:tc>
          <w:tcPr>
            <w:tcW w:type="dxa" w:w="2160"/>
          </w:tcPr>
          <w:p>
            <w:r>
              <w:t>−2645.32</w:t>
            </w:r>
          </w:p>
        </w:tc>
        <w:tc>
          <w:tcPr>
            <w:tcW w:type="dxa" w:w="2160"/>
          </w:tcPr>
          <w:p>
            <w:r>
              <w:t>0.0981</w:t>
            </w:r>
          </w:p>
        </w:tc>
      </w:tr>
    </w:tbl>
    <w:p/>
    <w:p>
      <w:r>
        <w:t>All three need higher-order MA terms than simpler specifications, which is consistent with inflation having a richer short-run autocorrelation structure than an ARMA(1,1) or ARMA(2,2) would capture. The three models agree closely in their AIC rankings, and all pass the adequacy screen.</w:t>
      </w:r>
    </w:p>
    <w:p>
      <w:r>
        <w:t>For interest rates, the top candidates from the search — ranked by AIC from the union of the AIC-preferred and BIC-preferred sets — were: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Interest rate model</w:t>
            </w:r>
          </w:p>
        </w:tc>
        <w:tc>
          <w:tcPr>
            <w:tcW w:type="dxa" w:w="2160"/>
          </w:tcPr>
          <w:p>
            <w:r>
              <w:t>AIC</w:t>
            </w:r>
          </w:p>
        </w:tc>
        <w:tc>
          <w:tcPr>
            <w:tcW w:type="dxa" w:w="2160"/>
          </w:tcPr>
          <w:p>
            <w:r>
              <w:t>BIC</w:t>
            </w:r>
          </w:p>
        </w:tc>
        <w:tc>
          <w:tcPr>
            <w:tcW w:type="dxa" w:w="2160"/>
          </w:tcPr>
          <w:p>
            <w:r>
              <w:t>Ljung-Box p-value</w:t>
            </w:r>
          </w:p>
        </w:tc>
      </w:tr>
      <w:tr>
        <w:tc>
          <w:tcPr>
            <w:tcW w:type="dxa" w:w="2160"/>
          </w:tcPr>
          <w:p>
            <w:r>
              <w:t>ARIMA(2,1,2)</w:t>
            </w:r>
          </w:p>
        </w:tc>
        <w:tc>
          <w:tcPr>
            <w:tcW w:type="dxa" w:w="2160"/>
          </w:tcPr>
          <w:p>
            <w:r>
              <w:t>486.46</w:t>
            </w:r>
          </w:p>
        </w:tc>
        <w:tc>
          <w:tcPr>
            <w:tcW w:type="dxa" w:w="2160"/>
          </w:tcPr>
          <w:p>
            <w:r>
              <w:t>504.24</w:t>
            </w:r>
          </w:p>
        </w:tc>
        <w:tc>
          <w:tcPr>
            <w:tcW w:type="dxa" w:w="2160"/>
          </w:tcPr>
          <w:p>
            <w:r>
              <w:t>0.0031</w:t>
            </w:r>
          </w:p>
        </w:tc>
      </w:tr>
      <w:tr>
        <w:tc>
          <w:tcPr>
            <w:tcW w:type="dxa" w:w="2160"/>
          </w:tcPr>
          <w:p>
            <w:r>
              <w:t>ARIMA(3,1,2)</w:t>
            </w:r>
          </w:p>
        </w:tc>
        <w:tc>
          <w:tcPr>
            <w:tcW w:type="dxa" w:w="2160"/>
          </w:tcPr>
          <w:p>
            <w:r>
              <w:t>487.97</w:t>
            </w:r>
          </w:p>
        </w:tc>
        <w:tc>
          <w:tcPr>
            <w:tcW w:type="dxa" w:w="2160"/>
          </w:tcPr>
          <w:p>
            <w:r>
              <w:t>509.31</w:t>
            </w:r>
          </w:p>
        </w:tc>
        <w:tc>
          <w:tcPr>
            <w:tcW w:type="dxa" w:w="2160"/>
          </w:tcPr>
          <w:p>
            <w:r>
              <w:t>0.0044</w:t>
            </w:r>
          </w:p>
        </w:tc>
      </w:tr>
      <w:tr>
        <w:tc>
          <w:tcPr>
            <w:tcW w:type="dxa" w:w="2160"/>
          </w:tcPr>
          <w:p>
            <w:r>
              <w:t>ARIMA(2,1,2) with drift</w:t>
            </w:r>
          </w:p>
        </w:tc>
        <w:tc>
          <w:tcPr>
            <w:tcW w:type="dxa" w:w="2160"/>
          </w:tcPr>
          <w:p>
            <w:r>
              <w:t>488.42</w:t>
            </w:r>
          </w:p>
        </w:tc>
        <w:tc>
          <w:tcPr>
            <w:tcW w:type="dxa" w:w="2160"/>
          </w:tcPr>
          <w:p>
            <w:r>
              <w:t>509.76</w:t>
            </w:r>
          </w:p>
        </w:tc>
        <w:tc>
          <w:tcPr>
            <w:tcW w:type="dxa" w:w="2160"/>
          </w:tcPr>
          <w:p>
            <w:r>
              <w:t>0.0028</w:t>
            </w:r>
          </w:p>
        </w:tc>
      </w:tr>
    </w:tbl>
    <w:p/>
    <w:p>
      <w:r>
        <w:t>All three interest rate models require a first difference (d = 1), consistent with the unit-root evidence and the non-stationary visual impression from the time-series plot. However, none of these models fully clears the Ljung-Box adequacy screen at 12 lags, which is a known difficulty for interest rate series — the very high persistence in r_t tends to leave detectable autocorrelation in residuals even when the model order is relatively generous. Forecasting Δp_t below is therefore based entirely on the three adequate inflation models.</w:t>
      </w:r>
    </w:p>
    <w:p>
      <w:pPr>
        <w:pStyle w:val="Heading3"/>
      </w:pPr>
      <w:r>
        <w:t>2(b) Inflation Forecasts for 2024–2025</w:t>
      </w:r>
    </w:p>
    <w:p>
      <w:pPr>
        <w:jc w:val="center"/>
      </w:pPr>
      <w:r>
        <w:drawing>
          <wp:inline xmlns:a="http://schemas.openxmlformats.org/drawingml/2006/main" xmlns:pic="http://schemas.openxmlformats.org/drawingml/2006/picture">
            <wp:extent cx="5852160" cy="2377440"/>
            <wp:docPr id="3" name="Picture 3"/>
            <wp:cNvGraphicFramePr>
              <a:graphicFrameLocks noChangeAspect="1"/>
            </wp:cNvGraphicFramePr>
            <a:graphic>
              <a:graphicData uri="http://schemas.openxmlformats.org/drawingml/2006/picture">
                <pic:pic>
                  <pic:nvPicPr>
                    <pic:cNvPr id="0" name="fig2a_forecast.png"/>
                    <pic:cNvPicPr/>
                  </pic:nvPicPr>
                  <pic:blipFill>
                    <a:blip r:embed="rId11"/>
                    <a:stretch>
                      <a:fillRect/>
                    </a:stretch>
                  </pic:blipFill>
                  <pic:spPr>
                    <a:xfrm>
                      <a:off x="0" y="0"/>
                      <a:ext cx="5852160" cy="2377440"/>
                    </a:xfrm>
                    <a:prstGeom prst="rect"/>
                  </pic:spPr>
                </pic:pic>
              </a:graphicData>
            </a:graphic>
          </wp:inline>
        </w:drawing>
      </w:r>
    </w:p>
    <w:p>
      <w:pPr>
        <w:jc w:val="center"/>
      </w:pPr>
      <w:r>
        <w:t>Figure 3: fig2a_forecast.png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Quarter</w:t>
            </w:r>
          </w:p>
        </w:tc>
        <w:tc>
          <w:tcPr>
            <w:tcW w:type="dxa" w:w="1080"/>
          </w:tcPr>
          <w:p>
            <w:r>
              <w:t>ARIMA(2,0,10)</w:t>
            </w:r>
          </w:p>
        </w:tc>
        <w:tc>
          <w:tcPr>
            <w:tcW w:type="dxa" w:w="1080"/>
          </w:tcPr>
          <w:p>
            <w:r>
              <w:t>ARIMA(4,0,9)</w:t>
            </w:r>
          </w:p>
        </w:tc>
        <w:tc>
          <w:tcPr>
            <w:tcW w:type="dxa" w:w="1080"/>
          </w:tcPr>
          <w:p>
            <w:r>
              <w:t>ARIMA(2,0,9)</w:t>
            </w:r>
          </w:p>
        </w:tc>
        <w:tc>
          <w:tcPr>
            <w:tcW w:type="dxa" w:w="1080"/>
          </w:tcPr>
          <w:p>
            <w:r>
              <w:t>68% CI Lower</w:t>
            </w:r>
          </w:p>
        </w:tc>
        <w:tc>
          <w:tcPr>
            <w:tcW w:type="dxa" w:w="1080"/>
          </w:tcPr>
          <w:p>
            <w:r>
              <w:t>68% CI Upper</w:t>
            </w:r>
          </w:p>
        </w:tc>
        <w:tc>
          <w:tcPr>
            <w:tcW w:type="dxa" w:w="1080"/>
          </w:tcPr>
          <w:p>
            <w:r>
              <w:t>95% CI Lower</w:t>
            </w:r>
          </w:p>
        </w:tc>
        <w:tc>
          <w:tcPr>
            <w:tcW w:type="dxa" w:w="1080"/>
          </w:tcPr>
          <w:p>
            <w:r>
              <w:t>95% CI Upper</w:t>
            </w:r>
          </w:p>
        </w:tc>
      </w:tr>
      <w:tr>
        <w:tc>
          <w:tcPr>
            <w:tcW w:type="dxa" w:w="1080"/>
          </w:tcPr>
          <w:p>
            <w:r>
              <w:t>2024Q1</w:t>
            </w:r>
          </w:p>
        </w:tc>
        <w:tc>
          <w:tcPr>
            <w:tcW w:type="dxa" w:w="1080"/>
          </w:tcPr>
          <w:p>
            <w:r>
              <w:t>0.008712</w:t>
            </w:r>
          </w:p>
        </w:tc>
        <w:tc>
          <w:tcPr>
            <w:tcW w:type="dxa" w:w="1080"/>
          </w:tcPr>
          <w:p>
            <w:r>
              <w:t>0.008681</w:t>
            </w:r>
          </w:p>
        </w:tc>
        <w:tc>
          <w:tcPr>
            <w:tcW w:type="dxa" w:w="1080"/>
          </w:tcPr>
          <w:p>
            <w:r>
              <w:t>0.008697</w:t>
            </w:r>
          </w:p>
        </w:tc>
        <w:tc>
          <w:tcPr>
            <w:tcW w:type="dxa" w:w="1080"/>
          </w:tcPr>
          <w:p>
            <w:r>
              <w:t>0.007427</w:t>
            </w:r>
          </w:p>
        </w:tc>
        <w:tc>
          <w:tcPr>
            <w:tcW w:type="dxa" w:w="1080"/>
          </w:tcPr>
          <w:p>
            <w:r>
              <w:t>0.009997</w:t>
            </w:r>
          </w:p>
        </w:tc>
        <w:tc>
          <w:tcPr>
            <w:tcW w:type="dxa" w:w="1080"/>
          </w:tcPr>
          <w:p>
            <w:r>
              <w:t>0.006194</w:t>
            </w:r>
          </w:p>
        </w:tc>
        <w:tc>
          <w:tcPr>
            <w:tcW w:type="dxa" w:w="1080"/>
          </w:tcPr>
          <w:p>
            <w:r>
              <w:t>0.011230</w:t>
            </w:r>
          </w:p>
        </w:tc>
      </w:tr>
      <w:tr>
        <w:tc>
          <w:tcPr>
            <w:tcW w:type="dxa" w:w="1080"/>
          </w:tcPr>
          <w:p>
            <w:r>
              <w:t>2024Q2</w:t>
            </w:r>
          </w:p>
        </w:tc>
        <w:tc>
          <w:tcPr>
            <w:tcW w:type="dxa" w:w="1080"/>
          </w:tcPr>
          <w:p>
            <w:r>
              <w:t>0.008543</w:t>
            </w:r>
          </w:p>
        </w:tc>
        <w:tc>
          <w:tcPr>
            <w:tcW w:type="dxa" w:w="1080"/>
          </w:tcPr>
          <w:p>
            <w:r>
              <w:t>0.008498</w:t>
            </w:r>
          </w:p>
        </w:tc>
        <w:tc>
          <w:tcPr>
            <w:tcW w:type="dxa" w:w="1080"/>
          </w:tcPr>
          <w:p>
            <w:r>
              <w:t>0.008521</w:t>
            </w:r>
          </w:p>
        </w:tc>
        <w:tc>
          <w:tcPr>
            <w:tcW w:type="dxa" w:w="1080"/>
          </w:tcPr>
          <w:p>
            <w:r>
              <w:t>0.006178</w:t>
            </w:r>
          </w:p>
        </w:tc>
        <w:tc>
          <w:tcPr>
            <w:tcW w:type="dxa" w:w="1080"/>
          </w:tcPr>
          <w:p>
            <w:r>
              <w:t>0.010908</w:t>
            </w:r>
          </w:p>
        </w:tc>
        <w:tc>
          <w:tcPr>
            <w:tcW w:type="dxa" w:w="1080"/>
          </w:tcPr>
          <w:p>
            <w:r>
              <w:t>0.003908</w:t>
            </w:r>
          </w:p>
        </w:tc>
        <w:tc>
          <w:tcPr>
            <w:tcW w:type="dxa" w:w="1080"/>
          </w:tcPr>
          <w:p>
            <w:r>
              <w:t>0.013178</w:t>
            </w:r>
          </w:p>
        </w:tc>
      </w:tr>
      <w:tr>
        <w:tc>
          <w:tcPr>
            <w:tcW w:type="dxa" w:w="1080"/>
          </w:tcPr>
          <w:p>
            <w:r>
              <w:t>2024Q3</w:t>
            </w:r>
          </w:p>
        </w:tc>
        <w:tc>
          <w:tcPr>
            <w:tcW w:type="dxa" w:w="1080"/>
          </w:tcPr>
          <w:p>
            <w:r>
              <w:t>0.008948</w:t>
            </w:r>
          </w:p>
        </w:tc>
        <w:tc>
          <w:tcPr>
            <w:tcW w:type="dxa" w:w="1080"/>
          </w:tcPr>
          <w:p>
            <w:r>
              <w:t>0.008906</w:t>
            </w:r>
          </w:p>
        </w:tc>
        <w:tc>
          <w:tcPr>
            <w:tcW w:type="dxa" w:w="1080"/>
          </w:tcPr>
          <w:p>
            <w:r>
              <w:t>0.008934</w:t>
            </w:r>
          </w:p>
        </w:tc>
        <w:tc>
          <w:tcPr>
            <w:tcW w:type="dxa" w:w="1080"/>
          </w:tcPr>
          <w:p>
            <w:r>
              <w:t>0.005602</w:t>
            </w:r>
          </w:p>
        </w:tc>
        <w:tc>
          <w:tcPr>
            <w:tcW w:type="dxa" w:w="1080"/>
          </w:tcPr>
          <w:p>
            <w:r>
              <w:t>0.012294</w:t>
            </w:r>
          </w:p>
        </w:tc>
        <w:tc>
          <w:tcPr>
            <w:tcW w:type="dxa" w:w="1080"/>
          </w:tcPr>
          <w:p>
            <w:r>
              <w:t>0.002389</w:t>
            </w:r>
          </w:p>
        </w:tc>
        <w:tc>
          <w:tcPr>
            <w:tcW w:type="dxa" w:w="1080"/>
          </w:tcPr>
          <w:p>
            <w:r>
              <w:t>0.015507</w:t>
            </w:r>
          </w:p>
        </w:tc>
      </w:tr>
      <w:tr>
        <w:tc>
          <w:tcPr>
            <w:tcW w:type="dxa" w:w="1080"/>
          </w:tcPr>
          <w:p>
            <w:r>
              <w:t>2024Q4</w:t>
            </w:r>
          </w:p>
        </w:tc>
        <w:tc>
          <w:tcPr>
            <w:tcW w:type="dxa" w:w="1080"/>
          </w:tcPr>
          <w:p>
            <w:r>
              <w:t>0.008871</w:t>
            </w:r>
          </w:p>
        </w:tc>
        <w:tc>
          <w:tcPr>
            <w:tcW w:type="dxa" w:w="1080"/>
          </w:tcPr>
          <w:p>
            <w:r>
              <w:t>0.008835</w:t>
            </w:r>
          </w:p>
        </w:tc>
        <w:tc>
          <w:tcPr>
            <w:tcW w:type="dxa" w:w="1080"/>
          </w:tcPr>
          <w:p>
            <w:r>
              <w:t>0.008862</w:t>
            </w:r>
          </w:p>
        </w:tc>
        <w:tc>
          <w:tcPr>
            <w:tcW w:type="dxa" w:w="1080"/>
          </w:tcPr>
          <w:p>
            <w:r>
              <w:t>0.004356</w:t>
            </w:r>
          </w:p>
        </w:tc>
        <w:tc>
          <w:tcPr>
            <w:tcW w:type="dxa" w:w="1080"/>
          </w:tcPr>
          <w:p>
            <w:r>
              <w:t>0.013386</w:t>
            </w:r>
          </w:p>
        </w:tc>
        <w:tc>
          <w:tcPr>
            <w:tcW w:type="dxa" w:w="1080"/>
          </w:tcPr>
          <w:p>
            <w:r>
              <w:t>0.000021</w:t>
            </w:r>
          </w:p>
        </w:tc>
        <w:tc>
          <w:tcPr>
            <w:tcW w:type="dxa" w:w="1080"/>
          </w:tcPr>
          <w:p>
            <w:r>
              <w:t>0.017721</w:t>
            </w:r>
          </w:p>
        </w:tc>
      </w:tr>
      <w:tr>
        <w:tc>
          <w:tcPr>
            <w:tcW w:type="dxa" w:w="1080"/>
          </w:tcPr>
          <w:p>
            <w:r>
              <w:t>2025Q1</w:t>
            </w:r>
          </w:p>
        </w:tc>
        <w:tc>
          <w:tcPr>
            <w:tcW w:type="dxa" w:w="1080"/>
          </w:tcPr>
          <w:p>
            <w:r>
              <w:t>0.008816</w:t>
            </w:r>
          </w:p>
        </w:tc>
        <w:tc>
          <w:tcPr>
            <w:tcW w:type="dxa" w:w="1080"/>
          </w:tcPr>
          <w:p>
            <w:r>
              <w:t>0.008791</w:t>
            </w:r>
          </w:p>
        </w:tc>
        <w:tc>
          <w:tcPr>
            <w:tcW w:type="dxa" w:w="1080"/>
          </w:tcPr>
          <w:p>
            <w:r>
              <w:t>0.008807</w:t>
            </w:r>
          </w:p>
        </w:tc>
        <w:tc>
          <w:tcPr>
            <w:tcW w:type="dxa" w:w="1080"/>
          </w:tcPr>
          <w:p>
            <w:r>
              <w:t>0.003798</w:t>
            </w:r>
          </w:p>
        </w:tc>
        <w:tc>
          <w:tcPr>
            <w:tcW w:type="dxa" w:w="1080"/>
          </w:tcPr>
          <w:p>
            <w:r>
              <w:t>0.013834</w:t>
            </w:r>
          </w:p>
        </w:tc>
        <w:tc>
          <w:tcPr>
            <w:tcW w:type="dxa" w:w="1080"/>
          </w:tcPr>
          <w:p>
            <w:r>
              <w:t>−0.001019</w:t>
            </w:r>
          </w:p>
        </w:tc>
        <w:tc>
          <w:tcPr>
            <w:tcW w:type="dxa" w:w="1080"/>
          </w:tcPr>
          <w:p>
            <w:r>
              <w:t>0.018651</w:t>
            </w:r>
          </w:p>
        </w:tc>
      </w:tr>
      <w:tr>
        <w:tc>
          <w:tcPr>
            <w:tcW w:type="dxa" w:w="1080"/>
          </w:tcPr>
          <w:p>
            <w:r>
              <w:t>2025Q2</w:t>
            </w:r>
          </w:p>
        </w:tc>
        <w:tc>
          <w:tcPr>
            <w:tcW w:type="dxa" w:w="1080"/>
          </w:tcPr>
          <w:p>
            <w:r>
              <w:t>0.008883</w:t>
            </w:r>
          </w:p>
        </w:tc>
        <w:tc>
          <w:tcPr>
            <w:tcW w:type="dxa" w:w="1080"/>
          </w:tcPr>
          <w:p>
            <w:r>
              <w:t>0.008861</w:t>
            </w:r>
          </w:p>
        </w:tc>
        <w:tc>
          <w:tcPr>
            <w:tcW w:type="dxa" w:w="1080"/>
          </w:tcPr>
          <w:p>
            <w:r>
              <w:t>0.008876</w:t>
            </w:r>
          </w:p>
        </w:tc>
        <w:tc>
          <w:tcPr>
            <w:tcW w:type="dxa" w:w="1080"/>
          </w:tcPr>
          <w:p>
            <w:r>
              <w:t>0.003490</w:t>
            </w:r>
          </w:p>
        </w:tc>
        <w:tc>
          <w:tcPr>
            <w:tcW w:type="dxa" w:w="1080"/>
          </w:tcPr>
          <w:p>
            <w:r>
              <w:t>0.014276</w:t>
            </w:r>
          </w:p>
        </w:tc>
        <w:tc>
          <w:tcPr>
            <w:tcW w:type="dxa" w:w="1080"/>
          </w:tcPr>
          <w:p>
            <w:r>
              <w:t>−0.001688</w:t>
            </w:r>
          </w:p>
        </w:tc>
        <w:tc>
          <w:tcPr>
            <w:tcW w:type="dxa" w:w="1080"/>
          </w:tcPr>
          <w:p>
            <w:r>
              <w:t>0.019454</w:t>
            </w:r>
          </w:p>
        </w:tc>
      </w:tr>
      <w:tr>
        <w:tc>
          <w:tcPr>
            <w:tcW w:type="dxa" w:w="1080"/>
          </w:tcPr>
          <w:p>
            <w:r>
              <w:t>2025Q3</w:t>
            </w:r>
          </w:p>
        </w:tc>
        <w:tc>
          <w:tcPr>
            <w:tcW w:type="dxa" w:w="1080"/>
          </w:tcPr>
          <w:p>
            <w:r>
              <w:t>0.008892</w:t>
            </w:r>
          </w:p>
        </w:tc>
        <w:tc>
          <w:tcPr>
            <w:tcW w:type="dxa" w:w="1080"/>
          </w:tcPr>
          <w:p>
            <w:r>
              <w:t>0.008873</w:t>
            </w:r>
          </w:p>
        </w:tc>
        <w:tc>
          <w:tcPr>
            <w:tcW w:type="dxa" w:w="1080"/>
          </w:tcPr>
          <w:p>
            <w:r>
              <w:t>0.008888</w:t>
            </w:r>
          </w:p>
        </w:tc>
        <w:tc>
          <w:tcPr>
            <w:tcW w:type="dxa" w:w="1080"/>
          </w:tcPr>
          <w:p>
            <w:r>
              <w:t>0.003158</w:t>
            </w:r>
          </w:p>
        </w:tc>
        <w:tc>
          <w:tcPr>
            <w:tcW w:type="dxa" w:w="1080"/>
          </w:tcPr>
          <w:p>
            <w:r>
              <w:t>0.014626</w:t>
            </w:r>
          </w:p>
        </w:tc>
        <w:tc>
          <w:tcPr>
            <w:tcW w:type="dxa" w:w="1080"/>
          </w:tcPr>
          <w:p>
            <w:r>
              <w:t>−0.002347</w:t>
            </w:r>
          </w:p>
        </w:tc>
        <w:tc>
          <w:tcPr>
            <w:tcW w:type="dxa" w:w="1080"/>
          </w:tcPr>
          <w:p>
            <w:r>
              <w:t>0.020131</w:t>
            </w:r>
          </w:p>
        </w:tc>
      </w:tr>
      <w:tr>
        <w:tc>
          <w:tcPr>
            <w:tcW w:type="dxa" w:w="1080"/>
          </w:tcPr>
          <w:p>
            <w:r>
              <w:t>2025Q4</w:t>
            </w:r>
          </w:p>
        </w:tc>
        <w:tc>
          <w:tcPr>
            <w:tcW w:type="dxa" w:w="1080"/>
          </w:tcPr>
          <w:p>
            <w:r>
              <w:t>0.008889</w:t>
            </w:r>
          </w:p>
        </w:tc>
        <w:tc>
          <w:tcPr>
            <w:tcW w:type="dxa" w:w="1080"/>
          </w:tcPr>
          <w:p>
            <w:r>
              <w:t>0.008874</w:t>
            </w:r>
          </w:p>
        </w:tc>
        <w:tc>
          <w:tcPr>
            <w:tcW w:type="dxa" w:w="1080"/>
          </w:tcPr>
          <w:p>
            <w:r>
              <w:t>0.008884</w:t>
            </w:r>
          </w:p>
        </w:tc>
        <w:tc>
          <w:tcPr>
            <w:tcW w:type="dxa" w:w="1080"/>
          </w:tcPr>
          <w:p>
            <w:r>
              <w:t>0.002904</w:t>
            </w:r>
          </w:p>
        </w:tc>
        <w:tc>
          <w:tcPr>
            <w:tcW w:type="dxa" w:w="1080"/>
          </w:tcPr>
          <w:p>
            <w:r>
              <w:t>0.014874</w:t>
            </w:r>
          </w:p>
        </w:tc>
        <w:tc>
          <w:tcPr>
            <w:tcW w:type="dxa" w:w="1080"/>
          </w:tcPr>
          <w:p>
            <w:r>
              <w:t>−0.002841</w:t>
            </w:r>
          </w:p>
        </w:tc>
        <w:tc>
          <w:tcPr>
            <w:tcW w:type="dxa" w:w="1080"/>
          </w:tcPr>
          <w:p>
            <w:r>
              <w:t>0.020619</w:t>
            </w:r>
          </w:p>
        </w:tc>
      </w:tr>
    </w:tbl>
    <w:p/>
    <w:p>
      <w:r>
        <w:t>All three models forecast quarterly inflation converging toward a long-run mean just under 0.009. That is exactly the behaviour a stationary ARMA model produces: as the forecast horizon lengthens, the effect of any initial shock fades and the forecast gradually reverts to the unconditional mean. The three models agree very closely in the near-term but show minor divergence at longer horizons, reflecting their different MA lag structures.</w:t>
      </w:r>
    </w:p>
    <w:p>
      <w:pPr>
        <w:pStyle w:val="Heading3"/>
      </w:pPr>
      <w:r>
        <w:t>2(c) Policy Use and Forecast Uncertainty</w:t>
      </w:r>
    </w:p>
    <w:p>
      <w:r>
        <w:t>These forecasts are valuable because monetary and fiscal policy decisions are forward-looking. If inflation is expected to remain above target, a central bank has grounds for maintaining or raising the policy rate. Conversely, if the models signal a sustained easing of inflation, policymakers may judge that current settings are already restrictive enough without further tightening. Fiscal authorities also rely on inflation projections for indexing spending programs and for assessing the real burden of nominal debt.</w:t>
      </w:r>
    </w:p>
    <w:p>
      <w:r>
        <w:t>There are several distinct sources of forecast uncertainty, both conceptual and quantitative.</w:t>
      </w:r>
    </w:p>
    <w:p>
      <w:r>
        <w:t>Innovation uncertainty is the most fundamental: future shocks cannot be predicted. This is directly visible in the widening prediction intervals. For ARIMA(2,0,10), the 68% interval sits roughly 0.0013 on each side of the central forecast at the 2024Q1 horizon and widens to around 0.006 by 2025Q4; the corresponding 95% interval opens from a total width of roughly 0.005 in 2024Q1 to over 0.023 by the end of the evaluation window. This steady expansion is exactly what ARIMA dynamics imply: forecast errors accumulate over time because each additional step adds a new unobserved innovation, and the propagation of uncertainty through the MA(∞) representation grows monotonically with the horizon.</w:t>
      </w:r>
    </w:p>
    <w:p>
      <w:r>
        <w:t>Parameter uncertainty arises because all estimated coefficients carry sampling error. Standard ARIMA interval routines incorporate only innovation uncertainty, so the reported bands understate the true forecast risk. The more parameters a model has, the larger this additional source of error tends to be, which is part of why parsimony is valued.</w:t>
      </w:r>
    </w:p>
    <w:p>
      <w:r>
        <w:t>Model uncertainty is evident in the spread across the three models. While all three agree that inflation will hover just below 0.009 in the near term, their point forecasts do diverge slightly at longer horizons due to differences in the MA decay structure.</w:t>
      </w:r>
    </w:p>
    <w:p>
      <w:r>
        <w:t>Structural uncertainty is perhaps the most economically important but hardest to quantify. ARIMA models assume that the data-generating process in the future resembles the past. That assumption breaks down around regime changes — a large supply shock, a shift in the central bank's reaction function, or a financial disruption can all push realised inflation well outside any model-based interval, as the post-2021 episode made clear.</w:t>
      </w:r>
    </w:p>
    <w:p>
      <w:r>
        <w:br w:type="page"/>
      </w:r>
    </w:p>
    <w:p>
      <w:pPr>
        <w:pStyle w:val="Heading2"/>
      </w:pPr>
      <w:r>
        <w:t>Question 3</w:t>
      </w:r>
    </w:p>
    <w:p>
      <w:pPr>
        <w:jc w:val="center"/>
      </w:pPr>
      <w:r>
        <w:drawing>
          <wp:inline xmlns:a="http://schemas.openxmlformats.org/drawingml/2006/main" xmlns:pic="http://schemas.openxmlformats.org/drawingml/2006/picture">
            <wp:extent cx="5852160" cy="2351803"/>
            <wp:docPr id="4" name="Picture 4"/>
            <wp:cNvGraphicFramePr>
              <a:graphicFrameLocks noChangeAspect="1"/>
            </wp:cNvGraphicFramePr>
            <a:graphic>
              <a:graphicData uri="http://schemas.openxmlformats.org/drawingml/2006/picture">
                <pic:pic>
                  <pic:nvPicPr>
                    <pic:cNvPr id="0" name="fig3_actual_vs_forecast.png"/>
                    <pic:cNvPicPr/>
                  </pic:nvPicPr>
                  <pic:blipFill>
                    <a:blip r:embed="rId12"/>
                    <a:stretch>
                      <a:fillRect/>
                    </a:stretch>
                  </pic:blipFill>
                  <pic:spPr>
                    <a:xfrm>
                      <a:off x="0" y="0"/>
                      <a:ext cx="5852160" cy="2351803"/>
                    </a:xfrm>
                    <a:prstGeom prst="rect"/>
                  </pic:spPr>
                </pic:pic>
              </a:graphicData>
            </a:graphic>
          </wp:inline>
        </w:drawing>
      </w:r>
    </w:p>
    <w:p>
      <w:pPr>
        <w:jc w:val="center"/>
      </w:pPr>
      <w:r>
        <w:t>Figure 4: fig3_actual_vs_forecast.png</w:t>
      </w:r>
    </w:p>
    <w:p>
      <w:r>
        <w:t>The actual quarterly inflation rates for 2024Q1–2025Q3 are computed from the provided price-level data using Δp_t = log(P_t) − log(P_{t−1}), with P_{2023Q4} taken as the last in-sample observation.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Quarter</w:t>
            </w:r>
          </w:p>
        </w:tc>
        <w:tc>
          <w:tcPr>
            <w:tcW w:type="dxa" w:w="1728"/>
          </w:tcPr>
          <w:p>
            <w:r>
              <w:t>Actual Δp_t</w:t>
            </w:r>
          </w:p>
        </w:tc>
        <w:tc>
          <w:tcPr>
            <w:tcW w:type="dxa" w:w="1728"/>
          </w:tcPr>
          <w:p>
            <w:r>
              <w:t>ARIMA(2,0,10)</w:t>
            </w:r>
          </w:p>
        </w:tc>
        <w:tc>
          <w:tcPr>
            <w:tcW w:type="dxa" w:w="1728"/>
          </w:tcPr>
          <w:p>
            <w:r>
              <w:t>ARIMA(4,0,9)</w:t>
            </w:r>
          </w:p>
        </w:tc>
        <w:tc>
          <w:tcPr>
            <w:tcW w:type="dxa" w:w="1728"/>
          </w:tcPr>
          <w:p>
            <w:r>
              <w:t>ARIMA(2,0,9)</w:t>
            </w:r>
          </w:p>
        </w:tc>
      </w:tr>
      <w:tr>
        <w:tc>
          <w:tcPr>
            <w:tcW w:type="dxa" w:w="1728"/>
          </w:tcPr>
          <w:p>
            <w:r>
              <w:t>2024Q1</w:t>
            </w:r>
          </w:p>
        </w:tc>
        <w:tc>
          <w:tcPr>
            <w:tcW w:type="dxa" w:w="1728"/>
          </w:tcPr>
          <w:p>
            <w:r>
              <w:t>0.007977</w:t>
            </w:r>
          </w:p>
        </w:tc>
        <w:tc>
          <w:tcPr>
            <w:tcW w:type="dxa" w:w="1728"/>
          </w:tcPr>
          <w:p>
            <w:r>
              <w:t>0.008712</w:t>
            </w:r>
          </w:p>
        </w:tc>
        <w:tc>
          <w:tcPr>
            <w:tcW w:type="dxa" w:w="1728"/>
          </w:tcPr>
          <w:p>
            <w:r>
              <w:t>0.008681</w:t>
            </w:r>
          </w:p>
        </w:tc>
        <w:tc>
          <w:tcPr>
            <w:tcW w:type="dxa" w:w="1728"/>
          </w:tcPr>
          <w:p>
            <w:r>
              <w:t>0.008697</w:t>
            </w:r>
          </w:p>
        </w:tc>
      </w:tr>
      <w:tr>
        <w:tc>
          <w:tcPr>
            <w:tcW w:type="dxa" w:w="1728"/>
          </w:tcPr>
          <w:p>
            <w:r>
              <w:t>2024Q2</w:t>
            </w:r>
          </w:p>
        </w:tc>
        <w:tc>
          <w:tcPr>
            <w:tcW w:type="dxa" w:w="1728"/>
          </w:tcPr>
          <w:p>
            <w:r>
              <w:t>0.008286</w:t>
            </w:r>
          </w:p>
        </w:tc>
        <w:tc>
          <w:tcPr>
            <w:tcW w:type="dxa" w:w="1728"/>
          </w:tcPr>
          <w:p>
            <w:r>
              <w:t>0.008543</w:t>
            </w:r>
          </w:p>
        </w:tc>
        <w:tc>
          <w:tcPr>
            <w:tcW w:type="dxa" w:w="1728"/>
          </w:tcPr>
          <w:p>
            <w:r>
              <w:t>0.008498</w:t>
            </w:r>
          </w:p>
        </w:tc>
        <w:tc>
          <w:tcPr>
            <w:tcW w:type="dxa" w:w="1728"/>
          </w:tcPr>
          <w:p>
            <w:r>
              <w:t>0.008521</w:t>
            </w:r>
          </w:p>
        </w:tc>
      </w:tr>
      <w:tr>
        <w:tc>
          <w:tcPr>
            <w:tcW w:type="dxa" w:w="1728"/>
          </w:tcPr>
          <w:p>
            <w:r>
              <w:t>2024Q3</w:t>
            </w:r>
          </w:p>
        </w:tc>
        <w:tc>
          <w:tcPr>
            <w:tcW w:type="dxa" w:w="1728"/>
          </w:tcPr>
          <w:p>
            <w:r>
              <w:t>0.007614</w:t>
            </w:r>
          </w:p>
        </w:tc>
        <w:tc>
          <w:tcPr>
            <w:tcW w:type="dxa" w:w="1728"/>
          </w:tcPr>
          <w:p>
            <w:r>
              <w:t>0.008948</w:t>
            </w:r>
          </w:p>
        </w:tc>
        <w:tc>
          <w:tcPr>
            <w:tcW w:type="dxa" w:w="1728"/>
          </w:tcPr>
          <w:p>
            <w:r>
              <w:t>0.008906</w:t>
            </w:r>
          </w:p>
        </w:tc>
        <w:tc>
          <w:tcPr>
            <w:tcW w:type="dxa" w:w="1728"/>
          </w:tcPr>
          <w:p>
            <w:r>
              <w:t>0.008934</w:t>
            </w:r>
          </w:p>
        </w:tc>
      </w:tr>
      <w:tr>
        <w:tc>
          <w:tcPr>
            <w:tcW w:type="dxa" w:w="1728"/>
          </w:tcPr>
          <w:p>
            <w:r>
              <w:t>2024Q4</w:t>
            </w:r>
          </w:p>
        </w:tc>
        <w:tc>
          <w:tcPr>
            <w:tcW w:type="dxa" w:w="1728"/>
          </w:tcPr>
          <w:p>
            <w:r>
              <w:t>0.006356</w:t>
            </w:r>
          </w:p>
        </w:tc>
        <w:tc>
          <w:tcPr>
            <w:tcW w:type="dxa" w:w="1728"/>
          </w:tcPr>
          <w:p>
            <w:r>
              <w:t>0.008871</w:t>
            </w:r>
          </w:p>
        </w:tc>
        <w:tc>
          <w:tcPr>
            <w:tcW w:type="dxa" w:w="1728"/>
          </w:tcPr>
          <w:p>
            <w:r>
              <w:t>0.008835</w:t>
            </w:r>
          </w:p>
        </w:tc>
        <w:tc>
          <w:tcPr>
            <w:tcW w:type="dxa" w:w="1728"/>
          </w:tcPr>
          <w:p>
            <w:r>
              <w:t>0.008862</w:t>
            </w:r>
          </w:p>
        </w:tc>
      </w:tr>
      <w:tr>
        <w:tc>
          <w:tcPr>
            <w:tcW w:type="dxa" w:w="1728"/>
          </w:tcPr>
          <w:p>
            <w:r>
              <w:t>2025Q1</w:t>
            </w:r>
          </w:p>
        </w:tc>
        <w:tc>
          <w:tcPr>
            <w:tcW w:type="dxa" w:w="1728"/>
          </w:tcPr>
          <w:p>
            <w:r>
              <w:t>0.007111</w:t>
            </w:r>
          </w:p>
        </w:tc>
        <w:tc>
          <w:tcPr>
            <w:tcW w:type="dxa" w:w="1728"/>
          </w:tcPr>
          <w:p>
            <w:r>
              <w:t>0.008816</w:t>
            </w:r>
          </w:p>
        </w:tc>
        <w:tc>
          <w:tcPr>
            <w:tcW w:type="dxa" w:w="1728"/>
          </w:tcPr>
          <w:p>
            <w:r>
              <w:t>0.008791</w:t>
            </w:r>
          </w:p>
        </w:tc>
        <w:tc>
          <w:tcPr>
            <w:tcW w:type="dxa" w:w="1728"/>
          </w:tcPr>
          <w:p>
            <w:r>
              <w:t>0.008807</w:t>
            </w:r>
          </w:p>
        </w:tc>
      </w:tr>
      <w:tr>
        <w:tc>
          <w:tcPr>
            <w:tcW w:type="dxa" w:w="1728"/>
          </w:tcPr>
          <w:p>
            <w:r>
              <w:t>2025Q2</w:t>
            </w:r>
          </w:p>
        </w:tc>
        <w:tc>
          <w:tcPr>
            <w:tcW w:type="dxa" w:w="1728"/>
          </w:tcPr>
          <w:p>
            <w:r>
              <w:t>0.006337</w:t>
            </w:r>
          </w:p>
        </w:tc>
        <w:tc>
          <w:tcPr>
            <w:tcW w:type="dxa" w:w="1728"/>
          </w:tcPr>
          <w:p>
            <w:r>
              <w:t>0.008883</w:t>
            </w:r>
          </w:p>
        </w:tc>
        <w:tc>
          <w:tcPr>
            <w:tcW w:type="dxa" w:w="1728"/>
          </w:tcPr>
          <w:p>
            <w:r>
              <w:t>0.008861</w:t>
            </w:r>
          </w:p>
        </w:tc>
        <w:tc>
          <w:tcPr>
            <w:tcW w:type="dxa" w:w="1728"/>
          </w:tcPr>
          <w:p>
            <w:r>
              <w:t>0.008876</w:t>
            </w:r>
          </w:p>
        </w:tc>
      </w:tr>
      <w:tr>
        <w:tc>
          <w:tcPr>
            <w:tcW w:type="dxa" w:w="1728"/>
          </w:tcPr>
          <w:p>
            <w:r>
              <w:t>2025Q3</w:t>
            </w:r>
          </w:p>
        </w:tc>
        <w:tc>
          <w:tcPr>
            <w:tcW w:type="dxa" w:w="1728"/>
          </w:tcPr>
          <w:p>
            <w:r>
              <w:t>0.006428</w:t>
            </w:r>
          </w:p>
        </w:tc>
        <w:tc>
          <w:tcPr>
            <w:tcW w:type="dxa" w:w="1728"/>
          </w:tcPr>
          <w:p>
            <w:r>
              <w:t>0.008892</w:t>
            </w:r>
          </w:p>
        </w:tc>
        <w:tc>
          <w:tcPr>
            <w:tcW w:type="dxa" w:w="1728"/>
          </w:tcPr>
          <w:p>
            <w:r>
              <w:t>0.008873</w:t>
            </w:r>
          </w:p>
        </w:tc>
        <w:tc>
          <w:tcPr>
            <w:tcW w:type="dxa" w:w="1728"/>
          </w:tcPr>
          <w:p>
            <w:r>
              <w:t>0.008888</w:t>
            </w:r>
          </w:p>
        </w:tc>
      </w:tr>
    </w:tbl>
    <w:p/>
    <w:p>
      <w:r>
        <w:t>Forecast performance: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MSFE</w:t>
            </w:r>
          </w:p>
        </w:tc>
        <w:tc>
          <w:tcPr>
            <w:tcW w:type="dxa" w:w="2160"/>
          </w:tcPr>
          <w:p>
            <w:r>
              <w:t>RMSFE</w:t>
            </w:r>
          </w:p>
        </w:tc>
        <w:tc>
          <w:tcPr>
            <w:tcW w:type="dxa" w:w="2160"/>
          </w:tcPr>
          <w:p>
            <w:r>
              <w:t>MAE</w:t>
            </w:r>
          </w:p>
        </w:tc>
      </w:tr>
      <w:tr>
        <w:tc>
          <w:tcPr>
            <w:tcW w:type="dxa" w:w="2160"/>
          </w:tcPr>
          <w:p>
            <w:r>
              <w:t>ARIMA(2,0,10)</w:t>
            </w:r>
          </w:p>
        </w:tc>
        <w:tc>
          <w:tcPr>
            <w:tcW w:type="dxa" w:w="2160"/>
          </w:tcPr>
          <w:p>
            <w:r>
              <w:t>3.3712e−06</w:t>
            </w:r>
          </w:p>
        </w:tc>
        <w:tc>
          <w:tcPr>
            <w:tcW w:type="dxa" w:w="2160"/>
          </w:tcPr>
          <w:p>
            <w:r>
              <w:t>0.001836</w:t>
            </w:r>
          </w:p>
        </w:tc>
        <w:tc>
          <w:tcPr>
            <w:tcW w:type="dxa" w:w="2160"/>
          </w:tcPr>
          <w:p>
            <w:r>
              <w:t>0.001624</w:t>
            </w:r>
          </w:p>
        </w:tc>
      </w:tr>
      <w:tr>
        <w:tc>
          <w:tcPr>
            <w:tcW w:type="dxa" w:w="2160"/>
          </w:tcPr>
          <w:p>
            <w:r>
              <w:t>ARIMA(4,0,9)</w:t>
            </w:r>
          </w:p>
        </w:tc>
        <w:tc>
          <w:tcPr>
            <w:tcW w:type="dxa" w:w="2160"/>
          </w:tcPr>
          <w:p>
            <w:r>
              <w:t>3.1084e−06</w:t>
            </w:r>
          </w:p>
        </w:tc>
        <w:tc>
          <w:tcPr>
            <w:tcW w:type="dxa" w:w="2160"/>
          </w:tcPr>
          <w:p>
            <w:r>
              <w:t>0.001763</w:t>
            </w:r>
          </w:p>
        </w:tc>
        <w:tc>
          <w:tcPr>
            <w:tcW w:type="dxa" w:w="2160"/>
          </w:tcPr>
          <w:p>
            <w:r>
              <w:t>0.001538</w:t>
            </w:r>
          </w:p>
        </w:tc>
      </w:tr>
      <w:tr>
        <w:tc>
          <w:tcPr>
            <w:tcW w:type="dxa" w:w="2160"/>
          </w:tcPr>
          <w:p>
            <w:r>
              <w:t>ARIMA(2,0,9)</w:t>
            </w:r>
          </w:p>
        </w:tc>
        <w:tc>
          <w:tcPr>
            <w:tcW w:type="dxa" w:w="2160"/>
          </w:tcPr>
          <w:p>
            <w:r>
              <w:t>3.2418e−06</w:t>
            </w:r>
          </w:p>
        </w:tc>
        <w:tc>
          <w:tcPr>
            <w:tcW w:type="dxa" w:w="2160"/>
          </w:tcPr>
          <w:p>
            <w:r>
              <w:t>0.001800</w:t>
            </w:r>
          </w:p>
        </w:tc>
        <w:tc>
          <w:tcPr>
            <w:tcW w:type="dxa" w:w="2160"/>
          </w:tcPr>
          <w:p>
            <w:r>
              <w:t>0.001582</w:t>
            </w:r>
          </w:p>
        </w:tc>
      </w:tr>
    </w:tbl>
    <w:p/>
    <w:p>
      <w:r>
        <w:t>Looking at the performance metrics, ARIMA(4,0,9) comes out slightly ahead on all three measures, though the differences across the three models are small. The bigger picture is that all three models produce very similar forecasts and share the same directional failure: every model over-predicts inflation throughout the evaluation window. All three anchored their forecasts near the historical unconditional mean of around 0.0089, while actual inflation fell steadily into the 0.006–0.008 range from mid-2024 onwards.</w:t>
      </w:r>
    </w:p>
    <w:p>
      <w:r>
        <w:t>This systematic over-prediction is not a model-fitting failure — the ARIMA models were adequate fits to the in-sample data. Rather, it reflects the post-2021 disinflation playing out faster and more completely than any backward-looking ARMA model was positioned to anticipate. A key takeaway is that when the macroeconomic regime shifts — here, a rapid unwinding of pandemic-era price pressures — all models that rely only on historical patterns will tend to miss the turning point together. The small performance gap between the three models reinforces that, in periods of regime change, model choice within the ARIMA class matters less than the fundamental limitation of backward-looking forecasting.</w:t>
      </w:r>
    </w:p>
    <w:p>
      <w:r>
        <w:br w:type="page"/>
      </w:r>
    </w:p>
    <w:p>
      <w:pPr>
        <w:pStyle w:val="Heading2"/>
      </w:pPr>
      <w:r>
        <w:t>Question 4</w:t>
      </w:r>
    </w:p>
    <w:p>
      <w:pPr>
        <w:pStyle w:val="Heading3"/>
      </w:pPr>
      <w:r>
        <w:t>4(a) Real Interest Rate</w:t>
      </w:r>
    </w:p>
    <w:p>
      <w:pPr>
        <w:jc w:val="center"/>
      </w:pPr>
      <w:r>
        <w:drawing>
          <wp:inline xmlns:a="http://schemas.openxmlformats.org/drawingml/2006/main" xmlns:pic="http://schemas.openxmlformats.org/drawingml/2006/picture">
            <wp:extent cx="5852160" cy="1950720"/>
            <wp:docPr id="5" name="Picture 5"/>
            <wp:cNvGraphicFramePr>
              <a:graphicFrameLocks noChangeAspect="1"/>
            </wp:cNvGraphicFramePr>
            <a:graphic>
              <a:graphicData uri="http://schemas.openxmlformats.org/drawingml/2006/picture">
                <pic:pic>
                  <pic:nvPicPr>
                    <pic:cNvPr id="0" name="fig4a_real_rate.png"/>
                    <pic:cNvPicPr/>
                  </pic:nvPicPr>
                  <pic:blipFill>
                    <a:blip r:embed="rId13"/>
                    <a:stretch>
                      <a:fillRect/>
                    </a:stretch>
                  </pic:blipFill>
                  <pic:spPr>
                    <a:xfrm>
                      <a:off x="0" y="0"/>
                      <a:ext cx="5852160" cy="1950720"/>
                    </a:xfrm>
                    <a:prstGeom prst="rect"/>
                  </pic:spPr>
                </pic:pic>
              </a:graphicData>
            </a:graphic>
          </wp:inline>
        </w:drawing>
      </w:r>
    </w:p>
    <w:p>
      <w:pPr>
        <w:jc w:val="center"/>
      </w:pPr>
      <w:r>
        <w:t>Figure 5: fig4a_real_rate.png *(three-series comparison: inflation, real rate, nominal rate)*</w:t>
      </w:r>
    </w:p>
    <w:p>
      <w:r>
        <w:t>The real-rate proxy is constructed as rr_t = r_t − 100·Δp_t, where the scaling factor of 100 converts the log-difference Δp_t (a decimal) into percentage points so that it is on the same scale as r_t (which is already in percent), producing rr_t in percentage points. Its sample minimum is approximately −3.8, its maximum around 15.0, and its mean is roughly 3.6.</w:t>
      </w:r>
    </w:p>
    <w:p>
      <w:r>
        <w:t>Plotting all three series together — scaled inflation 100·Δp_t, the real rate rr_t, and the nominal rate r_t — makes the relative stability of each immediately clear. Inflation is the most stable of the three, spending most of its history between 1 and 3 percent, with only the 1970s episode creating a wider band. The nominal rate is by far the most volatile in the long-run sense, climbing to around 15% in the early 1980s and then declining for four decades. Crucially, the real rate sits between the two: the spike in nominal rates during the Volcker disinflation was partly offset by contemporaneous high inflation, leaving the real rate in a lower — though still elevated — range. The most important takeaway from the comparison is that the dominant low-frequency swings in the nominal rate are partially but not fully neutralised by inflation, which is why real and nominal rates still move broadly together across long horizons.</w:t>
      </w:r>
    </w:p>
    <w:p>
      <w:r>
        <w:t>The stationarity of rr_t is an empirical question, not something that follows directly from the Q2 models. Formally, if r_t is I(1) and 100·Δp_t is I(0), then their difference should also be I(1). However, the Fisher hypothesis offers a resolution: if the nominal rate and expected inflation share a common stochastic trend, then rr_t = r_t − 100·Δp_t acts as the cointegrating residual between them and is therefore I(0). The ARIMA search for rr_t confirms this empirically — a model with d = 0 produces adequate residuals (LB p = 0.307 at lag 20 for ARIMA(8,0,1)), while a model with d = 1 is not required. The real rate is therefore treated as stationary, fluctuating around a long-run positive mean even if the speed of mean-reversion is very slow.</w:t>
      </w:r>
    </w:p>
    <w:p>
      <w:pPr>
        <w:pStyle w:val="Heading3"/>
      </w:pPr>
      <w:r>
        <w:t>4(b) Consumption Ratio</w:t>
      </w:r>
    </w:p>
    <w:p>
      <w:pPr>
        <w:jc w:val="center"/>
      </w:pPr>
      <w:r>
        <w:drawing>
          <wp:inline xmlns:a="http://schemas.openxmlformats.org/drawingml/2006/main" xmlns:pic="http://schemas.openxmlformats.org/drawingml/2006/picture">
            <wp:extent cx="5852160" cy="1950720"/>
            <wp:docPr id="6" name="Picture 6"/>
            <wp:cNvGraphicFramePr>
              <a:graphicFrameLocks noChangeAspect="1"/>
            </wp:cNvGraphicFramePr>
            <a:graphic>
              <a:graphicData uri="http://schemas.openxmlformats.org/drawingml/2006/picture">
                <pic:pic>
                  <pic:nvPicPr>
                    <pic:cNvPr id="0" name="fig4b_consumption_ratio.png"/>
                    <pic:cNvPicPr/>
                  </pic:nvPicPr>
                  <pic:blipFill>
                    <a:blip r:embed="rId14"/>
                    <a:stretch>
                      <a:fillRect/>
                    </a:stretch>
                  </pic:blipFill>
                  <pic:spPr>
                    <a:xfrm>
                      <a:off x="0" y="0"/>
                      <a:ext cx="5852160" cy="1950720"/>
                    </a:xfrm>
                    <a:prstGeom prst="rect"/>
                  </pic:spPr>
                </pic:pic>
              </a:graphicData>
            </a:graphic>
          </wp:inline>
        </w:drawing>
      </w:r>
    </w:p>
    <w:p>
      <w:pPr>
        <w:jc w:val="center"/>
      </w:pPr>
      <w:r>
        <w:t>Figure 6: fig4b_consumption_ratio.png</w:t>
      </w:r>
    </w:p>
    <w:p>
      <w:r>
        <w:t>The consumption ratio cy_t = C_t/Y_t rises from around 0.590 to 0.693 over the sample, with a sample mean of 0.6419. The dominant feature is a persistent upward drift with only minor cyclical fluctuations around the trend.</w:t>
      </w:r>
    </w:p>
    <w:p>
      <w:r>
        <w:t>From an economic perspective, this means consumption has grown faster than output over the same period, so a larger share of GDP is now allocated to household spending. This could reflect several structural changes: a long-run decline in the household saving rate as access to credit expanded and financial markets deepened; the shift of the US economy toward services and away from investment-intensive manufacturing; and persistent trade deficits that allow domestic consumption to exceed domestic production. Rather than suggesting a purely deterministic trend, the pattern is more consistent with a persistent, slowly-evolving structural shift or a near-unit-root stochastic process.</w:t>
      </w:r>
    </w:p>
    <w:p>
      <w:pPr>
        <w:pStyle w:val="Heading3"/>
      </w:pPr>
      <w:r>
        <w:t>4(c) Best Adequate ARIMA Model for rr_t</w:t>
      </w:r>
    </w:p>
    <w:p>
      <w:r>
        <w:t>A search over d ∈ {0, 1} and p, q = 0,...,10 was carried out using both AIC/BIC ranking and Ljung-Box adequacy checking at 20 lags. Low-order models left substantial residual autocorrelation even at 20 lags, reflecting the high persistence of the real rate. Among all models that passed the adequacy screen, ARIMA(8,0,1) achieved the lowest AIC with clean residuals: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rr_t</w:t>
            </w:r>
          </w:p>
        </w:tc>
        <w:tc>
          <w:tcPr>
            <w:tcW w:type="dxa" w:w="2160"/>
          </w:tcPr>
          <w:p>
            <w:r>
              <w:t>AIC</w:t>
            </w:r>
          </w:p>
        </w:tc>
        <w:tc>
          <w:tcPr>
            <w:tcW w:type="dxa" w:w="2160"/>
          </w:tcPr>
          <w:p>
            <w:r>
              <w:t>BIC</w:t>
            </w:r>
          </w:p>
        </w:tc>
        <w:tc>
          <w:tcPr>
            <w:tcW w:type="dxa" w:w="2160"/>
          </w:tcPr>
          <w:p>
            <w:r>
              <w:t>Ljung-Box p-value</w:t>
            </w:r>
          </w:p>
        </w:tc>
      </w:tr>
      <w:tr>
        <w:tc>
          <w:tcPr>
            <w:tcW w:type="dxa" w:w="2160"/>
          </w:tcPr>
          <w:p>
            <w:r>
              <w:t>ARIMA(8,0,1)</w:t>
            </w:r>
          </w:p>
        </w:tc>
        <w:tc>
          <w:tcPr>
            <w:tcW w:type="dxa" w:w="2160"/>
          </w:tcPr>
          <w:p>
            <w:r>
              <w:t>1284.73</w:t>
            </w:r>
          </w:p>
        </w:tc>
        <w:tc>
          <w:tcPr>
            <w:tcW w:type="dxa" w:w="2160"/>
          </w:tcPr>
          <w:p>
            <w:r>
              <w:t>1336.49</w:t>
            </w:r>
          </w:p>
        </w:tc>
        <w:tc>
          <w:tcPr>
            <w:tcW w:type="dxa" w:w="2160"/>
          </w:tcPr>
          <w:p>
            <w:r>
              <w:t>0.3102</w:t>
            </w:r>
          </w:p>
        </w:tc>
      </w:tr>
    </w:tbl>
    <w:p/>
    <w:p>
      <w:r>
        <w:t>Key estimated coefficients:</w:t>
      </w:r>
    </w:p>
    <w:p>
      <w:r>
        <w:t>ar1 = 1.1823, ar2 = −0.2814, ar3 = −0.0492, ar4 = −0.0331, ar5 = 0.0214, ar6 = −0.0108, ar7 = −0.0673, ar8 = −0.1193, ma1 = −0.8462, intercept = 3.614.</w:t>
      </w:r>
    </w:p>
    <w:p>
      <w:r>
        <w:t>The choice of d = 0 is consistent with the real rate being a stationary, mean-reverting process — despite its long cycles, it does eventually revert to a positive mean. The high AR order is the model's way of accommodating the very slow mean reversion: real-rate shocks are extremely persistent, and lower-order specifications left systematic patterns in the residuals. The large ar1 coefficient close to 1 (with subsequent terms pulling it back) is the formal equivalent of saying the real rate is highly persistent but ultimately stationary.</w:t>
      </w:r>
    </w:p>
    <w:p>
      <w:pPr>
        <w:pStyle w:val="Heading3"/>
      </w:pPr>
      <w:r>
        <w:t>4(d) Best Adequate ARIMA Model for cy_t</w:t>
      </w:r>
    </w:p>
    <w:p>
      <w:r>
        <w:t>The consumption ratio trends upward throughout the sample, and ADF tests are consistent with a unit root. A search over d ∈ {0, 1} and p, q = 0,...,4 shows the best adequate model is ARIMA(3,1,3):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for cy_t</w:t>
            </w:r>
          </w:p>
        </w:tc>
        <w:tc>
          <w:tcPr>
            <w:tcW w:type="dxa" w:w="2160"/>
          </w:tcPr>
          <w:p>
            <w:r>
              <w:t>AIC</w:t>
            </w:r>
          </w:p>
        </w:tc>
        <w:tc>
          <w:tcPr>
            <w:tcW w:type="dxa" w:w="2160"/>
          </w:tcPr>
          <w:p>
            <w:r>
              <w:t>BIC</w:t>
            </w:r>
          </w:p>
        </w:tc>
        <w:tc>
          <w:tcPr>
            <w:tcW w:type="dxa" w:w="2160"/>
          </w:tcPr>
          <w:p>
            <w:r>
              <w:t>Ljung-Box p-value</w:t>
            </w:r>
          </w:p>
        </w:tc>
      </w:tr>
      <w:tr>
        <w:tc>
          <w:tcPr>
            <w:tcW w:type="dxa" w:w="2160"/>
          </w:tcPr>
          <w:p>
            <w:r>
              <w:t>ARIMA(3,1,3)</w:t>
            </w:r>
          </w:p>
        </w:tc>
        <w:tc>
          <w:tcPr>
            <w:tcW w:type="dxa" w:w="2160"/>
          </w:tcPr>
          <w:p>
            <w:r>
              <w:t>−2135.65</w:t>
            </w:r>
          </w:p>
        </w:tc>
        <w:tc>
          <w:tcPr>
            <w:tcW w:type="dxa" w:w="2160"/>
          </w:tcPr>
          <w:p>
            <w:r>
              <w:t>−2107.20</w:t>
            </w:r>
          </w:p>
        </w:tc>
        <w:tc>
          <w:tcPr>
            <w:tcW w:type="dxa" w:w="2160"/>
          </w:tcPr>
          <w:p>
            <w:r>
              <w:t>0.7626</w:t>
            </w:r>
          </w:p>
        </w:tc>
      </w:tr>
    </w:tbl>
    <w:p/>
    <w:p>
      <w:r>
        <w:t>Key estimated coefficients:</w:t>
      </w:r>
    </w:p>
    <w:p>
      <w:r>
        <w:t>ar1 = 0.6092, ar2 = −0.5732, ar3 = 0.7553, ma1 = −0.8316, ma2 = 0.6862, ma3 = −0.8547, drift = 0.0003.</w:t>
      </w:r>
    </w:p>
    <w:p>
      <w:r>
        <w:t>The first-differencing (d = 1) directly captures the strong upward trend — the series is not stationary in levels. The small positive drift term (0.0003 per quarter) quantifies the average rate at which the consumption share rises once the short-run ARMA dynamics are accounted for. The ARMA(3,3) structure then captures the quarter-to-quarter deviations around that trend. In this sense the model closely mirrors the plot: a steadily rising long-run share with persistent but mean-reverting fluctuations around it.</w:t>
      </w:r>
    </w:p>
    <w:p>
      <w:r>
        <w:t>It is worth noting explicitly that cy_t here is computed as the raw ratio C_t / Y_t (real personal consumption divided by real GDP per capita), both in chained 2017 dollar levels. This is exactly what the question requires. A ratio of two level variables that each grow over time will itself show persistent growth, which is why d = 1 is the appropriate modelling choice — the ratio is not fluctuating around a fixed mean.</w:t>
      </w:r>
    </w:p>
    <w:p>
      <w:pPr>
        <w:pStyle w:val="Heading3"/>
      </w:pPr>
      <w:r>
        <w:t>4(e) Policy Use</w:t>
      </w:r>
    </w:p>
    <w:p>
      <w:r>
        <w:t>The rr_t model matters for policy because central banks target real, not nominal, rates. A forecast of the real rate path — from the ARIMA(8,0,1) — lets policymakers assess whether the current stance is genuinely restrictive (real rate above the natural rate) or merely nominally tight. If the forecast suggests the real rate is set to decline because inflation expectations are rising faster than the policy rate, the central bank may need to act more aggressively than a nominal-rate view alone would imply.</w:t>
      </w:r>
    </w:p>
    <w:p>
      <w:r>
        <w:t>The cy_t model is relevant to both monetary and fiscal policy. A rising consumption share signals strong and persistent household demand, a compressed saving rate, and potentially higher sensitivity to income shocks. For fiscal policy, the model can inform assessments of how households will respond to tax changes or transfers. For monetary policy, a high and rising consumption share suggests that households are already leveraged, which can amplify the transmission of rate changes through the wealth and income channels.</w:t>
      </w:r>
    </w:p>
    <w:p>
      <w:r>
        <w:br w:type="page"/>
      </w:r>
    </w:p>
    <w:p>
      <w:pPr>
        <w:pStyle w:val="Heading2"/>
      </w:pPr>
      <w:r>
        <w:t>Question 5</w:t>
      </w:r>
    </w:p>
    <w:p>
      <w:pPr>
        <w:pStyle w:val="Heading3"/>
      </w:pPr>
      <w:r>
        <w:t>5(a) Sample Variances</w:t>
      </w:r>
    </w:p>
    <w:tbl>
      <w:tblPr>
        <w:tblStyle w:val="TableGrid"/>
        <w:tblW w:type="auto" w:w="0"/>
        <w:tblLook w:firstColumn="1" w:firstRow="1" w:lastColumn="0" w:lastRow="0" w:noHBand="0" w:noVBand="1" w:val="04A0"/>
      </w:tblPr>
      <w:tblGrid>
        <w:gridCol w:w="2880"/>
        <w:gridCol w:w="2880"/>
        <w:gridCol w:w="2880"/>
      </w:tblGrid>
      <w:tr>
        <w:tc>
          <w:tcPr>
            <w:tcW w:type="dxa" w:w="2880"/>
          </w:tcPr>
          <w:p>
            <w:r>
              <w:t>Currency</w:t>
            </w:r>
          </w:p>
        </w:tc>
        <w:tc>
          <w:tcPr>
            <w:tcW w:type="dxa" w:w="2880"/>
          </w:tcPr>
          <w:p>
            <w:r>
              <w:t>Sample Variance</w:t>
            </w:r>
          </w:p>
        </w:tc>
        <w:tc>
          <w:tcPr>
            <w:tcW w:type="dxa" w:w="2880"/>
          </w:tcPr>
          <w:p>
            <w:r>
              <w:t>Sample SD</w:t>
            </w:r>
          </w:p>
        </w:tc>
      </w:tr>
      <w:tr>
        <w:tc>
          <w:tcPr>
            <w:tcW w:type="dxa" w:w="2880"/>
          </w:tcPr>
          <w:p>
            <w:r>
              <w:t>CNY</w:t>
            </w:r>
          </w:p>
        </w:tc>
        <w:tc>
          <w:tcPr>
            <w:tcW w:type="dxa" w:w="2880"/>
          </w:tcPr>
          <w:p>
            <w:r>
              <w:t>0.3369</w:t>
            </w:r>
          </w:p>
        </w:tc>
        <w:tc>
          <w:tcPr>
            <w:tcW w:type="dxa" w:w="2880"/>
          </w:tcPr>
          <w:p>
            <w:r>
              <w:t>0.5804</w:t>
            </w:r>
          </w:p>
        </w:tc>
      </w:tr>
      <w:tr>
        <w:tc>
          <w:tcPr>
            <w:tcW w:type="dxa" w:w="2880"/>
          </w:tcPr>
          <w:p>
            <w:r>
              <w:t>USD</w:t>
            </w:r>
          </w:p>
        </w:tc>
        <w:tc>
          <w:tcPr>
            <w:tcW w:type="dxa" w:w="2880"/>
          </w:tcPr>
          <w:p>
            <w:r>
              <w:t>0.4381</w:t>
            </w:r>
          </w:p>
        </w:tc>
        <w:tc>
          <w:tcPr>
            <w:tcW w:type="dxa" w:w="2880"/>
          </w:tcPr>
          <w:p>
            <w:r>
              <w:t>0.6619</w:t>
            </w:r>
          </w:p>
        </w:tc>
      </w:tr>
      <w:tr>
        <w:tc>
          <w:tcPr>
            <w:tcW w:type="dxa" w:w="2880"/>
          </w:tcPr>
          <w:p>
            <w:r>
              <w:t>TWI</w:t>
            </w:r>
          </w:p>
        </w:tc>
        <w:tc>
          <w:tcPr>
            <w:tcW w:type="dxa" w:w="2880"/>
          </w:tcPr>
          <w:p>
            <w:r>
              <w:t>0.2675</w:t>
            </w:r>
          </w:p>
        </w:tc>
        <w:tc>
          <w:tcPr>
            <w:tcW w:type="dxa" w:w="2880"/>
          </w:tcPr>
          <w:p>
            <w:r>
              <w:t>0.5172</w:t>
            </w:r>
          </w:p>
        </w:tc>
      </w:tr>
      <w:tr>
        <w:tc>
          <w:tcPr>
            <w:tcW w:type="dxa" w:w="2880"/>
          </w:tcPr>
          <w:p>
            <w:r>
              <w:t>SDR</w:t>
            </w:r>
          </w:p>
        </w:tc>
        <w:tc>
          <w:tcPr>
            <w:tcW w:type="dxa" w:w="2880"/>
          </w:tcPr>
          <w:p>
            <w:r>
              <w:t>0.4492</w:t>
            </w:r>
          </w:p>
        </w:tc>
        <w:tc>
          <w:tcPr>
            <w:tcW w:type="dxa" w:w="2880"/>
          </w:tcPr>
          <w:p>
            <w:r>
              <w:t>0.6702</w:t>
            </w:r>
          </w:p>
        </w:tc>
      </w:tr>
    </w:tbl>
    <w:p/>
    <w:p>
      <w:r>
        <w:t>The TWI has the lowest sample variance at 0.267, which makes sense given that it is a trade-weighted basket of multiple currencies — diversification across trading partners smooths out some of the bilateral exchange-rate swings. The CNY variance of 0.337 is lower than for USD and SDR, which is consistent with China's more managed exchange-rate regime that has historically limited the AUD/CNY from moving as freely as market-determined bilateral rates. USD and SDR are the most volatile, with SDR slightly higher, reflecting the influence of multiple major currencies in the SDR basket during a period that included substantial global risk-off episodes.</w:t>
      </w:r>
    </w:p>
    <w:p>
      <w:r>
        <w:t>It is worth noting that these figures summarise the unconditional dispersion over the full sample. They do not tell us whether volatility is constant over time, nor do they imply that returns are independently and identically distributed. As the next section shows, the constant-variance assumption fails clearly for all four series.</w:t>
      </w:r>
    </w:p>
    <w:p>
      <w:pPr>
        <w:pStyle w:val="Heading3"/>
      </w:pPr>
      <w:r>
        <w:t>5(b) Absolute Returns</w:t>
      </w:r>
    </w:p>
    <w:p>
      <w:pPr>
        <w:jc w:val="center"/>
      </w:pPr>
      <w:r>
        <w:drawing>
          <wp:inline xmlns:a="http://schemas.openxmlformats.org/drawingml/2006/main" xmlns:pic="http://schemas.openxmlformats.org/drawingml/2006/picture">
            <wp:extent cx="5852160" cy="2926080"/>
            <wp:docPr id="7" name="Picture 7"/>
            <wp:cNvGraphicFramePr>
              <a:graphicFrameLocks noChangeAspect="1"/>
            </wp:cNvGraphicFramePr>
            <a:graphic>
              <a:graphicData uri="http://schemas.openxmlformats.org/drawingml/2006/picture">
                <pic:pic>
                  <pic:nvPicPr>
                    <pic:cNvPr id="0" name="fig5b_abs_returns.png"/>
                    <pic:cNvPicPr/>
                  </pic:nvPicPr>
                  <pic:blipFill>
                    <a:blip r:embed="rId15"/>
                    <a:stretch>
                      <a:fillRect/>
                    </a:stretch>
                  </pic:blipFill>
                  <pic:spPr>
                    <a:xfrm>
                      <a:off x="0" y="0"/>
                      <a:ext cx="5852160" cy="2926080"/>
                    </a:xfrm>
                    <a:prstGeom prst="rect"/>
                  </pic:spPr>
                </pic:pic>
              </a:graphicData>
            </a:graphic>
          </wp:inline>
        </w:drawing>
      </w:r>
    </w:p>
    <w:p>
      <w:pPr>
        <w:jc w:val="center"/>
      </w:pPr>
      <w:r>
        <w:t>Figure 7: fig5b_abs_returns.png</w:t>
      </w:r>
    </w:p>
    <w:p>
      <w:r>
        <w:t>Plotting |e_{j,t}| for each currency reveals clear volatility clustering: periods of large absolute returns are followed by more large returns, and calm stretches tend to persist. The most prominent shared spike occurs around the onset of COVID-19 in March 2020, where all four series show an abrupt and simultaneous jump in absolute returns. This common spike across all four AUD-based rates reflects global risk aversion and liquidity stress rather than anything specific to any single currency pair.</w:t>
      </w:r>
    </w:p>
    <w:p>
      <w:r>
        <w:t>The clustering pattern is fundamentally inconsistent with an iid constant-variance process. If returns were iid, the absolute-return plots would look like white noise with no temporal structure. Instead, the data strongly suggest time-varying conditional volatility — heteroskedasticity — which makes GARCH-type models the natural next step.</w:t>
      </w:r>
    </w:p>
    <w:p>
      <w:r>
        <w:br w:type="page"/>
      </w:r>
    </w:p>
    <w:p>
      <w:pPr>
        <w:pStyle w:val="Heading2"/>
      </w:pPr>
      <w:r>
        <w:t>Question 6</w:t>
      </w:r>
    </w:p>
    <w:p>
      <w:pPr>
        <w:pStyle w:val="Heading3"/>
      </w:pPr>
      <w:r>
        <w:t>Step 1: Testing for GARCH Effects</w:t>
      </w:r>
    </w:p>
    <w:p>
      <w:r>
        <w:t>Before fitting a variance model, it is necessary to confirm that the conditional variance of each return series is actually time-varying. The Engle ARCH LM test with 10 lags rejects homoskedasticity overwhelmingly for every series: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Currency</w:t>
            </w:r>
          </w:p>
        </w:tc>
        <w:tc>
          <w:tcPr>
            <w:tcW w:type="dxa" w:w="2160"/>
          </w:tcPr>
          <w:p>
            <w:r>
              <w:t>ARCH LM Statistic</w:t>
            </w:r>
          </w:p>
        </w:tc>
        <w:tc>
          <w:tcPr>
            <w:tcW w:type="dxa" w:w="2160"/>
          </w:tcPr>
          <w:p>
            <w:r>
              <w:t>p-value</w:t>
            </w:r>
          </w:p>
        </w:tc>
        <w:tc>
          <w:tcPr>
            <w:tcW w:type="dxa" w:w="2160"/>
          </w:tcPr>
          <w:p>
            <w:r>
              <w:t>Ljung-Box on Squared Returns p-value</w:t>
            </w:r>
          </w:p>
        </w:tc>
      </w:tr>
      <w:tr>
        <w:tc>
          <w:tcPr>
            <w:tcW w:type="dxa" w:w="2160"/>
          </w:tcPr>
          <w:p>
            <w:r>
              <w:t>CNY</w:t>
            </w:r>
          </w:p>
        </w:tc>
        <w:tc>
          <w:tcPr>
            <w:tcW w:type="dxa" w:w="2160"/>
          </w:tcPr>
          <w:p>
            <w:r>
              <w:t>401.62</w:t>
            </w:r>
          </w:p>
        </w:tc>
        <w:tc>
          <w:tcPr>
            <w:tcW w:type="dxa" w:w="2160"/>
          </w:tcPr>
          <w:p>
            <w:r>
              <w:t>0.0000</w:t>
            </w:r>
          </w:p>
        </w:tc>
        <w:tc>
          <w:tcPr>
            <w:tcW w:type="dxa" w:w="2160"/>
          </w:tcPr>
          <w:p>
            <w:r>
              <w:t>0.0000</w:t>
            </w:r>
          </w:p>
        </w:tc>
      </w:tr>
      <w:tr>
        <w:tc>
          <w:tcPr>
            <w:tcW w:type="dxa" w:w="2160"/>
          </w:tcPr>
          <w:p>
            <w:r>
              <w:t>USD</w:t>
            </w:r>
          </w:p>
        </w:tc>
        <w:tc>
          <w:tcPr>
            <w:tcW w:type="dxa" w:w="2160"/>
          </w:tcPr>
          <w:p>
            <w:r>
              <w:t>275.60</w:t>
            </w:r>
          </w:p>
        </w:tc>
        <w:tc>
          <w:tcPr>
            <w:tcW w:type="dxa" w:w="2160"/>
          </w:tcPr>
          <w:p>
            <w:r>
              <w:t>0.0000</w:t>
            </w:r>
          </w:p>
        </w:tc>
        <w:tc>
          <w:tcPr>
            <w:tcW w:type="dxa" w:w="2160"/>
          </w:tcPr>
          <w:p>
            <w:r>
              <w:t>0.0000</w:t>
            </w:r>
          </w:p>
        </w:tc>
      </w:tr>
      <w:tr>
        <w:tc>
          <w:tcPr>
            <w:tcW w:type="dxa" w:w="2160"/>
          </w:tcPr>
          <w:p>
            <w:r>
              <w:t>TWI</w:t>
            </w:r>
          </w:p>
        </w:tc>
        <w:tc>
          <w:tcPr>
            <w:tcW w:type="dxa" w:w="2160"/>
          </w:tcPr>
          <w:p>
            <w:r>
              <w:t>484.45</w:t>
            </w:r>
          </w:p>
        </w:tc>
        <w:tc>
          <w:tcPr>
            <w:tcW w:type="dxa" w:w="2160"/>
          </w:tcPr>
          <w:p>
            <w:r>
              <w:t>0.0000</w:t>
            </w:r>
          </w:p>
        </w:tc>
        <w:tc>
          <w:tcPr>
            <w:tcW w:type="dxa" w:w="2160"/>
          </w:tcPr>
          <w:p>
            <w:r>
              <w:t>0.0000</w:t>
            </w:r>
          </w:p>
        </w:tc>
      </w:tr>
      <w:tr>
        <w:tc>
          <w:tcPr>
            <w:tcW w:type="dxa" w:w="2160"/>
          </w:tcPr>
          <w:p>
            <w:r>
              <w:t>SDR</w:t>
            </w:r>
          </w:p>
        </w:tc>
        <w:tc>
          <w:tcPr>
            <w:tcW w:type="dxa" w:w="2160"/>
          </w:tcPr>
          <w:p>
            <w:r>
              <w:t>426.45</w:t>
            </w:r>
          </w:p>
        </w:tc>
        <w:tc>
          <w:tcPr>
            <w:tcW w:type="dxa" w:w="2160"/>
          </w:tcPr>
          <w:p>
            <w:r>
              <w:t>0.0000</w:t>
            </w:r>
          </w:p>
        </w:tc>
        <w:tc>
          <w:tcPr>
            <w:tcW w:type="dxa" w:w="2160"/>
          </w:tcPr>
          <w:p>
            <w:r>
              <w:t>0.0000</w:t>
            </w:r>
          </w:p>
        </w:tc>
      </w:tr>
    </w:tbl>
    <w:p/>
    <w:p>
      <w:r>
        <w:t>Both the ARCH LM test and the Ljung-Box test on squared returns produce p-values of essentially zero, giving strong evidence that the conditional variance is not constant. A constant-variance model is clearly inadequate for all four series.</w:t>
      </w:r>
    </w:p>
    <w:p>
      <w:pPr>
        <w:pStyle w:val="Heading3"/>
      </w:pPr>
      <w:r>
        <w:t>Step 2: Mean Equation Selection</w:t>
      </w:r>
    </w:p>
    <w:p>
      <w:r>
        <w:t>The first step in GARCH modelling is to find an adequate ARMA mean equation. A comparison of ARMA(p,q) models with p, q ∈ {0,1} using AIC, BIC, and Ljung-Box tests on raw returns gave the following decisions:</w:t>
      </w:r>
    </w:p>
    <w:p>
      <w:r>
        <w:t>- CNY: No low-order mean model removes serial correlation in the returns themselves, so ARMA(0,0) is used and the variance model is relied upon to account for any remaining dependence in the squared process.</w:t>
      </w:r>
    </w:p>
    <w:p>
      <w:r>
        <w:t>- USD: ARMA(0,0) already produces acceptable Ljung-Box p-values on the returns (LB p = 0.0562).</w:t>
      </w:r>
    </w:p>
    <w:p>
      <w:r>
        <w:t>- TWI: ARMA(1,0) is the simplest adequate mean model (LB p = 0.0592), picking up a mild AR(1) component.</w:t>
      </w:r>
    </w:p>
    <w:p>
      <w:r>
        <w:t>- SDR: ARMA(0,1) has the best information criteria among the adequate low-order candidates (LB p = 0.3243).</w:t>
      </w:r>
    </w:p>
    <w:p>
      <w:pPr>
        <w:pStyle w:val="Heading3"/>
      </w:pPr>
      <w:r>
        <w:t>Step 3: Variance Model and Error Distribution</w:t>
      </w:r>
    </w:p>
    <w:p>
      <w:r>
        <w:t>For each chosen mean equation, symmetric GARCH(1,1) and asymmetric GJR-GARCH(1,1) were compared under both Normal and Student-t errors — four candidate specifications per currency. The pattern of results is strikingly consistent across all four series: the Student-t distribution improves the fit substantially, and GJR-GARCH wins outright or ties on the information criteria.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Currency</w:t>
            </w:r>
          </w:p>
        </w:tc>
        <w:tc>
          <w:tcPr>
            <w:tcW w:type="dxa" w:w="1440"/>
          </w:tcPr>
          <w:p>
            <w:r>
              <w:t>Mean Model</w:t>
            </w:r>
          </w:p>
        </w:tc>
        <w:tc>
          <w:tcPr>
            <w:tcW w:type="dxa" w:w="1440"/>
          </w:tcPr>
          <w:p>
            <w:r>
              <w:t>Final Variance Model</w:t>
            </w:r>
          </w:p>
        </w:tc>
        <w:tc>
          <w:tcPr>
            <w:tcW w:type="dxa" w:w="1440"/>
          </w:tcPr>
          <w:p>
            <w:r>
              <w:t>Errors</w:t>
            </w:r>
          </w:p>
        </w:tc>
        <w:tc>
          <w:tcPr>
            <w:tcW w:type="dxa" w:w="1440"/>
          </w:tcPr>
          <w:p>
            <w:r>
              <w:t>AIC</w:t>
            </w:r>
          </w:p>
        </w:tc>
        <w:tc>
          <w:tcPr>
            <w:tcW w:type="dxa" w:w="1440"/>
          </w:tcPr>
          <w:p>
            <w:r>
              <w:t>BIC</w:t>
            </w:r>
          </w:p>
        </w:tc>
      </w:tr>
      <w:tr>
        <w:tc>
          <w:tcPr>
            <w:tcW w:type="dxa" w:w="1440"/>
          </w:tcPr>
          <w:p>
            <w:r>
              <w:t>CNY</w:t>
            </w:r>
          </w:p>
        </w:tc>
        <w:tc>
          <w:tcPr>
            <w:tcW w:type="dxa" w:w="1440"/>
          </w:tcPr>
          <w:p>
            <w:r>
              <w:t>ARMA(0,0)</w:t>
            </w:r>
          </w:p>
        </w:tc>
        <w:tc>
          <w:tcPr>
            <w:tcW w:type="dxa" w:w="1440"/>
          </w:tcPr>
          <w:p>
            <w:r>
              <w:t>GJR-GARCH(1,1)</w:t>
            </w:r>
          </w:p>
        </w:tc>
        <w:tc>
          <w:tcPr>
            <w:tcW w:type="dxa" w:w="1440"/>
          </w:tcPr>
          <w:p>
            <w:r>
              <w:t>Student-t</w:t>
            </w:r>
          </w:p>
        </w:tc>
        <w:tc>
          <w:tcPr>
            <w:tcW w:type="dxa" w:w="1440"/>
          </w:tcPr>
          <w:p>
            <w:r>
              <w:t>1.5243</w:t>
            </w:r>
          </w:p>
        </w:tc>
        <w:tc>
          <w:tcPr>
            <w:tcW w:type="dxa" w:w="1440"/>
          </w:tcPr>
          <w:p>
            <w:r>
              <w:t>1.5410</w:t>
            </w:r>
          </w:p>
        </w:tc>
      </w:tr>
      <w:tr>
        <w:tc>
          <w:tcPr>
            <w:tcW w:type="dxa" w:w="1440"/>
          </w:tcPr>
          <w:p>
            <w:r>
              <w:t>USD</w:t>
            </w:r>
          </w:p>
        </w:tc>
        <w:tc>
          <w:tcPr>
            <w:tcW w:type="dxa" w:w="1440"/>
          </w:tcPr>
          <w:p>
            <w:r>
              <w:t>ARMA(0,0)</w:t>
            </w:r>
          </w:p>
        </w:tc>
        <w:tc>
          <w:tcPr>
            <w:tcW w:type="dxa" w:w="1440"/>
          </w:tcPr>
          <w:p>
            <w:r>
              <w:t>GJR-GARCH(1,1)</w:t>
            </w:r>
          </w:p>
        </w:tc>
        <w:tc>
          <w:tcPr>
            <w:tcW w:type="dxa" w:w="1440"/>
          </w:tcPr>
          <w:p>
            <w:r>
              <w:t>Student-t</w:t>
            </w:r>
          </w:p>
        </w:tc>
        <w:tc>
          <w:tcPr>
            <w:tcW w:type="dxa" w:w="1440"/>
          </w:tcPr>
          <w:p>
            <w:r>
              <w:t>1.7963</w:t>
            </w:r>
          </w:p>
        </w:tc>
        <w:tc>
          <w:tcPr>
            <w:tcW w:type="dxa" w:w="1440"/>
          </w:tcPr>
          <w:p>
            <w:r>
              <w:t>1.8130</w:t>
            </w:r>
          </w:p>
        </w:tc>
      </w:tr>
      <w:tr>
        <w:tc>
          <w:tcPr>
            <w:tcW w:type="dxa" w:w="1440"/>
          </w:tcPr>
          <w:p>
            <w:r>
              <w:t>TWI</w:t>
            </w:r>
          </w:p>
        </w:tc>
        <w:tc>
          <w:tcPr>
            <w:tcW w:type="dxa" w:w="1440"/>
          </w:tcPr>
          <w:p>
            <w:r>
              <w:t>ARMA(1,0)</w:t>
            </w:r>
          </w:p>
        </w:tc>
        <w:tc>
          <w:tcPr>
            <w:tcW w:type="dxa" w:w="1440"/>
          </w:tcPr>
          <w:p>
            <w:r>
              <w:t>GJR-GARCH(1,1)</w:t>
            </w:r>
          </w:p>
        </w:tc>
        <w:tc>
          <w:tcPr>
            <w:tcW w:type="dxa" w:w="1440"/>
          </w:tcPr>
          <w:p>
            <w:r>
              <w:t>Student-t</w:t>
            </w:r>
          </w:p>
        </w:tc>
        <w:tc>
          <w:tcPr>
            <w:tcW w:type="dxa" w:w="1440"/>
          </w:tcPr>
          <w:p>
            <w:r>
              <w:t>1.2830</w:t>
            </w:r>
          </w:p>
        </w:tc>
        <w:tc>
          <w:tcPr>
            <w:tcW w:type="dxa" w:w="1440"/>
          </w:tcPr>
          <w:p>
            <w:r>
              <w:t>1.3024</w:t>
            </w:r>
          </w:p>
        </w:tc>
      </w:tr>
      <w:tr>
        <w:tc>
          <w:tcPr>
            <w:tcW w:type="dxa" w:w="1440"/>
          </w:tcPr>
          <w:p>
            <w:r>
              <w:t>SDR</w:t>
            </w:r>
          </w:p>
        </w:tc>
        <w:tc>
          <w:tcPr>
            <w:tcW w:type="dxa" w:w="1440"/>
          </w:tcPr>
          <w:p>
            <w:r>
              <w:t>ARMA(0,1)</w:t>
            </w:r>
          </w:p>
        </w:tc>
        <w:tc>
          <w:tcPr>
            <w:tcW w:type="dxa" w:w="1440"/>
          </w:tcPr>
          <w:p>
            <w:r>
              <w:t>GJR-GARCH(1,1)</w:t>
            </w:r>
          </w:p>
        </w:tc>
        <w:tc>
          <w:tcPr>
            <w:tcW w:type="dxa" w:w="1440"/>
          </w:tcPr>
          <w:p>
            <w:r>
              <w:t>Student-t</w:t>
            </w:r>
          </w:p>
        </w:tc>
        <w:tc>
          <w:tcPr>
            <w:tcW w:type="dxa" w:w="1440"/>
          </w:tcPr>
          <w:p>
            <w:r>
              <w:t>1.7938</w:t>
            </w:r>
          </w:p>
        </w:tc>
        <w:tc>
          <w:tcPr>
            <w:tcW w:type="dxa" w:w="1440"/>
          </w:tcPr>
          <w:p>
            <w:r>
              <w:t>1.8132</w:t>
            </w:r>
          </w:p>
        </w:tc>
      </w:tr>
    </w:tbl>
    <w:p/>
    <w:p>
      <w:r>
        <w:t>Estimated coefficients: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Currency</w:t>
            </w:r>
          </w:p>
        </w:tc>
        <w:tc>
          <w:tcPr>
            <w:tcW w:type="dxa" w:w="960"/>
          </w:tcPr>
          <w:p>
            <w:r>
              <w:t>mu</w:t>
            </w:r>
          </w:p>
        </w:tc>
        <w:tc>
          <w:tcPr>
            <w:tcW w:type="dxa" w:w="960"/>
          </w:tcPr>
          <w:p>
            <w:r>
              <w:t>ar1</w:t>
            </w:r>
          </w:p>
        </w:tc>
        <w:tc>
          <w:tcPr>
            <w:tcW w:type="dxa" w:w="960"/>
          </w:tcPr>
          <w:p>
            <w:r>
              <w:t>ma1</w:t>
            </w:r>
          </w:p>
        </w:tc>
        <w:tc>
          <w:tcPr>
            <w:tcW w:type="dxa" w:w="960"/>
          </w:tcPr>
          <w:p>
            <w:r>
              <w:t>omega</w:t>
            </w:r>
          </w:p>
        </w:tc>
        <w:tc>
          <w:tcPr>
            <w:tcW w:type="dxa" w:w="960"/>
          </w:tcPr>
          <w:p>
            <w:r>
              <w:t>alpha1</w:t>
            </w:r>
          </w:p>
        </w:tc>
        <w:tc>
          <w:tcPr>
            <w:tcW w:type="dxa" w:w="960"/>
          </w:tcPr>
          <w:p>
            <w:r>
              <w:t>beta1</w:t>
            </w:r>
          </w:p>
        </w:tc>
        <w:tc>
          <w:tcPr>
            <w:tcW w:type="dxa" w:w="960"/>
          </w:tcPr>
          <w:p>
            <w:r>
              <w:t>gamma1</w:t>
            </w:r>
          </w:p>
        </w:tc>
        <w:tc>
          <w:tcPr>
            <w:tcW w:type="dxa" w:w="960"/>
          </w:tcPr>
          <w:p>
            <w:r>
              <w:t>shape</w:t>
            </w:r>
          </w:p>
        </w:tc>
      </w:tr>
      <w:tr>
        <w:tc>
          <w:tcPr>
            <w:tcW w:type="dxa" w:w="960"/>
          </w:tcPr>
          <w:p>
            <w:r>
              <w:t>CNY</w:t>
            </w:r>
          </w:p>
        </w:tc>
        <w:tc>
          <w:tcPr>
            <w:tcW w:type="dxa" w:w="960"/>
          </w:tcPr>
          <w:p>
            <w:r>
              <w:t>−0.0143</w:t>
            </w:r>
          </w:p>
        </w:tc>
        <w:tc>
          <w:tcPr>
            <w:tcW w:type="dxa" w:w="960"/>
          </w:tcPr>
          <w:p>
            <w:r>
              <w:t>—</w:t>
            </w:r>
          </w:p>
        </w:tc>
        <w:tc>
          <w:tcPr>
            <w:tcW w:type="dxa" w:w="960"/>
          </w:tcPr>
          <w:p>
            <w:r>
              <w:t>—</w:t>
            </w:r>
          </w:p>
        </w:tc>
        <w:tc>
          <w:tcPr>
            <w:tcW w:type="dxa" w:w="960"/>
          </w:tcPr>
          <w:p>
            <w:r>
              <w:t>0.0067</w:t>
            </w:r>
          </w:p>
        </w:tc>
        <w:tc>
          <w:tcPr>
            <w:tcW w:type="dxa" w:w="960"/>
          </w:tcPr>
          <w:p>
            <w:r>
              <w:t>0.0143</w:t>
            </w:r>
          </w:p>
        </w:tc>
        <w:tc>
          <w:tcPr>
            <w:tcW w:type="dxa" w:w="960"/>
          </w:tcPr>
          <w:p>
            <w:r>
              <w:t>0.9316</w:t>
            </w:r>
          </w:p>
        </w:tc>
        <w:tc>
          <w:tcPr>
            <w:tcW w:type="dxa" w:w="960"/>
          </w:tcPr>
          <w:p>
            <w:r>
              <w:t>0.0623</w:t>
            </w:r>
          </w:p>
        </w:tc>
        <w:tc>
          <w:tcPr>
            <w:tcW w:type="dxa" w:w="960"/>
          </w:tcPr>
          <w:p>
            <w:r>
              <w:t>8.0011</w:t>
            </w:r>
          </w:p>
        </w:tc>
      </w:tr>
      <w:tr>
        <w:tc>
          <w:tcPr>
            <w:tcW w:type="dxa" w:w="960"/>
          </w:tcPr>
          <w:p>
            <w:r>
              <w:t>USD</w:t>
            </w:r>
          </w:p>
        </w:tc>
        <w:tc>
          <w:tcPr>
            <w:tcW w:type="dxa" w:w="960"/>
          </w:tcPr>
          <w:p>
            <w:r>
              <w:t>−0.0140</w:t>
            </w:r>
          </w:p>
        </w:tc>
        <w:tc>
          <w:tcPr>
            <w:tcW w:type="dxa" w:w="960"/>
          </w:tcPr>
          <w:p>
            <w:r>
              <w:t>—</w:t>
            </w:r>
          </w:p>
        </w:tc>
        <w:tc>
          <w:tcPr>
            <w:tcW w:type="dxa" w:w="960"/>
          </w:tcPr>
          <w:p>
            <w:r>
              <w:t>—</w:t>
            </w:r>
          </w:p>
        </w:tc>
        <w:tc>
          <w:tcPr>
            <w:tcW w:type="dxa" w:w="960"/>
          </w:tcPr>
          <w:p>
            <w:r>
              <w:t>0.0042</w:t>
            </w:r>
          </w:p>
        </w:tc>
        <w:tc>
          <w:tcPr>
            <w:tcW w:type="dxa" w:w="960"/>
          </w:tcPr>
          <w:p>
            <w:r>
              <w:t>0.0013</w:t>
            </w:r>
          </w:p>
        </w:tc>
        <w:tc>
          <w:tcPr>
            <w:tcW w:type="dxa" w:w="960"/>
          </w:tcPr>
          <w:p>
            <w:r>
              <w:t>0.9607</w:t>
            </w:r>
          </w:p>
        </w:tc>
        <w:tc>
          <w:tcPr>
            <w:tcW w:type="dxa" w:w="960"/>
          </w:tcPr>
          <w:p>
            <w:r>
              <w:t>0.0519</w:t>
            </w:r>
          </w:p>
        </w:tc>
        <w:tc>
          <w:tcPr>
            <w:tcW w:type="dxa" w:w="960"/>
          </w:tcPr>
          <w:p>
            <w:r>
              <w:t>8.4778</w:t>
            </w:r>
          </w:p>
        </w:tc>
      </w:tr>
      <w:tr>
        <w:tc>
          <w:tcPr>
            <w:tcW w:type="dxa" w:w="960"/>
          </w:tcPr>
          <w:p>
            <w:r>
              <w:t>TWI</w:t>
            </w:r>
          </w:p>
        </w:tc>
        <w:tc>
          <w:tcPr>
            <w:tcW w:type="dxa" w:w="960"/>
          </w:tcPr>
          <w:p>
            <w:r>
              <w:t>−0.0068</w:t>
            </w:r>
          </w:p>
        </w:tc>
        <w:tc>
          <w:tcPr>
            <w:tcW w:type="dxa" w:w="960"/>
          </w:tcPr>
          <w:p>
            <w:r>
              <w:t>−0.0400</w:t>
            </w:r>
          </w:p>
        </w:tc>
        <w:tc>
          <w:tcPr>
            <w:tcW w:type="dxa" w:w="960"/>
          </w:tcPr>
          <w:p>
            <w:r>
              <w:t>—</w:t>
            </w:r>
          </w:p>
        </w:tc>
        <w:tc>
          <w:tcPr>
            <w:tcW w:type="dxa" w:w="960"/>
          </w:tcPr>
          <w:p>
            <w:r>
              <w:t>0.0070</w:t>
            </w:r>
          </w:p>
        </w:tc>
        <w:tc>
          <w:tcPr>
            <w:tcW w:type="dxa" w:w="960"/>
          </w:tcPr>
          <w:p>
            <w:r>
              <w:t>0.0225</w:t>
            </w:r>
          </w:p>
        </w:tc>
        <w:tc>
          <w:tcPr>
            <w:tcW w:type="dxa" w:w="960"/>
          </w:tcPr>
          <w:p>
            <w:r>
              <w:t>0.9186</w:t>
            </w:r>
          </w:p>
        </w:tc>
        <w:tc>
          <w:tcPr>
            <w:tcW w:type="dxa" w:w="960"/>
          </w:tcPr>
          <w:p>
            <w:r>
              <w:t>0.0547</w:t>
            </w:r>
          </w:p>
        </w:tc>
        <w:tc>
          <w:tcPr>
            <w:tcW w:type="dxa" w:w="960"/>
          </w:tcPr>
          <w:p>
            <w:r>
              <w:t>8.0324</w:t>
            </w:r>
          </w:p>
        </w:tc>
      </w:tr>
      <w:tr>
        <w:tc>
          <w:tcPr>
            <w:tcW w:type="dxa" w:w="960"/>
          </w:tcPr>
          <w:p>
            <w:r>
              <w:t>SDR</w:t>
            </w:r>
          </w:p>
        </w:tc>
        <w:tc>
          <w:tcPr>
            <w:tcW w:type="dxa" w:w="960"/>
          </w:tcPr>
          <w:p>
            <w:r>
              <w:t>−0.0084</w:t>
            </w:r>
          </w:p>
        </w:tc>
        <w:tc>
          <w:tcPr>
            <w:tcW w:type="dxa" w:w="960"/>
          </w:tcPr>
          <w:p>
            <w:r>
              <w:t>—</w:t>
            </w:r>
          </w:p>
        </w:tc>
        <w:tc>
          <w:tcPr>
            <w:tcW w:type="dxa" w:w="960"/>
          </w:tcPr>
          <w:p>
            <w:r>
              <w:t>−0.1812</w:t>
            </w:r>
          </w:p>
        </w:tc>
        <w:tc>
          <w:tcPr>
            <w:tcW w:type="dxa" w:w="960"/>
          </w:tcPr>
          <w:p>
            <w:r>
              <w:t>0.0055</w:t>
            </w:r>
          </w:p>
        </w:tc>
        <w:tc>
          <w:tcPr>
            <w:tcW w:type="dxa" w:w="960"/>
          </w:tcPr>
          <w:p>
            <w:r>
              <w:t>0.0182</w:t>
            </w:r>
          </w:p>
        </w:tc>
        <w:tc>
          <w:tcPr>
            <w:tcW w:type="dxa" w:w="960"/>
          </w:tcPr>
          <w:p>
            <w:r>
              <w:t>0.9486</w:t>
            </w:r>
          </w:p>
        </w:tc>
        <w:tc>
          <w:tcPr>
            <w:tcW w:type="dxa" w:w="960"/>
          </w:tcPr>
          <w:p>
            <w:r>
              <w:t>0.0359</w:t>
            </w:r>
          </w:p>
        </w:tc>
        <w:tc>
          <w:tcPr>
            <w:tcW w:type="dxa" w:w="960"/>
          </w:tcPr>
          <w:p>
            <w:r>
              <w:t>7.7614</w:t>
            </w:r>
          </w:p>
        </w:tc>
      </w:tr>
    </w:tbl>
    <w:p/>
    <w:p>
      <w:r>
        <w:t>The beta1 estimates are all close to 1, confirming that volatility shocks are highly persistent — a spike in conditional variance takes a long time to decay. The positive gamma1 estimates capture an asymmetric volatility response: negative return shocks raise conditional volatility by more than positive shocks of the same magnitude. In equity markets this asymmetry is often called the "leverage effect" because falling prices raise financial leverage; in FX markets the mechanism is different — it likely reflects flight-to-safety dynamics and liquidity asymmetries — but the statistical implication is the same. The Student-t shape parameters around 7–8 confirm that the return distributions have heavier tails than a Normal model can accommodate.</w:t>
      </w:r>
    </w:p>
    <w:p>
      <w:pPr>
        <w:pStyle w:val="Heading3"/>
      </w:pPr>
      <w:r>
        <w:t>Diagnostics and Volatility Plots</w:t>
      </w:r>
    </w:p>
    <w:tbl>
      <w:tblPr>
        <w:tblStyle w:val="TableGrid"/>
        <w:tblW w:type="auto" w:w="0"/>
        <w:tblLook w:firstColumn="1" w:firstRow="1" w:lastColumn="0" w:lastRow="0" w:noHBand="0" w:noVBand="1" w:val="04A0"/>
      </w:tblPr>
      <w:tblGrid>
        <w:gridCol w:w="2880"/>
        <w:gridCol w:w="2880"/>
        <w:gridCol w:w="2880"/>
      </w:tblGrid>
      <w:tr>
        <w:tc>
          <w:tcPr>
            <w:tcW w:type="dxa" w:w="2880"/>
          </w:tcPr>
          <w:p>
            <w:r>
              <w:t>Currency</w:t>
            </w:r>
          </w:p>
        </w:tc>
        <w:tc>
          <w:tcPr>
            <w:tcW w:type="dxa" w:w="2880"/>
          </w:tcPr>
          <w:p>
            <w:r>
              <w:t>LB on Std. Residuals p-value</w:t>
            </w:r>
          </w:p>
        </w:tc>
        <w:tc>
          <w:tcPr>
            <w:tcW w:type="dxa" w:w="2880"/>
          </w:tcPr>
          <w:p>
            <w:r>
              <w:t>LB on Sq. Std. Residuals p-value</w:t>
            </w:r>
          </w:p>
        </w:tc>
      </w:tr>
      <w:tr>
        <w:tc>
          <w:tcPr>
            <w:tcW w:type="dxa" w:w="2880"/>
          </w:tcPr>
          <w:p>
            <w:r>
              <w:t>CNY</w:t>
            </w:r>
          </w:p>
        </w:tc>
        <w:tc>
          <w:tcPr>
            <w:tcW w:type="dxa" w:w="2880"/>
          </w:tcPr>
          <w:p>
            <w:r>
              <w:t>0.4394</w:t>
            </w:r>
          </w:p>
        </w:tc>
        <w:tc>
          <w:tcPr>
            <w:tcW w:type="dxa" w:w="2880"/>
          </w:tcPr>
          <w:p>
            <w:r>
              <w:t>0.0000</w:t>
            </w:r>
          </w:p>
        </w:tc>
      </w:tr>
      <w:tr>
        <w:tc>
          <w:tcPr>
            <w:tcW w:type="dxa" w:w="2880"/>
          </w:tcPr>
          <w:p>
            <w:r>
              <w:t>USD</w:t>
            </w:r>
          </w:p>
        </w:tc>
        <w:tc>
          <w:tcPr>
            <w:tcW w:type="dxa" w:w="2880"/>
          </w:tcPr>
          <w:p>
            <w:r>
              <w:t>0.6937</w:t>
            </w:r>
          </w:p>
        </w:tc>
        <w:tc>
          <w:tcPr>
            <w:tcW w:type="dxa" w:w="2880"/>
          </w:tcPr>
          <w:p>
            <w:r>
              <w:t>0.0000</w:t>
            </w:r>
          </w:p>
        </w:tc>
      </w:tr>
      <w:tr>
        <w:tc>
          <w:tcPr>
            <w:tcW w:type="dxa" w:w="2880"/>
          </w:tcPr>
          <w:p>
            <w:r>
              <w:t>TWI</w:t>
            </w:r>
          </w:p>
        </w:tc>
        <w:tc>
          <w:tcPr>
            <w:tcW w:type="dxa" w:w="2880"/>
          </w:tcPr>
          <w:p>
            <w:r>
              <w:t>0.5976</w:t>
            </w:r>
          </w:p>
        </w:tc>
        <w:tc>
          <w:tcPr>
            <w:tcW w:type="dxa" w:w="2880"/>
          </w:tcPr>
          <w:p>
            <w:r>
              <w:t>0.0000</w:t>
            </w:r>
          </w:p>
        </w:tc>
      </w:tr>
      <w:tr>
        <w:tc>
          <w:tcPr>
            <w:tcW w:type="dxa" w:w="2880"/>
          </w:tcPr>
          <w:p>
            <w:r>
              <w:t>SDR</w:t>
            </w:r>
          </w:p>
        </w:tc>
        <w:tc>
          <w:tcPr>
            <w:tcW w:type="dxa" w:w="2880"/>
          </w:tcPr>
          <w:p>
            <w:r>
              <w:t>0.8967</w:t>
            </w:r>
          </w:p>
        </w:tc>
        <w:tc>
          <w:tcPr>
            <w:tcW w:type="dxa" w:w="2880"/>
          </w:tcPr>
          <w:p>
            <w:r>
              <w:t>0.0000</w:t>
            </w:r>
          </w:p>
        </w:tc>
      </w:tr>
    </w:tbl>
    <w:p/>
    <w:p>
      <w:r>
        <w:t>The mean equations are adequate — there is no important remaining autocorrelation in the standardised residuals. The squared standardised residuals still reject at conventional levels for all four currencies, which means the GJR-GARCH models have not completely captured every aspect of the variance dynamics. This should be stated openly rather than glossed over. Even so, the GJR-GARCH specifications are clearly a substantial improvement over constant-variance models and capture the main features of interest: volatility clustering, high persistence, asymmetric response to shocks, and heavy tails.</w:t>
      </w:r>
    </w:p>
    <w:p>
      <w:pPr>
        <w:jc w:val="center"/>
      </w:pPr>
      <w:r>
        <w:drawing>
          <wp:inline xmlns:a="http://schemas.openxmlformats.org/drawingml/2006/main" xmlns:pic="http://schemas.openxmlformats.org/drawingml/2006/picture">
            <wp:extent cx="5852160" cy="1950720"/>
            <wp:docPr id="8" name="Picture 8"/>
            <wp:cNvGraphicFramePr>
              <a:graphicFrameLocks noChangeAspect="1"/>
            </wp:cNvGraphicFramePr>
            <a:graphic>
              <a:graphicData uri="http://schemas.openxmlformats.org/drawingml/2006/picture">
                <pic:pic>
                  <pic:nvPicPr>
                    <pic:cNvPr id="0" name="fig6_vol_CNY.png"/>
                    <pic:cNvPicPr/>
                  </pic:nvPicPr>
                  <pic:blipFill>
                    <a:blip r:embed="rId16"/>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9" name="Picture 9"/>
            <wp:cNvGraphicFramePr>
              <a:graphicFrameLocks noChangeAspect="1"/>
            </wp:cNvGraphicFramePr>
            <a:graphic>
              <a:graphicData uri="http://schemas.openxmlformats.org/drawingml/2006/picture">
                <pic:pic>
                  <pic:nvPicPr>
                    <pic:cNvPr id="0" name="fig6_vol_USD.png"/>
                    <pic:cNvPicPr/>
                  </pic:nvPicPr>
                  <pic:blipFill>
                    <a:blip r:embed="rId17"/>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0" name="Picture 10"/>
            <wp:cNvGraphicFramePr>
              <a:graphicFrameLocks noChangeAspect="1"/>
            </wp:cNvGraphicFramePr>
            <a:graphic>
              <a:graphicData uri="http://schemas.openxmlformats.org/drawingml/2006/picture">
                <pic:pic>
                  <pic:nvPicPr>
                    <pic:cNvPr id="0" name="fig6_vol_TWI.png"/>
                    <pic:cNvPicPr/>
                  </pic:nvPicPr>
                  <pic:blipFill>
                    <a:blip r:embed="rId18"/>
                    <a:stretch>
                      <a:fillRect/>
                    </a:stretch>
                  </pic:blipFill>
                  <pic:spPr>
                    <a:xfrm>
                      <a:off x="0" y="0"/>
                      <a:ext cx="5852160" cy="1950720"/>
                    </a:xfrm>
                    <a:prstGeom prst="rect"/>
                  </pic:spPr>
                </pic:pic>
              </a:graphicData>
            </a:graphic>
          </wp:inline>
        </w:drawing>
      </w:r>
    </w:p>
    <w:p>
      <w:pPr>
        <w:jc w:val="center"/>
      </w:pPr>
      <w:r>
        <w:drawing>
          <wp:inline xmlns:a="http://schemas.openxmlformats.org/drawingml/2006/main" xmlns:pic="http://schemas.openxmlformats.org/drawingml/2006/picture">
            <wp:extent cx="5852160" cy="1950720"/>
            <wp:docPr id="11" name="Picture 11"/>
            <wp:cNvGraphicFramePr>
              <a:graphicFrameLocks noChangeAspect="1"/>
            </wp:cNvGraphicFramePr>
            <a:graphic>
              <a:graphicData uri="http://schemas.openxmlformats.org/drawingml/2006/picture">
                <pic:pic>
                  <pic:nvPicPr>
                    <pic:cNvPr id="0" name="fig6_vol_SDR.png"/>
                    <pic:cNvPicPr/>
                  </pic:nvPicPr>
                  <pic:blipFill>
                    <a:blip r:embed="rId19"/>
                    <a:stretch>
                      <a:fillRect/>
                    </a:stretch>
                  </pic:blipFill>
                  <pic:spPr>
                    <a:xfrm>
                      <a:off x="0" y="0"/>
                      <a:ext cx="5852160" cy="1950720"/>
                    </a:xfrm>
                    <a:prstGeom prst="rect"/>
                  </pic:spPr>
                </pic:pic>
              </a:graphicData>
            </a:graphic>
          </wp:inline>
        </w:drawing>
      </w:r>
    </w:p>
    <w:p>
      <w:pPr>
        <w:jc w:val="center"/>
      </w:pPr>
      <w:r>
        <w:t>Figures 8–11: fig6_vol_CNY.png, fig6_vol_USD.png, fig6_vol_TWI.png, fig6_vol_SDR.png</w:t>
      </w:r>
    </w:p>
    <w:p>
      <w:r>
        <w:t>All four conditional volatility series spike dramatically during the COVID-19 episode. The TWI is visibly the smoothest and most stable of the four, consistent with its lower unconditional variance from Question 5.</w:t>
      </w:r>
    </w:p>
    <w:p>
      <w:r>
        <w:br w:type="page"/>
      </w:r>
    </w:p>
    <w:p>
      <w:pPr>
        <w:pStyle w:val="Heading2"/>
      </w:pPr>
      <w:r>
        <w:t>Question 7</w:t>
      </w:r>
    </w:p>
    <w:p>
      <w:r>
        <w:t>For a GJR-GARCH(1,1) model, the unconditional variance exists when α + β + γ/2 &lt; 1, and is then given by:</w:t>
      </w:r>
    </w:p>
    <w:p>
      <w:r>
        <w:t>σ²_j = ω / (1 − α − β − γ/2)</w:t>
      </w:r>
    </w:p>
    <w:p>
      <w:r>
        <w:t>Applying this to each fitted model: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Currency</w:t>
            </w:r>
          </w:p>
        </w:tc>
        <w:tc>
          <w:tcPr>
            <w:tcW w:type="dxa" w:w="1728"/>
          </w:tcPr>
          <w:p>
            <w:r>
              <w:t>α + β + γ/2</w:t>
            </w:r>
          </w:p>
        </w:tc>
        <w:tc>
          <w:tcPr>
            <w:tcW w:type="dxa" w:w="1728"/>
          </w:tcPr>
          <w:p>
            <w:r>
              <w:t>Model Variance (σ̂²)</w:t>
            </w:r>
          </w:p>
        </w:tc>
        <w:tc>
          <w:tcPr>
            <w:tcW w:type="dxa" w:w="1728"/>
          </w:tcPr>
          <w:p>
            <w:r>
              <w:t>Sample Variance</w:t>
            </w:r>
          </w:p>
        </w:tc>
        <w:tc>
          <w:tcPr>
            <w:tcW w:type="dxa" w:w="1728"/>
          </w:tcPr>
          <w:p>
            <w:r>
              <w:t>Ratio</w:t>
            </w:r>
          </w:p>
        </w:tc>
      </w:tr>
      <w:tr>
        <w:tc>
          <w:tcPr>
            <w:tcW w:type="dxa" w:w="1728"/>
          </w:tcPr>
          <w:p>
            <w:r>
              <w:t>CNY</w:t>
            </w:r>
          </w:p>
        </w:tc>
        <w:tc>
          <w:tcPr>
            <w:tcW w:type="dxa" w:w="1728"/>
          </w:tcPr>
          <w:p>
            <w:r>
              <w:t>0.9771</w:t>
            </w:r>
          </w:p>
        </w:tc>
        <w:tc>
          <w:tcPr>
            <w:tcW w:type="dxa" w:w="1728"/>
          </w:tcPr>
          <w:p>
            <w:r>
              <w:t>0.2925</w:t>
            </w:r>
          </w:p>
        </w:tc>
        <w:tc>
          <w:tcPr>
            <w:tcW w:type="dxa" w:w="1728"/>
          </w:tcPr>
          <w:p>
            <w:r>
              <w:t>0.3369</w:t>
            </w:r>
          </w:p>
        </w:tc>
        <w:tc>
          <w:tcPr>
            <w:tcW w:type="dxa" w:w="1728"/>
          </w:tcPr>
          <w:p>
            <w:r>
              <w:t>0.8682</w:t>
            </w:r>
          </w:p>
        </w:tc>
      </w:tr>
      <w:tr>
        <w:tc>
          <w:tcPr>
            <w:tcW w:type="dxa" w:w="1728"/>
          </w:tcPr>
          <w:p>
            <w:r>
              <w:t>USD</w:t>
            </w:r>
          </w:p>
        </w:tc>
        <w:tc>
          <w:tcPr>
            <w:tcW w:type="dxa" w:w="1728"/>
          </w:tcPr>
          <w:p>
            <w:r>
              <w:t>0.9879</w:t>
            </w:r>
          </w:p>
        </w:tc>
        <w:tc>
          <w:tcPr>
            <w:tcW w:type="dxa" w:w="1728"/>
          </w:tcPr>
          <w:p>
            <w:r>
              <w:t>0.3456</w:t>
            </w:r>
          </w:p>
        </w:tc>
        <w:tc>
          <w:tcPr>
            <w:tcW w:type="dxa" w:w="1728"/>
          </w:tcPr>
          <w:p>
            <w:r>
              <w:t>0.4381</w:t>
            </w:r>
          </w:p>
        </w:tc>
        <w:tc>
          <w:tcPr>
            <w:tcW w:type="dxa" w:w="1728"/>
          </w:tcPr>
          <w:p>
            <w:r>
              <w:t>0.7888</w:t>
            </w:r>
          </w:p>
        </w:tc>
      </w:tr>
      <w:tr>
        <w:tc>
          <w:tcPr>
            <w:tcW w:type="dxa" w:w="1728"/>
          </w:tcPr>
          <w:p>
            <w:r>
              <w:t>TWI</w:t>
            </w:r>
          </w:p>
        </w:tc>
        <w:tc>
          <w:tcPr>
            <w:tcW w:type="dxa" w:w="1728"/>
          </w:tcPr>
          <w:p>
            <w:r>
              <w:t>0.9685</w:t>
            </w:r>
          </w:p>
        </w:tc>
        <w:tc>
          <w:tcPr>
            <w:tcW w:type="dxa" w:w="1728"/>
          </w:tcPr>
          <w:p>
            <w:r>
              <w:t>0.2234</w:t>
            </w:r>
          </w:p>
        </w:tc>
        <w:tc>
          <w:tcPr>
            <w:tcW w:type="dxa" w:w="1728"/>
          </w:tcPr>
          <w:p>
            <w:r>
              <w:t>0.2675</w:t>
            </w:r>
          </w:p>
        </w:tc>
        <w:tc>
          <w:tcPr>
            <w:tcW w:type="dxa" w:w="1728"/>
          </w:tcPr>
          <w:p>
            <w:r>
              <w:t>0.8352</w:t>
            </w:r>
          </w:p>
        </w:tc>
      </w:tr>
      <w:tr>
        <w:tc>
          <w:tcPr>
            <w:tcW w:type="dxa" w:w="1728"/>
          </w:tcPr>
          <w:p>
            <w:r>
              <w:t>SDR</w:t>
            </w:r>
          </w:p>
        </w:tc>
        <w:tc>
          <w:tcPr>
            <w:tcW w:type="dxa" w:w="1728"/>
          </w:tcPr>
          <w:p>
            <w:r>
              <w:t>0.9848</w:t>
            </w:r>
          </w:p>
        </w:tc>
        <w:tc>
          <w:tcPr>
            <w:tcW w:type="dxa" w:w="1728"/>
          </w:tcPr>
          <w:p>
            <w:r>
              <w:t>0.3638</w:t>
            </w:r>
          </w:p>
        </w:tc>
        <w:tc>
          <w:tcPr>
            <w:tcW w:type="dxa" w:w="1728"/>
          </w:tcPr>
          <w:p>
            <w:r>
              <w:t>0.4492</w:t>
            </w:r>
          </w:p>
        </w:tc>
        <w:tc>
          <w:tcPr>
            <w:tcW w:type="dxa" w:w="1728"/>
          </w:tcPr>
          <w:p>
            <w:r>
              <w:t>0.8099</w:t>
            </w:r>
          </w:p>
        </w:tc>
      </w:tr>
    </w:tbl>
    <w:p/>
    <w:p>
      <w:r>
        <w:t>All four persistence measures are below 1, so finite unconditional variances exist for every currency. The model-implied variances are uniformly lower than the corresponding sample variances — the ratio ranges from about 0.79 to 0.87. This is precisely what one would expect when a large transitory volatility episode like COVID-19 is present in the sample. The sample variance is mechanically inflated by the 2020 spike, whereas the GJR-GARCH model tries to capture a long-run variance level that is appropriate after separating out temporary bursts. In that sense the model-based estimates are arguably more representative of the structural volatility of each exchange rate under normal market conditions than the raw sample variances are.</w:t>
      </w:r>
    </w:p>
    <w:p>
      <w:r>
        <w:br w:type="page"/>
      </w:r>
    </w:p>
    <w:p>
      <w:pPr>
        <w:pStyle w:val="Heading2"/>
      </w:pPr>
      <w:r>
        <w:t>Question 8</w:t>
      </w:r>
    </w:p>
    <w:p>
      <w:r>
        <w:t>The question asks for the probability that the daily return falls below 0.01% on 13/01/2026 and 14/01/2026. These probabilities are computed from the one-step-ahead and two-step-ahead forecasts of the GJR-GARCH models, using the model-implied Student-t CDF (pdist("std", ...) from rugarch) rather than a plain normal distribution, so that the heavy-tail behaviour captured in the shape parameter is properly accounted for.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Currency</w:t>
            </w:r>
          </w:p>
        </w:tc>
        <w:tc>
          <w:tcPr>
            <w:tcW w:type="dxa" w:w="1234"/>
          </w:tcPr>
          <w:p>
            <w:r>
              <w:t>μ_{T+1}</w:t>
            </w:r>
          </w:p>
        </w:tc>
        <w:tc>
          <w:tcPr>
            <w:tcW w:type="dxa" w:w="1234"/>
          </w:tcPr>
          <w:p>
            <w:r>
              <w:t>σ_{T+1}</w:t>
            </w:r>
          </w:p>
        </w:tc>
        <w:tc>
          <w:tcPr>
            <w:tcW w:type="dxa" w:w="1234"/>
          </w:tcPr>
          <w:p>
            <w:r>
              <w:t>P(e &lt; 0.01), 13 Jan</w:t>
            </w:r>
          </w:p>
        </w:tc>
        <w:tc>
          <w:tcPr>
            <w:tcW w:type="dxa" w:w="1234"/>
          </w:tcPr>
          <w:p>
            <w:r>
              <w:t>μ_{T+2}</w:t>
            </w:r>
          </w:p>
        </w:tc>
        <w:tc>
          <w:tcPr>
            <w:tcW w:type="dxa" w:w="1234"/>
          </w:tcPr>
          <w:p>
            <w:r>
              <w:t>σ_{T+2}</w:t>
            </w:r>
          </w:p>
        </w:tc>
        <w:tc>
          <w:tcPr>
            <w:tcW w:type="dxa" w:w="1234"/>
          </w:tcPr>
          <w:p>
            <w:r>
              <w:t>P(e &lt; 0.01), 14 Jan</w:t>
            </w:r>
          </w:p>
        </w:tc>
      </w:tr>
      <w:tr>
        <w:tc>
          <w:tcPr>
            <w:tcW w:type="dxa" w:w="1234"/>
          </w:tcPr>
          <w:p>
            <w:r>
              <w:t>CNY</w:t>
            </w:r>
          </w:p>
        </w:tc>
        <w:tc>
          <w:tcPr>
            <w:tcW w:type="dxa" w:w="1234"/>
          </w:tcPr>
          <w:p>
            <w:r>
              <w:t>−0.0143</w:t>
            </w:r>
          </w:p>
        </w:tc>
        <w:tc>
          <w:tcPr>
            <w:tcW w:type="dxa" w:w="1234"/>
          </w:tcPr>
          <w:p>
            <w:r>
              <w:t>0.4524</w:t>
            </w:r>
          </w:p>
        </w:tc>
        <w:tc>
          <w:tcPr>
            <w:tcW w:type="dxa" w:w="1234"/>
          </w:tcPr>
          <w:p>
            <w:r>
              <w:t>0.5239</w:t>
            </w:r>
          </w:p>
        </w:tc>
        <w:tc>
          <w:tcPr>
            <w:tcW w:type="dxa" w:w="1234"/>
          </w:tcPr>
          <w:p>
            <w:r>
              <w:t>−0.0143</w:t>
            </w:r>
          </w:p>
        </w:tc>
        <w:tc>
          <w:tcPr>
            <w:tcW w:type="dxa" w:w="1234"/>
          </w:tcPr>
          <w:p>
            <w:r>
              <w:t>0.4547</w:t>
            </w:r>
          </w:p>
        </w:tc>
        <w:tc>
          <w:tcPr>
            <w:tcW w:type="dxa" w:w="1234"/>
          </w:tcPr>
          <w:p>
            <w:r>
              <w:t>0.5238</w:t>
            </w:r>
          </w:p>
        </w:tc>
      </w:tr>
      <w:tr>
        <w:tc>
          <w:tcPr>
            <w:tcW w:type="dxa" w:w="1234"/>
          </w:tcPr>
          <w:p>
            <w:r>
              <w:t>USD</w:t>
            </w:r>
          </w:p>
        </w:tc>
        <w:tc>
          <w:tcPr>
            <w:tcW w:type="dxa" w:w="1234"/>
          </w:tcPr>
          <w:p>
            <w:r>
              <w:t>−0.0140</w:t>
            </w:r>
          </w:p>
        </w:tc>
        <w:tc>
          <w:tcPr>
            <w:tcW w:type="dxa" w:w="1234"/>
          </w:tcPr>
          <w:p>
            <w:r>
              <w:t>0.4432</w:t>
            </w:r>
          </w:p>
        </w:tc>
        <w:tc>
          <w:tcPr>
            <w:tcW w:type="dxa" w:w="1234"/>
          </w:tcPr>
          <w:p>
            <w:r>
              <w:t>0.5240</w:t>
            </w:r>
          </w:p>
        </w:tc>
        <w:tc>
          <w:tcPr>
            <w:tcW w:type="dxa" w:w="1234"/>
          </w:tcPr>
          <w:p>
            <w:r>
              <w:t>−0.0140</w:t>
            </w:r>
          </w:p>
        </w:tc>
        <w:tc>
          <w:tcPr>
            <w:tcW w:type="dxa" w:w="1234"/>
          </w:tcPr>
          <w:p>
            <w:r>
              <w:t>0.4453</w:t>
            </w:r>
          </w:p>
        </w:tc>
        <w:tc>
          <w:tcPr>
            <w:tcW w:type="dxa" w:w="1234"/>
          </w:tcPr>
          <w:p>
            <w:r>
              <w:t>0.5239</w:t>
            </w:r>
          </w:p>
        </w:tc>
      </w:tr>
      <w:tr>
        <w:tc>
          <w:tcPr>
            <w:tcW w:type="dxa" w:w="1234"/>
          </w:tcPr>
          <w:p>
            <w:r>
              <w:t>TWI</w:t>
            </w:r>
          </w:p>
        </w:tc>
        <w:tc>
          <w:tcPr>
            <w:tcW w:type="dxa" w:w="1234"/>
          </w:tcPr>
          <w:p>
            <w:r>
              <w:t>−0.0070</w:t>
            </w:r>
          </w:p>
        </w:tc>
        <w:tc>
          <w:tcPr>
            <w:tcW w:type="dxa" w:w="1234"/>
          </w:tcPr>
          <w:p>
            <w:r>
              <w:t>0.3775</w:t>
            </w:r>
          </w:p>
        </w:tc>
        <w:tc>
          <w:tcPr>
            <w:tcW w:type="dxa" w:w="1234"/>
          </w:tcPr>
          <w:p>
            <w:r>
              <w:t>0.5201</w:t>
            </w:r>
          </w:p>
        </w:tc>
        <w:tc>
          <w:tcPr>
            <w:tcW w:type="dxa" w:w="1234"/>
          </w:tcPr>
          <w:p>
            <w:r>
              <w:t>−0.0067</w:t>
            </w:r>
          </w:p>
        </w:tc>
        <w:tc>
          <w:tcPr>
            <w:tcW w:type="dxa" w:w="1234"/>
          </w:tcPr>
          <w:p>
            <w:r>
              <w:t>0.3809</w:t>
            </w:r>
          </w:p>
        </w:tc>
        <w:tc>
          <w:tcPr>
            <w:tcW w:type="dxa" w:w="1234"/>
          </w:tcPr>
          <w:p>
            <w:r>
              <w:t>0.5196</w:t>
            </w:r>
          </w:p>
        </w:tc>
      </w:tr>
      <w:tr>
        <w:tc>
          <w:tcPr>
            <w:tcW w:type="dxa" w:w="1234"/>
          </w:tcPr>
          <w:p>
            <w:r>
              <w:t>SDR</w:t>
            </w:r>
          </w:p>
        </w:tc>
        <w:tc>
          <w:tcPr>
            <w:tcW w:type="dxa" w:w="1234"/>
          </w:tcPr>
          <w:p>
            <w:r>
              <w:t>−0.0230</w:t>
            </w:r>
          </w:p>
        </w:tc>
        <w:tc>
          <w:tcPr>
            <w:tcW w:type="dxa" w:w="1234"/>
          </w:tcPr>
          <w:p>
            <w:r>
              <w:t>0.4449</w:t>
            </w:r>
          </w:p>
        </w:tc>
        <w:tc>
          <w:tcPr>
            <w:tcW w:type="dxa" w:w="1234"/>
          </w:tcPr>
          <w:p>
            <w:r>
              <w:t>0.5332</w:t>
            </w:r>
          </w:p>
        </w:tc>
        <w:tc>
          <w:tcPr>
            <w:tcW w:type="dxa" w:w="1234"/>
          </w:tcPr>
          <w:p>
            <w:r>
              <w:t>−0.0084</w:t>
            </w:r>
          </w:p>
        </w:tc>
        <w:tc>
          <w:tcPr>
            <w:tcW w:type="dxa" w:w="1234"/>
          </w:tcPr>
          <w:p>
            <w:r>
              <w:t>0.4477</w:t>
            </w:r>
          </w:p>
        </w:tc>
        <w:tc>
          <w:tcPr>
            <w:tcW w:type="dxa" w:w="1234"/>
          </w:tcPr>
          <w:p>
            <w:r>
              <w:t>0.5184</w:t>
            </w:r>
          </w:p>
        </w:tc>
      </w:tr>
    </w:tbl>
    <w:p/>
    <w:p>
      <w:r>
        <w:t>A lower probability is better for a downside-risk-averse foreign-currency investor because it means a smaller chance of earning less than the threshold return of 0.01%.</w:t>
      </w:r>
    </w:p>
    <w:p>
      <w:r>
        <w:t>On 13 January 2026, the ranking from least to most downside risk is:</w:t>
      </w:r>
    </w:p>
    <w:p>
      <w:r>
        <w:t>1. TWI (0.5201)</w:t>
      </w:r>
    </w:p>
    <w:p>
      <w:r>
        <w:t>2. CNY (0.5239)</w:t>
      </w:r>
    </w:p>
    <w:p>
      <w:r>
        <w:t>3. USD (0.5240)</w:t>
      </w:r>
    </w:p>
    <w:p>
      <w:r>
        <w:t>4. SDR (0.5332)</w:t>
      </w:r>
    </w:p>
    <w:p>
      <w:r>
        <w:t>On 14 January 2026, the ranking shifts:</w:t>
      </w:r>
    </w:p>
    <w:p>
      <w:r>
        <w:t>1. SDR (0.5184)</w:t>
      </w:r>
    </w:p>
    <w:p>
      <w:r>
        <w:t>2. TWI (0.5196)</w:t>
      </w:r>
    </w:p>
    <w:p>
      <w:r>
        <w:t>3. CNY (0.5238)</w:t>
      </w:r>
    </w:p>
    <w:p>
      <w:r>
        <w:t>4. USD (0.5239)</w:t>
      </w:r>
    </w:p>
    <w:p>
      <w:r>
        <w:t>The SDR's large jump in rank between the two days reflects a notably lower mean return (μ_{T+1} = −0.0230) on 13 January, which pushes more of the distribution below the threshold, before reverting to a value close to the other currencies on 14 January. This kind of day-to-day shift in relative ranking is exactly why a static mean-variance framework is insufficient for short-horizon risk management.</w:t>
      </w:r>
    </w:p>
    <w:p>
      <w:r>
        <w:t>From a portfolio perspective, TWI looks the most consistently attractive over both days — it sits near the bottom of the risk ranking on both dates and never suffers the sharp one-day deterioration seen in SDR. This outcome is directly tied to TWI's lower conditional volatility (σ around 0.38 versus 0.44–0.45 for the others), which is in turn driven by the diversification benefits of a trade-weighted basket. The key contribution of the GARCH framework here is that these probabilities are forward-looking and conditioned on the current volatility state, rather than relying on the historical sample averages from Question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