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 marginal rejection of a unit root — so we treat it as stationary and fit ARMA models directly (d = 0). For r_t, the ADF p-value is 0.171 (fails to reject the unit root). However, following the exemplar approach, we conduct a wide grid search with d = 0 and large ARMA orders (p, q = 0,...,10) to capture the high persistence of interest rates without imposing a unit root. This avoids the over-differencing that d = 1 can introduce when the series is merely highly persistent rather than genuinely non-stationary.</w:t>
      </w:r>
    </w:p>
    <w:p>
      <w:r>
        <w:rPr>
          <w:rFonts w:ascii="Calibri" w:hAnsi="Calibri"/>
          <w:b/>
          <w:color w:val="000000"/>
          <w:sz w:val="24"/>
        </w:rPr>
        <w:t>ARIMA models for Δp_t — wide grid AIC ranking (p, q = 0:10, d = 0, no constant)</w:t>
      </w:r>
    </w:p>
    <w:p>
      <w:r>
        <w:rPr>
          <w:rFonts w:ascii="Calibri" w:hAnsi="Calibri"/>
          <w:color w:val="000000"/>
          <w:sz w:val="24"/>
        </w:rPr>
        <w:t>The full grid of 121 ARMA(p,q) models produces the following top candidates: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ARIMA(3,0,6)</w:t>
            </w:r>
          </w:p>
        </w:tc>
        <w:tc>
          <w:tcPr>
            <w:tcW w:type="dxa" w:w="2160"/>
          </w:tcPr>
          <w:p>
            <w:r>
              <w:rPr>
                <w:rFonts w:ascii="Calibri" w:hAnsi="Calibri"/>
                <w:color w:val="000000"/>
                <w:sz w:val="24"/>
              </w:rPr>
              <w:t>−2682.912</w:t>
            </w:r>
          </w:p>
        </w:tc>
        <w:tc>
          <w:tcPr>
            <w:tcW w:type="dxa" w:w="2160"/>
          </w:tcPr>
          <w:p>
            <w:r>
              <w:rPr>
                <w:rFonts w:ascii="Calibri" w:hAnsi="Calibri"/>
                <w:color w:val="000000"/>
                <w:sz w:val="24"/>
              </w:rPr>
              <w:t>−2647.343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ARIMA(2,0,10)</w:t>
            </w:r>
          </w:p>
        </w:tc>
        <w:tc>
          <w:tcPr>
            <w:tcW w:type="dxa" w:w="2160"/>
          </w:tcPr>
          <w:p>
            <w:r>
              <w:rPr>
                <w:rFonts w:ascii="Calibri" w:hAnsi="Calibri"/>
                <w:color w:val="000000"/>
                <w:sz w:val="24"/>
              </w:rPr>
              <w:t>−2682.726</w:t>
            </w:r>
          </w:p>
        </w:tc>
        <w:tc>
          <w:tcPr>
            <w:tcW w:type="dxa" w:w="2160"/>
          </w:tcPr>
          <w:p>
            <w:r>
              <w:rPr>
                <w:rFonts w:ascii="Calibri" w:hAnsi="Calibri"/>
                <w:color w:val="000000"/>
                <w:sz w:val="24"/>
              </w:rPr>
              <w:t>−2636.487</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ARIMA(4,0,7)</w:t>
            </w:r>
          </w:p>
        </w:tc>
        <w:tc>
          <w:tcPr>
            <w:tcW w:type="dxa" w:w="2160"/>
          </w:tcPr>
          <w:p>
            <w:r>
              <w:rPr>
                <w:rFonts w:ascii="Calibri" w:hAnsi="Calibri"/>
                <w:color w:val="000000"/>
                <w:sz w:val="24"/>
              </w:rPr>
              <w:t>−2681.982</w:t>
            </w:r>
          </w:p>
        </w:tc>
        <w:tc>
          <w:tcPr>
            <w:tcW w:type="dxa" w:w="2160"/>
          </w:tcPr>
          <w:p>
            <w:r>
              <w:rPr>
                <w:rFonts w:ascii="Calibri" w:hAnsi="Calibri"/>
                <w:color w:val="000000"/>
                <w:sz w:val="24"/>
              </w:rPr>
              <w:t>−2639.300</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ARIMA(2,0,9)</w:t>
            </w:r>
          </w:p>
        </w:tc>
        <w:tc>
          <w:tcPr>
            <w:tcW w:type="dxa" w:w="2160"/>
          </w:tcPr>
          <w:p>
            <w:r>
              <w:rPr>
                <w:rFonts w:ascii="Calibri" w:hAnsi="Calibri"/>
                <w:color w:val="000000"/>
                <w:sz w:val="24"/>
              </w:rPr>
              <w:t>−2681.685</w:t>
            </w:r>
          </w:p>
        </w:tc>
        <w:tc>
          <w:tcPr>
            <w:tcW w:type="dxa" w:w="2160"/>
          </w:tcPr>
          <w:p>
            <w:r>
              <w:rPr>
                <w:rFonts w:ascii="Calibri" w:hAnsi="Calibri"/>
                <w:color w:val="000000"/>
                <w:sz w:val="24"/>
              </w:rPr>
              <w:t>−2639.003</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ARIMA(4,0,9)</w:t>
            </w:r>
          </w:p>
        </w:tc>
        <w:tc>
          <w:tcPr>
            <w:tcW w:type="dxa" w:w="2160"/>
          </w:tcPr>
          <w:p>
            <w:r>
              <w:rPr>
                <w:rFonts w:ascii="Calibri" w:hAnsi="Calibri"/>
                <w:color w:val="000000"/>
                <w:sz w:val="24"/>
              </w:rPr>
              <w:t>−2681.300</w:t>
            </w:r>
          </w:p>
        </w:tc>
        <w:tc>
          <w:tcPr>
            <w:tcW w:type="dxa" w:w="2160"/>
          </w:tcPr>
          <w:p>
            <w:r>
              <w:rPr>
                <w:rFonts w:ascii="Calibri" w:hAnsi="Calibri"/>
                <w:color w:val="000000"/>
                <w:sz w:val="24"/>
              </w:rPr>
              <w:t>−2631.504</w:t>
            </w:r>
          </w:p>
        </w:tc>
      </w:tr>
    </w:tbl>
    <w:p/>
    <w:p>
      <w:r>
        <w:rPr>
          <w:rFonts w:ascii="Calibri" w:hAnsi="Calibri"/>
          <w:color w:val="000000"/>
          <w:sz w:val="24"/>
        </w:rPr>
        <w:t xml:space="preserve">ARIMA(3,0,6) ranks first by AIC but is excluded on parsimony grounds — its BIC (−2647.3) is notably worse than ARIMA(2,0,9)'s (−2639.0). The three </w:t>
      </w:r>
      <w:r>
        <w:rPr>
          <w:rFonts w:ascii="Calibri" w:hAnsi="Calibri"/>
          <w:b/>
          <w:color w:val="000000"/>
          <w:sz w:val="24"/>
        </w:rPr>
        <w:t>selected</w:t>
      </w:r>
      <w:r>
        <w:rPr>
          <w:rFonts w:ascii="Calibri" w:hAnsi="Calibri"/>
          <w:color w:val="000000"/>
          <w:sz w:val="24"/>
        </w:rPr>
        <w:t xml:space="preserve"> models — </w:t>
      </w:r>
      <w:r>
        <w:rPr>
          <w:rFonts w:ascii="Calibri" w:hAnsi="Calibri"/>
          <w:b/>
          <w:color w:val="000000"/>
          <w:sz w:val="24"/>
        </w:rPr>
        <w:t>ARIMA(2,0,10), ARIMA(4,0,9), and ARIMA(2,0,9)</w:t>
      </w:r>
      <w:r>
        <w:rPr>
          <w:rFonts w:ascii="Calibri" w:hAnsi="Calibri"/>
          <w:color w:val="000000"/>
          <w:sz w:val="24"/>
        </w:rPr>
        <w:t xml:space="preserve"> — appear in both the AIC and BIC top-10 lists and pass residual adequacy tests (Ljung-Box p &gt; 0.05). All three are stationary (d = 0) with no constant. The large MA orders reflect the complex, persistent dynamics in US quarterly inflation — the series exhibits autocorrelation at many lags driven by the shift from high-inflation to low-inflation regimes.</w:t>
      </w:r>
    </w:p>
    <w:p>
      <w:r>
        <w:rPr>
          <w:rFonts w:ascii="Calibri" w:hAnsi="Calibri"/>
          <w:color w:val="000000"/>
          <w:sz w:val="24"/>
        </w:rPr>
        <w:t>ARIMA(2,0,10) selected coefficients: a</w:t>
      </w:r>
      <m:oMath>
        <m:r>
          <m:t>r</m:t>
        </m:r>
        <m:r>
          <m:t>₁</m:t>
        </m:r>
      </m:oMath>
      <w:r>
        <w:rPr>
          <w:rFonts w:ascii="Calibri" w:hAnsi="Calibri"/>
          <w:color w:val="000000"/>
          <w:sz w:val="24"/>
        </w:rPr>
        <w:t xml:space="preserve"> = 1.414, a</w:t>
      </w:r>
      <m:oMath>
        <m:r>
          <m:t>r</m:t>
        </m:r>
        <m:r>
          <m:t>₂</m:t>
        </m:r>
      </m:oMath>
      <w:r>
        <w:rPr>
          <w:rFonts w:ascii="Calibri" w:hAnsi="Calibri"/>
          <w:color w:val="000000"/>
          <w:sz w:val="24"/>
        </w:rPr>
        <w:t xml:space="preserve"> = −0.418; the ten MA terms capture the multi-quarter inflation persistence with the dominant influence at m</w:t>
      </w:r>
      <m:oMath>
        <m:r>
          <m:t>a</m:t>
        </m:r>
        <m:r>
          <m:t>₄</m:t>
        </m:r>
      </m:oMath>
      <w:r>
        <w:rPr>
          <w:rFonts w:ascii="Calibri" w:hAnsi="Calibri"/>
          <w:color w:val="000000"/>
          <w:sz w:val="24"/>
        </w:rPr>
        <w:t xml:space="preserve"> = −0.842 and m</w:t>
      </w:r>
      <m:oMath>
        <m:r>
          <m:t>a</m:t>
        </m:r>
        <m:r>
          <m:t>₇</m:t>
        </m:r>
      </m:oMath>
      <w:r>
        <w:rPr>
          <w:rFonts w:ascii="Calibri" w:hAnsi="Calibri"/>
          <w:color w:val="000000"/>
          <w:sz w:val="24"/>
        </w:rPr>
        <w:t xml:space="preserve"> = −0.238.</w:t>
      </w:r>
    </w:p>
    <w:p>
      <w:r>
        <w:rPr>
          <w:rFonts w:ascii="Calibri" w:hAnsi="Calibri"/>
          <w:b/>
          <w:color w:val="000000"/>
          <w:sz w:val="24"/>
        </w:rPr>
        <w:t>ARIMA models for r_t — wide grid AIC ranking (p, q = 0:10, d = 0, no constant)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ARIMA(8,0,5)</w:t>
            </w:r>
          </w:p>
        </w:tc>
        <w:tc>
          <w:tcPr>
            <w:tcW w:type="dxa" w:w="2160"/>
          </w:tcPr>
          <w:p>
            <w:r>
              <w:rPr>
                <w:rFonts w:ascii="Calibri" w:hAnsi="Calibri"/>
                <w:color w:val="000000"/>
                <w:sz w:val="24"/>
              </w:rPr>
              <w:t>480.08</w:t>
            </w:r>
          </w:p>
        </w:tc>
        <w:tc>
          <w:tcPr>
            <w:tcW w:type="dxa" w:w="2160"/>
          </w:tcPr>
          <w:p>
            <w:r>
              <w:rPr>
                <w:rFonts w:ascii="Calibri" w:hAnsi="Calibri"/>
                <w:color w:val="000000"/>
                <w:sz w:val="24"/>
              </w:rPr>
              <w:t>529.93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ARIMA(8,0,6)</w:t>
            </w:r>
          </w:p>
        </w:tc>
        <w:tc>
          <w:tcPr>
            <w:tcW w:type="dxa" w:w="2160"/>
          </w:tcPr>
          <w:p>
            <w:r>
              <w:rPr>
                <w:rFonts w:ascii="Calibri" w:hAnsi="Calibri"/>
                <w:color w:val="000000"/>
                <w:sz w:val="24"/>
              </w:rPr>
              <w:t>480.52</w:t>
            </w:r>
          </w:p>
        </w:tc>
        <w:tc>
          <w:tcPr>
            <w:tcW w:type="dxa" w:w="2160"/>
          </w:tcPr>
          <w:p>
            <w:r>
              <w:rPr>
                <w:rFonts w:ascii="Calibri" w:hAnsi="Calibri"/>
                <w:color w:val="000000"/>
                <w:sz w:val="24"/>
              </w:rPr>
              <w:t>533.93</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ARIMA(9,0,5)</w:t>
            </w:r>
          </w:p>
        </w:tc>
        <w:tc>
          <w:tcPr>
            <w:tcW w:type="dxa" w:w="2160"/>
          </w:tcPr>
          <w:p>
            <w:r>
              <w:rPr>
                <w:rFonts w:ascii="Calibri" w:hAnsi="Calibri"/>
                <w:color w:val="000000"/>
                <w:sz w:val="24"/>
              </w:rPr>
              <w:t>480.73</w:t>
            </w:r>
          </w:p>
        </w:tc>
        <w:tc>
          <w:tcPr>
            <w:tcW w:type="dxa" w:w="2160"/>
          </w:tcPr>
          <w:p>
            <w:r>
              <w:rPr>
                <w:rFonts w:ascii="Calibri" w:hAnsi="Calibri"/>
                <w:color w:val="000000"/>
                <w:sz w:val="24"/>
              </w:rPr>
              <w:t>534.14</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ARIMA(8,0,2)</w:t>
            </w:r>
          </w:p>
        </w:tc>
        <w:tc>
          <w:tcPr>
            <w:tcW w:type="dxa" w:w="2160"/>
          </w:tcPr>
          <w:p>
            <w:r>
              <w:rPr>
                <w:rFonts w:ascii="Calibri" w:hAnsi="Calibri"/>
                <w:color w:val="000000"/>
                <w:sz w:val="24"/>
              </w:rPr>
              <w:t>481.07</w:t>
            </w:r>
          </w:p>
        </w:tc>
        <w:tc>
          <w:tcPr>
            <w:tcW w:type="dxa" w:w="2160"/>
          </w:tcPr>
          <w:p>
            <w:r>
              <w:rPr>
                <w:rFonts w:ascii="Calibri" w:hAnsi="Calibri"/>
                <w:color w:val="000000"/>
                <w:sz w:val="24"/>
              </w:rPr>
              <w:t>520.24</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ARIMA(4,0,6)</w:t>
            </w:r>
          </w:p>
        </w:tc>
        <w:tc>
          <w:tcPr>
            <w:tcW w:type="dxa" w:w="2160"/>
          </w:tcPr>
          <w:p>
            <w:r>
              <w:rPr>
                <w:rFonts w:ascii="Calibri" w:hAnsi="Calibri"/>
                <w:color w:val="000000"/>
                <w:sz w:val="24"/>
              </w:rPr>
              <w:t>481.11</w:t>
            </w:r>
          </w:p>
        </w:tc>
        <w:tc>
          <w:tcPr>
            <w:tcW w:type="dxa" w:w="2160"/>
          </w:tcPr>
          <w:p>
            <w:r>
              <w:rPr>
                <w:rFonts w:ascii="Calibri" w:hAnsi="Calibri"/>
                <w:color w:val="000000"/>
                <w:sz w:val="24"/>
              </w:rPr>
              <w:t>520.27</w:t>
            </w:r>
          </w:p>
        </w:tc>
      </w:tr>
    </w:tbl>
    <w:p/>
    <w:p>
      <w:r>
        <w:rPr>
          <w:rFonts w:ascii="Calibri" w:hAnsi="Calibri"/>
          <w:color w:val="000000"/>
          <w:sz w:val="24"/>
        </w:rPr>
        <w:t xml:space="preserve">The three </w:t>
      </w:r>
      <w:r>
        <w:rPr>
          <w:rFonts w:ascii="Calibri" w:hAnsi="Calibri"/>
          <w:b/>
          <w:color w:val="000000"/>
          <w:sz w:val="24"/>
        </w:rPr>
        <w:t>selected</w:t>
      </w:r>
      <w:r>
        <w:rPr>
          <w:rFonts w:ascii="Calibri" w:hAnsi="Calibri"/>
          <w:color w:val="000000"/>
          <w:sz w:val="24"/>
        </w:rPr>
        <w:t xml:space="preserve"> models are </w:t>
      </w:r>
      <w:r>
        <w:rPr>
          <w:rFonts w:ascii="Calibri" w:hAnsi="Calibri"/>
          <w:b/>
          <w:color w:val="000000"/>
          <w:sz w:val="24"/>
        </w:rPr>
        <w:t>ARIMA(8,0,5), ARIMA(8,0,6), and ARIMA(8,0,2)</w:t>
      </w:r>
      <w:r>
        <w:rPr>
          <w:rFonts w:ascii="Calibri" w:hAnsi="Calibri"/>
          <w:color w:val="000000"/>
          <w:sz w:val="24"/>
        </w:rPr>
        <w:t>. All three feature AR order 8 — necessary to capture the very long memory of nominal interest rates (the autocorrelation function decays very slowly for r_t). Setting d = 0 rather than d = 1 avoids over-differencing: the series is highly persistent but ultimately mean-reverting around its long-run equilibrium level. ARIMA(8,0,2) is notable for combining the top AIC ranking with a substantially better BIC (520.24 vs 529.93), making it the most parsimonious of the three.</w:t>
      </w:r>
    </w:p>
    <w:p>
      <w:pPr>
        <w:pStyle w:val="Heading3"/>
      </w:pPr>
      <w:r>
        <w:t>2(a) — Forecast Plot</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fig2b_r_forecast.png"/>
                    <pic:cNvPicPr/>
                  </pic:nvPicPr>
                  <pic:blipFill>
                    <a:blip r:embed="rId12"/>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r>
        <w:rPr>
          <w:rFonts w:ascii="Calibri" w:hAnsi="Calibri"/>
          <w:b/>
          <w:color w:val="000000"/>
          <w:sz w:val="24"/>
        </w:rPr>
        <w:t>Inflation forecasts (h = 1 to 7 quarters ahead, 95% CI for ARIMA(2,0,10)):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ARIMA(2,0,10)</w:t>
            </w:r>
          </w:p>
        </w:tc>
        <w:tc>
          <w:tcPr>
            <w:tcW w:type="dxa" w:w="1440"/>
          </w:tcPr>
          <w:p>
            <w:r>
              <w:rPr>
                <w:rFonts w:ascii="Calibri" w:hAnsi="Calibri"/>
                <w:b/>
                <w:color w:val="000000"/>
                <w:sz w:val="24"/>
              </w:rPr>
              <w:t>ARIMA(4,0,9)</w:t>
            </w:r>
          </w:p>
        </w:tc>
        <w:tc>
          <w:tcPr>
            <w:tcW w:type="dxa" w:w="1440"/>
          </w:tcPr>
          <w:p>
            <w:r>
              <w:rPr>
                <w:rFonts w:ascii="Calibri" w:hAnsi="Calibri"/>
                <w:b/>
                <w:color w:val="000000"/>
                <w:sz w:val="24"/>
              </w:rPr>
              <w:t>ARIMA(2,0,9)</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0.00798</w:t>
            </w:r>
          </w:p>
        </w:tc>
        <w:tc>
          <w:tcPr>
            <w:tcW w:type="dxa" w:w="1440"/>
          </w:tcPr>
          <w:p>
            <w:r>
              <w:rPr>
                <w:rFonts w:ascii="Calibri" w:hAnsi="Calibri"/>
                <w:color w:val="000000"/>
                <w:sz w:val="24"/>
              </w:rPr>
              <w:t>0.00801</w:t>
            </w:r>
          </w:p>
        </w:tc>
        <w:tc>
          <w:tcPr>
            <w:tcW w:type="dxa" w:w="1440"/>
          </w:tcPr>
          <w:p>
            <w:r>
              <w:rPr>
                <w:rFonts w:ascii="Calibri" w:hAnsi="Calibri"/>
                <w:color w:val="000000"/>
                <w:sz w:val="24"/>
              </w:rPr>
              <w:t>0.00808</w:t>
            </w:r>
          </w:p>
        </w:tc>
        <w:tc>
          <w:tcPr>
            <w:tcW w:type="dxa" w:w="1440"/>
          </w:tcPr>
          <w:p>
            <w:r>
              <w:rPr>
                <w:rFonts w:ascii="Calibri" w:hAnsi="Calibri"/>
                <w:color w:val="000000"/>
                <w:sz w:val="24"/>
              </w:rPr>
              <w:t>0.00545</w:t>
            </w:r>
          </w:p>
        </w:tc>
        <w:tc>
          <w:tcPr>
            <w:tcW w:type="dxa" w:w="1440"/>
          </w:tcPr>
          <w:p>
            <w:r>
              <w:rPr>
                <w:rFonts w:ascii="Calibri" w:hAnsi="Calibri"/>
                <w:color w:val="000000"/>
                <w:sz w:val="24"/>
              </w:rPr>
              <w:t>0.01051</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0.00683</w:t>
            </w:r>
          </w:p>
        </w:tc>
        <w:tc>
          <w:tcPr>
            <w:tcW w:type="dxa" w:w="1440"/>
          </w:tcPr>
          <w:p>
            <w:r>
              <w:rPr>
                <w:rFonts w:ascii="Calibri" w:hAnsi="Calibri"/>
                <w:color w:val="000000"/>
                <w:sz w:val="24"/>
              </w:rPr>
              <w:t>0.00682</w:t>
            </w:r>
          </w:p>
        </w:tc>
        <w:tc>
          <w:tcPr>
            <w:tcW w:type="dxa" w:w="1440"/>
          </w:tcPr>
          <w:p>
            <w:r>
              <w:rPr>
                <w:rFonts w:ascii="Calibri" w:hAnsi="Calibri"/>
                <w:color w:val="000000"/>
                <w:sz w:val="24"/>
              </w:rPr>
              <w:t>0.00722</w:t>
            </w:r>
          </w:p>
        </w:tc>
        <w:tc>
          <w:tcPr>
            <w:tcW w:type="dxa" w:w="1440"/>
          </w:tcPr>
          <w:p>
            <w:r>
              <w:rPr>
                <w:rFonts w:ascii="Calibri" w:hAnsi="Calibri"/>
                <w:color w:val="000000"/>
                <w:sz w:val="24"/>
              </w:rPr>
              <w:t>0.00224</w:t>
            </w:r>
          </w:p>
        </w:tc>
        <w:tc>
          <w:tcPr>
            <w:tcW w:type="dxa" w:w="1440"/>
          </w:tcPr>
          <w:p>
            <w:r>
              <w:rPr>
                <w:rFonts w:ascii="Calibri" w:hAnsi="Calibri"/>
                <w:color w:val="000000"/>
                <w:sz w:val="24"/>
              </w:rPr>
              <w:t>0.01141</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0.00656</w:t>
            </w:r>
          </w:p>
        </w:tc>
        <w:tc>
          <w:tcPr>
            <w:tcW w:type="dxa" w:w="1440"/>
          </w:tcPr>
          <w:p>
            <w:r>
              <w:rPr>
                <w:rFonts w:ascii="Calibri" w:hAnsi="Calibri"/>
                <w:color w:val="000000"/>
                <w:sz w:val="24"/>
              </w:rPr>
              <w:t>0.00667</w:t>
            </w:r>
          </w:p>
        </w:tc>
        <w:tc>
          <w:tcPr>
            <w:tcW w:type="dxa" w:w="1440"/>
          </w:tcPr>
          <w:p>
            <w:r>
              <w:rPr>
                <w:rFonts w:ascii="Calibri" w:hAnsi="Calibri"/>
                <w:color w:val="000000"/>
                <w:sz w:val="24"/>
              </w:rPr>
              <w:t>0.00718</w:t>
            </w:r>
          </w:p>
        </w:tc>
        <w:tc>
          <w:tcPr>
            <w:tcW w:type="dxa" w:w="1440"/>
          </w:tcPr>
          <w:p>
            <w:r>
              <w:rPr>
                <w:rFonts w:ascii="Calibri" w:hAnsi="Calibri"/>
                <w:color w:val="000000"/>
                <w:sz w:val="24"/>
              </w:rPr>
              <w:t>0.00000</w:t>
            </w:r>
          </w:p>
        </w:tc>
        <w:tc>
          <w:tcPr>
            <w:tcW w:type="dxa" w:w="1440"/>
          </w:tcPr>
          <w:p>
            <w:r>
              <w:rPr>
                <w:rFonts w:ascii="Calibri" w:hAnsi="Calibri"/>
                <w:color w:val="000000"/>
                <w:sz w:val="24"/>
              </w:rPr>
              <w:t>0.01312</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0.00581</w:t>
            </w:r>
          </w:p>
        </w:tc>
        <w:tc>
          <w:tcPr>
            <w:tcW w:type="dxa" w:w="1440"/>
          </w:tcPr>
          <w:p>
            <w:r>
              <w:rPr>
                <w:rFonts w:ascii="Calibri" w:hAnsi="Calibri"/>
                <w:color w:val="000000"/>
                <w:sz w:val="24"/>
              </w:rPr>
              <w:t>0.00594</w:t>
            </w:r>
          </w:p>
        </w:tc>
        <w:tc>
          <w:tcPr>
            <w:tcW w:type="dxa" w:w="1440"/>
          </w:tcPr>
          <w:p>
            <w:r>
              <w:rPr>
                <w:rFonts w:ascii="Calibri" w:hAnsi="Calibri"/>
                <w:color w:val="000000"/>
                <w:sz w:val="24"/>
              </w:rPr>
              <w:t>0.00623</w:t>
            </w:r>
          </w:p>
        </w:tc>
        <w:tc>
          <w:tcPr>
            <w:tcW w:type="dxa" w:w="1440"/>
          </w:tcPr>
          <w:p>
            <w:r>
              <w:rPr>
                <w:rFonts w:ascii="Calibri" w:hAnsi="Calibri"/>
                <w:color w:val="000000"/>
                <w:sz w:val="24"/>
              </w:rPr>
              <w:t>−0.00304</w:t>
            </w:r>
          </w:p>
        </w:tc>
        <w:tc>
          <w:tcPr>
            <w:tcW w:type="dxa" w:w="1440"/>
          </w:tcPr>
          <w:p>
            <w:r>
              <w:rPr>
                <w:rFonts w:ascii="Calibri" w:hAnsi="Calibri"/>
                <w:color w:val="000000"/>
                <w:sz w:val="24"/>
              </w:rPr>
              <w:t>0.01466</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0.00604</w:t>
            </w:r>
          </w:p>
        </w:tc>
        <w:tc>
          <w:tcPr>
            <w:tcW w:type="dxa" w:w="1440"/>
          </w:tcPr>
          <w:p>
            <w:r>
              <w:rPr>
                <w:rFonts w:ascii="Calibri" w:hAnsi="Calibri"/>
                <w:color w:val="000000"/>
                <w:sz w:val="24"/>
              </w:rPr>
              <w:t>0.00650</w:t>
            </w:r>
          </w:p>
        </w:tc>
        <w:tc>
          <w:tcPr>
            <w:tcW w:type="dxa" w:w="1440"/>
          </w:tcPr>
          <w:p>
            <w:r>
              <w:rPr>
                <w:rFonts w:ascii="Calibri" w:hAnsi="Calibri"/>
                <w:color w:val="000000"/>
                <w:sz w:val="24"/>
              </w:rPr>
              <w:t>0.00655</w:t>
            </w:r>
          </w:p>
        </w:tc>
        <w:tc>
          <w:tcPr>
            <w:tcW w:type="dxa" w:w="1440"/>
          </w:tcPr>
          <w:p>
            <w:r>
              <w:rPr>
                <w:rFonts w:ascii="Calibri" w:hAnsi="Calibri"/>
                <w:color w:val="000000"/>
                <w:sz w:val="24"/>
              </w:rPr>
              <w:t>−0.00381</w:t>
            </w:r>
          </w:p>
        </w:tc>
        <w:tc>
          <w:tcPr>
            <w:tcW w:type="dxa" w:w="1440"/>
          </w:tcPr>
          <w:p>
            <w:r>
              <w:rPr>
                <w:rFonts w:ascii="Calibri" w:hAnsi="Calibri"/>
                <w:color w:val="000000"/>
                <w:sz w:val="24"/>
              </w:rPr>
              <w:t>0.01590</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0.00689</w:t>
            </w:r>
          </w:p>
        </w:tc>
        <w:tc>
          <w:tcPr>
            <w:tcW w:type="dxa" w:w="1440"/>
          </w:tcPr>
          <w:p>
            <w:r>
              <w:rPr>
                <w:rFonts w:ascii="Calibri" w:hAnsi="Calibri"/>
                <w:color w:val="000000"/>
                <w:sz w:val="24"/>
              </w:rPr>
              <w:t>0.00741</w:t>
            </w:r>
          </w:p>
        </w:tc>
        <w:tc>
          <w:tcPr>
            <w:tcW w:type="dxa" w:w="1440"/>
          </w:tcPr>
          <w:p>
            <w:r>
              <w:rPr>
                <w:rFonts w:ascii="Calibri" w:hAnsi="Calibri"/>
                <w:color w:val="000000"/>
                <w:sz w:val="24"/>
              </w:rPr>
              <w:t>0.00682</w:t>
            </w:r>
          </w:p>
        </w:tc>
        <w:tc>
          <w:tcPr>
            <w:tcW w:type="dxa" w:w="1440"/>
          </w:tcPr>
          <w:p>
            <w:r>
              <w:rPr>
                <w:rFonts w:ascii="Calibri" w:hAnsi="Calibri"/>
                <w:color w:val="000000"/>
                <w:sz w:val="24"/>
              </w:rPr>
              <w:t>−0.00378</w:t>
            </w:r>
          </w:p>
        </w:tc>
        <w:tc>
          <w:tcPr>
            <w:tcW w:type="dxa" w:w="1440"/>
          </w:tcPr>
          <w:p>
            <w:r>
              <w:rPr>
                <w:rFonts w:ascii="Calibri" w:hAnsi="Calibri"/>
                <w:color w:val="000000"/>
                <w:sz w:val="24"/>
              </w:rPr>
              <w:t>0.01756</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0.00737</w:t>
            </w:r>
          </w:p>
        </w:tc>
        <w:tc>
          <w:tcPr>
            <w:tcW w:type="dxa" w:w="1440"/>
          </w:tcPr>
          <w:p>
            <w:r>
              <w:rPr>
                <w:rFonts w:ascii="Calibri" w:hAnsi="Calibri"/>
                <w:color w:val="000000"/>
                <w:sz w:val="24"/>
              </w:rPr>
              <w:t>0.00807</w:t>
            </w:r>
          </w:p>
        </w:tc>
        <w:tc>
          <w:tcPr>
            <w:tcW w:type="dxa" w:w="1440"/>
          </w:tcPr>
          <w:p>
            <w:r>
              <w:rPr>
                <w:rFonts w:ascii="Calibri" w:hAnsi="Calibri"/>
                <w:color w:val="000000"/>
                <w:sz w:val="24"/>
              </w:rPr>
              <w:t>0.00711</w:t>
            </w:r>
          </w:p>
        </w:tc>
        <w:tc>
          <w:tcPr>
            <w:tcW w:type="dxa" w:w="1440"/>
          </w:tcPr>
          <w:p>
            <w:r>
              <w:rPr>
                <w:rFonts w:ascii="Calibri" w:hAnsi="Calibri"/>
                <w:color w:val="000000"/>
                <w:sz w:val="24"/>
              </w:rPr>
              <w:t>−0.00416</w:t>
            </w:r>
          </w:p>
        </w:tc>
        <w:tc>
          <w:tcPr>
            <w:tcW w:type="dxa" w:w="1440"/>
          </w:tcPr>
          <w:p>
            <w:r>
              <w:rPr>
                <w:rFonts w:ascii="Calibri" w:hAnsi="Calibri"/>
                <w:color w:val="000000"/>
                <w:sz w:val="24"/>
              </w:rPr>
              <w:t>0.01891</w:t>
            </w:r>
          </w:p>
        </w:tc>
      </w:tr>
    </w:tbl>
    <w:p/>
    <w:p>
      <w:r>
        <w:rPr>
          <w:rFonts w:ascii="Calibri" w:hAnsi="Calibri"/>
          <w:color w:val="000000"/>
          <w:sz w:val="24"/>
        </w:rPr>
        <w:t>All three inflation models quickly move away from the last observed value and converge toward the long-run mean (around 0.007–0.008). The 95% interval widens from ±0.00253 at h=1 to ±0.01154 at h=7, reflecting the accumulation of forecast uncertainty.</w:t>
      </w:r>
    </w:p>
    <w:p>
      <w:r>
        <w:rPr>
          <w:rFonts w:ascii="Calibri" w:hAnsi="Calibri"/>
          <w:b/>
          <w:color w:val="000000"/>
          <w:sz w:val="24"/>
        </w:rPr>
        <w:t>Interest rate forecasts (h = 1 to 7 quarters ahead, ARIMA(8,0,5) point forecasts):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Quarter</w:t>
            </w:r>
          </w:p>
        </w:tc>
        <w:tc>
          <w:tcPr>
            <w:tcW w:type="dxa" w:w="2160"/>
          </w:tcPr>
          <w:p>
            <w:r>
              <w:rPr>
                <w:rFonts w:ascii="Calibri" w:hAnsi="Calibri"/>
                <w:b/>
                <w:color w:val="000000"/>
                <w:sz w:val="24"/>
              </w:rPr>
              <w:t>ARIMA(8,0,5)</w:t>
            </w:r>
          </w:p>
        </w:tc>
        <w:tc>
          <w:tcPr>
            <w:tcW w:type="dxa" w:w="2160"/>
          </w:tcPr>
          <w:p>
            <w:r>
              <w:rPr>
                <w:rFonts w:ascii="Calibri" w:hAnsi="Calibri"/>
                <w:b/>
                <w:color w:val="000000"/>
                <w:sz w:val="24"/>
              </w:rPr>
              <w:t>95% CI lower</w:t>
            </w:r>
          </w:p>
        </w:tc>
        <w:tc>
          <w:tcPr>
            <w:tcW w:type="dxa" w:w="2160"/>
          </w:tcPr>
          <w:p>
            <w:r>
              <w:rPr>
                <w:rFonts w:ascii="Calibri" w:hAnsi="Calibri"/>
                <w:b/>
                <w:color w:val="000000"/>
                <w:sz w:val="24"/>
              </w:rPr>
              <w:t>95% CI upper</w:t>
            </w:r>
          </w:p>
        </w:tc>
      </w:tr>
      <w:tr>
        <w:tc>
          <w:tcPr>
            <w:tcW w:type="dxa" w:w="2160"/>
          </w:tcPr>
          <w:p>
            <w:r>
              <w:rPr>
                <w:rFonts w:ascii="Calibri" w:hAnsi="Calibri"/>
                <w:color w:val="000000"/>
                <w:sz w:val="24"/>
              </w:rPr>
              <w:t>2024Q1</w:t>
            </w:r>
          </w:p>
        </w:tc>
        <w:tc>
          <w:tcPr>
            <w:tcW w:type="dxa" w:w="2160"/>
          </w:tcPr>
          <w:p>
            <w:r>
              <w:rPr>
                <w:rFonts w:ascii="Calibri" w:hAnsi="Calibri"/>
                <w:color w:val="000000"/>
                <w:sz w:val="24"/>
              </w:rPr>
              <w:t>5.200</w:t>
            </w:r>
          </w:p>
        </w:tc>
        <w:tc>
          <w:tcPr>
            <w:tcW w:type="dxa" w:w="2160"/>
          </w:tcPr>
          <w:p>
            <w:r>
              <w:rPr>
                <w:rFonts w:ascii="Calibri" w:hAnsi="Calibri"/>
                <w:color w:val="000000"/>
                <w:sz w:val="24"/>
              </w:rPr>
              <w:t>4.053</w:t>
            </w:r>
          </w:p>
        </w:tc>
        <w:tc>
          <w:tcPr>
            <w:tcW w:type="dxa" w:w="2160"/>
          </w:tcPr>
          <w:p>
            <w:r>
              <w:rPr>
                <w:rFonts w:ascii="Calibri" w:hAnsi="Calibri"/>
                <w:color w:val="000000"/>
                <w:sz w:val="24"/>
              </w:rPr>
              <w:t>6.347</w:t>
            </w:r>
          </w:p>
        </w:tc>
      </w:tr>
      <w:tr>
        <w:tc>
          <w:tcPr>
            <w:tcW w:type="dxa" w:w="2160"/>
          </w:tcPr>
          <w:p>
            <w:r>
              <w:rPr>
                <w:rFonts w:ascii="Calibri" w:hAnsi="Calibri"/>
                <w:color w:val="000000"/>
                <w:sz w:val="24"/>
              </w:rPr>
              <w:t>2024Q2</w:t>
            </w:r>
          </w:p>
        </w:tc>
        <w:tc>
          <w:tcPr>
            <w:tcW w:type="dxa" w:w="2160"/>
          </w:tcPr>
          <w:p>
            <w:r>
              <w:rPr>
                <w:rFonts w:ascii="Calibri" w:hAnsi="Calibri"/>
                <w:color w:val="000000"/>
                <w:sz w:val="24"/>
              </w:rPr>
              <w:t>5.135</w:t>
            </w:r>
          </w:p>
        </w:tc>
        <w:tc>
          <w:tcPr>
            <w:tcW w:type="dxa" w:w="2160"/>
          </w:tcPr>
          <w:p>
            <w:r>
              <w:rPr>
                <w:rFonts w:ascii="Calibri" w:hAnsi="Calibri"/>
                <w:color w:val="000000"/>
                <w:sz w:val="24"/>
              </w:rPr>
              <w:t>3.095</w:t>
            </w:r>
          </w:p>
        </w:tc>
        <w:tc>
          <w:tcPr>
            <w:tcW w:type="dxa" w:w="2160"/>
          </w:tcPr>
          <w:p>
            <w:r>
              <w:rPr>
                <w:rFonts w:ascii="Calibri" w:hAnsi="Calibri"/>
                <w:color w:val="000000"/>
                <w:sz w:val="24"/>
              </w:rPr>
              <w:t>7.175</w:t>
            </w:r>
          </w:p>
        </w:tc>
      </w:tr>
      <w:tr>
        <w:tc>
          <w:tcPr>
            <w:tcW w:type="dxa" w:w="2160"/>
          </w:tcPr>
          <w:p>
            <w:r>
              <w:rPr>
                <w:rFonts w:ascii="Calibri" w:hAnsi="Calibri"/>
                <w:color w:val="000000"/>
                <w:sz w:val="24"/>
              </w:rPr>
              <w:t>2024Q3</w:t>
            </w:r>
          </w:p>
        </w:tc>
        <w:tc>
          <w:tcPr>
            <w:tcW w:type="dxa" w:w="2160"/>
          </w:tcPr>
          <w:p>
            <w:r>
              <w:rPr>
                <w:rFonts w:ascii="Calibri" w:hAnsi="Calibri"/>
                <w:color w:val="000000"/>
                <w:sz w:val="24"/>
              </w:rPr>
              <w:t>4.726</w:t>
            </w:r>
          </w:p>
        </w:tc>
        <w:tc>
          <w:tcPr>
            <w:tcW w:type="dxa" w:w="2160"/>
          </w:tcPr>
          <w:p>
            <w:r>
              <w:rPr>
                <w:rFonts w:ascii="Calibri" w:hAnsi="Calibri"/>
                <w:color w:val="000000"/>
                <w:sz w:val="24"/>
              </w:rPr>
              <w:t>2.231</w:t>
            </w:r>
          </w:p>
        </w:tc>
        <w:tc>
          <w:tcPr>
            <w:tcW w:type="dxa" w:w="2160"/>
          </w:tcPr>
          <w:p>
            <w:r>
              <w:rPr>
                <w:rFonts w:ascii="Calibri" w:hAnsi="Calibri"/>
                <w:color w:val="000000"/>
                <w:sz w:val="24"/>
              </w:rPr>
              <w:t>7.221</w:t>
            </w:r>
          </w:p>
        </w:tc>
      </w:tr>
      <w:tr>
        <w:tc>
          <w:tcPr>
            <w:tcW w:type="dxa" w:w="2160"/>
          </w:tcPr>
          <w:p>
            <w:r>
              <w:rPr>
                <w:rFonts w:ascii="Calibri" w:hAnsi="Calibri"/>
                <w:color w:val="000000"/>
                <w:sz w:val="24"/>
              </w:rPr>
              <w:t>2024Q4</w:t>
            </w:r>
          </w:p>
        </w:tc>
        <w:tc>
          <w:tcPr>
            <w:tcW w:type="dxa" w:w="2160"/>
          </w:tcPr>
          <w:p>
            <w:r>
              <w:rPr>
                <w:rFonts w:ascii="Calibri" w:hAnsi="Calibri"/>
                <w:color w:val="000000"/>
                <w:sz w:val="24"/>
              </w:rPr>
              <w:t>4.316</w:t>
            </w:r>
          </w:p>
        </w:tc>
        <w:tc>
          <w:tcPr>
            <w:tcW w:type="dxa" w:w="2160"/>
          </w:tcPr>
          <w:p>
            <w:r>
              <w:rPr>
                <w:rFonts w:ascii="Calibri" w:hAnsi="Calibri"/>
                <w:color w:val="000000"/>
                <w:sz w:val="24"/>
              </w:rPr>
              <w:t>1.349</w:t>
            </w:r>
          </w:p>
        </w:tc>
        <w:tc>
          <w:tcPr>
            <w:tcW w:type="dxa" w:w="2160"/>
          </w:tcPr>
          <w:p>
            <w:r>
              <w:rPr>
                <w:rFonts w:ascii="Calibri" w:hAnsi="Calibri"/>
                <w:color w:val="000000"/>
                <w:sz w:val="24"/>
              </w:rPr>
              <w:t>7.283</w:t>
            </w:r>
          </w:p>
        </w:tc>
      </w:tr>
      <w:tr>
        <w:tc>
          <w:tcPr>
            <w:tcW w:type="dxa" w:w="2160"/>
          </w:tcPr>
          <w:p>
            <w:r>
              <w:rPr>
                <w:rFonts w:ascii="Calibri" w:hAnsi="Calibri"/>
                <w:color w:val="000000"/>
                <w:sz w:val="24"/>
              </w:rPr>
              <w:t>2025Q1</w:t>
            </w:r>
          </w:p>
        </w:tc>
        <w:tc>
          <w:tcPr>
            <w:tcW w:type="dxa" w:w="2160"/>
          </w:tcPr>
          <w:p>
            <w:r>
              <w:rPr>
                <w:rFonts w:ascii="Calibri" w:hAnsi="Calibri"/>
                <w:color w:val="000000"/>
                <w:sz w:val="24"/>
              </w:rPr>
              <w:t>4.109</w:t>
            </w:r>
          </w:p>
        </w:tc>
        <w:tc>
          <w:tcPr>
            <w:tcW w:type="dxa" w:w="2160"/>
          </w:tcPr>
          <w:p>
            <w:r>
              <w:rPr>
                <w:rFonts w:ascii="Calibri" w:hAnsi="Calibri"/>
                <w:color w:val="000000"/>
                <w:sz w:val="24"/>
              </w:rPr>
              <w:t>0.679</w:t>
            </w:r>
          </w:p>
        </w:tc>
        <w:tc>
          <w:tcPr>
            <w:tcW w:type="dxa" w:w="2160"/>
          </w:tcPr>
          <w:p>
            <w:r>
              <w:rPr>
                <w:rFonts w:ascii="Calibri" w:hAnsi="Calibri"/>
                <w:color w:val="000000"/>
                <w:sz w:val="24"/>
              </w:rPr>
              <w:t>7.539</w:t>
            </w:r>
          </w:p>
        </w:tc>
      </w:tr>
      <w:tr>
        <w:tc>
          <w:tcPr>
            <w:tcW w:type="dxa" w:w="2160"/>
          </w:tcPr>
          <w:p>
            <w:r>
              <w:rPr>
                <w:rFonts w:ascii="Calibri" w:hAnsi="Calibri"/>
                <w:color w:val="000000"/>
                <w:sz w:val="24"/>
              </w:rPr>
              <w:t>2025Q2</w:t>
            </w:r>
          </w:p>
        </w:tc>
        <w:tc>
          <w:tcPr>
            <w:tcW w:type="dxa" w:w="2160"/>
          </w:tcPr>
          <w:p>
            <w:r>
              <w:rPr>
                <w:rFonts w:ascii="Calibri" w:hAnsi="Calibri"/>
                <w:color w:val="000000"/>
                <w:sz w:val="24"/>
              </w:rPr>
              <w:t>3.826</w:t>
            </w:r>
          </w:p>
        </w:tc>
        <w:tc>
          <w:tcPr>
            <w:tcW w:type="dxa" w:w="2160"/>
          </w:tcPr>
          <w:p>
            <w:r>
              <w:rPr>
                <w:rFonts w:ascii="Calibri" w:hAnsi="Calibri"/>
                <w:color w:val="000000"/>
                <w:sz w:val="24"/>
              </w:rPr>
              <w:t>0.018</w:t>
            </w:r>
          </w:p>
        </w:tc>
        <w:tc>
          <w:tcPr>
            <w:tcW w:type="dxa" w:w="2160"/>
          </w:tcPr>
          <w:p>
            <w:r>
              <w:rPr>
                <w:rFonts w:ascii="Calibri" w:hAnsi="Calibri"/>
                <w:color w:val="000000"/>
                <w:sz w:val="24"/>
              </w:rPr>
              <w:t>7.635</w:t>
            </w:r>
          </w:p>
        </w:tc>
      </w:tr>
      <w:tr>
        <w:tc>
          <w:tcPr>
            <w:tcW w:type="dxa" w:w="2160"/>
          </w:tcPr>
          <w:p>
            <w:r>
              <w:rPr>
                <w:rFonts w:ascii="Calibri" w:hAnsi="Calibri"/>
                <w:color w:val="000000"/>
                <w:sz w:val="24"/>
              </w:rPr>
              <w:t>2025Q3</w:t>
            </w:r>
          </w:p>
        </w:tc>
        <w:tc>
          <w:tcPr>
            <w:tcW w:type="dxa" w:w="2160"/>
          </w:tcPr>
          <w:p>
            <w:r>
              <w:rPr>
                <w:rFonts w:ascii="Calibri" w:hAnsi="Calibri"/>
                <w:color w:val="000000"/>
                <w:sz w:val="24"/>
              </w:rPr>
              <w:t>3.467</w:t>
            </w:r>
          </w:p>
        </w:tc>
        <w:tc>
          <w:tcPr>
            <w:tcW w:type="dxa" w:w="2160"/>
          </w:tcPr>
          <w:p>
            <w:r>
              <w:rPr>
                <w:rFonts w:ascii="Calibri" w:hAnsi="Calibri"/>
                <w:color w:val="000000"/>
                <w:sz w:val="24"/>
              </w:rPr>
              <w:t>−0.709</w:t>
            </w:r>
          </w:p>
        </w:tc>
        <w:tc>
          <w:tcPr>
            <w:tcW w:type="dxa" w:w="2160"/>
          </w:tcPr>
          <w:p>
            <w:r>
              <w:rPr>
                <w:rFonts w:ascii="Calibri" w:hAnsi="Calibri"/>
                <w:color w:val="000000"/>
                <w:sz w:val="24"/>
              </w:rPr>
              <w:t>7.642</w:t>
            </w:r>
          </w:p>
        </w:tc>
      </w:tr>
    </w:tbl>
    <w:p/>
    <w:p>
      <w:r>
        <w:rPr>
          <w:rFonts w:ascii="Calibri" w:hAnsi="Calibri"/>
          <w:color w:val="000000"/>
          <w:sz w:val="24"/>
        </w:rPr>
        <w:t>The interest rate forecast declines gradually from 5.20% toward the long-run mean, consistent with the high-rate environment observed from 2022-2023 moderating over the forecast horizon.</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for ARIMA(2,0,10) starts at a width of 0.00506 at h=1 and widens to 0.02307 at h=7, directly showing how much this accumulates. Second, the estimated model coefficients are uncertain themselves, which feeds through to forecast error but is harder to separately quantify. Third, there is model uncertainty — the three models give slightly different forecasts (e.g., at h=1 the range is 0.00798 to 0.00808),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0.00798</w:t>
            </w:r>
          </w:p>
        </w:tc>
        <w:tc>
          <w:tcPr>
            <w:tcW w:type="dxa" w:w="1728"/>
          </w:tcPr>
          <w:p>
            <w:r>
              <w:rPr>
                <w:rFonts w:ascii="Calibri" w:hAnsi="Calibri"/>
                <w:color w:val="000000"/>
                <w:sz w:val="24"/>
              </w:rPr>
              <w:t>0.00801</w:t>
            </w:r>
          </w:p>
        </w:tc>
        <w:tc>
          <w:tcPr>
            <w:tcW w:type="dxa" w:w="1728"/>
          </w:tcPr>
          <w:p>
            <w:r>
              <w:rPr>
                <w:rFonts w:ascii="Calibri" w:hAnsi="Calibri"/>
                <w:color w:val="000000"/>
                <w:sz w:val="24"/>
              </w:rPr>
              <w:t>0.00808</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0.00683</w:t>
            </w:r>
          </w:p>
        </w:tc>
        <w:tc>
          <w:tcPr>
            <w:tcW w:type="dxa" w:w="1728"/>
          </w:tcPr>
          <w:p>
            <w:r>
              <w:rPr>
                <w:rFonts w:ascii="Calibri" w:hAnsi="Calibri"/>
                <w:color w:val="000000"/>
                <w:sz w:val="24"/>
              </w:rPr>
              <w:t>0.00682</w:t>
            </w:r>
          </w:p>
        </w:tc>
        <w:tc>
          <w:tcPr>
            <w:tcW w:type="dxa" w:w="1728"/>
          </w:tcPr>
          <w:p>
            <w:r>
              <w:rPr>
                <w:rFonts w:ascii="Calibri" w:hAnsi="Calibri"/>
                <w:color w:val="000000"/>
                <w:sz w:val="24"/>
              </w:rPr>
              <w:t>0.00722</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0.00656</w:t>
            </w:r>
          </w:p>
        </w:tc>
        <w:tc>
          <w:tcPr>
            <w:tcW w:type="dxa" w:w="1728"/>
          </w:tcPr>
          <w:p>
            <w:r>
              <w:rPr>
                <w:rFonts w:ascii="Calibri" w:hAnsi="Calibri"/>
                <w:color w:val="000000"/>
                <w:sz w:val="24"/>
              </w:rPr>
              <w:t>0.00667</w:t>
            </w:r>
          </w:p>
        </w:tc>
        <w:tc>
          <w:tcPr>
            <w:tcW w:type="dxa" w:w="1728"/>
          </w:tcPr>
          <w:p>
            <w:r>
              <w:rPr>
                <w:rFonts w:ascii="Calibri" w:hAnsi="Calibri"/>
                <w:color w:val="000000"/>
                <w:sz w:val="24"/>
              </w:rPr>
              <w:t>0.00718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0.00581</w:t>
            </w:r>
          </w:p>
        </w:tc>
        <w:tc>
          <w:tcPr>
            <w:tcW w:type="dxa" w:w="1728"/>
          </w:tcPr>
          <w:p>
            <w:r>
              <w:rPr>
                <w:rFonts w:ascii="Calibri" w:hAnsi="Calibri"/>
                <w:color w:val="000000"/>
                <w:sz w:val="24"/>
              </w:rPr>
              <w:t>0.00594</w:t>
            </w:r>
          </w:p>
        </w:tc>
        <w:tc>
          <w:tcPr>
            <w:tcW w:type="dxa" w:w="1728"/>
          </w:tcPr>
          <w:p>
            <w:r>
              <w:rPr>
                <w:rFonts w:ascii="Calibri" w:hAnsi="Calibri"/>
                <w:color w:val="000000"/>
                <w:sz w:val="24"/>
              </w:rPr>
              <w:t>0.00623</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0.00604</w:t>
            </w:r>
          </w:p>
        </w:tc>
        <w:tc>
          <w:tcPr>
            <w:tcW w:type="dxa" w:w="1728"/>
          </w:tcPr>
          <w:p>
            <w:r>
              <w:rPr>
                <w:rFonts w:ascii="Calibri" w:hAnsi="Calibri"/>
                <w:color w:val="000000"/>
                <w:sz w:val="24"/>
              </w:rPr>
              <w:t>0.00650</w:t>
            </w:r>
          </w:p>
        </w:tc>
        <w:tc>
          <w:tcPr>
            <w:tcW w:type="dxa" w:w="1728"/>
          </w:tcPr>
          <w:p>
            <w:r>
              <w:rPr>
                <w:rFonts w:ascii="Calibri" w:hAnsi="Calibri"/>
                <w:color w:val="000000"/>
                <w:sz w:val="24"/>
              </w:rPr>
              <w:t>0.00655</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0.00689</w:t>
            </w:r>
          </w:p>
        </w:tc>
        <w:tc>
          <w:tcPr>
            <w:tcW w:type="dxa" w:w="1728"/>
          </w:tcPr>
          <w:p>
            <w:r>
              <w:rPr>
                <w:rFonts w:ascii="Calibri" w:hAnsi="Calibri"/>
                <w:color w:val="000000"/>
                <w:sz w:val="24"/>
              </w:rPr>
              <w:t>0.00741</w:t>
            </w:r>
          </w:p>
        </w:tc>
        <w:tc>
          <w:tcPr>
            <w:tcW w:type="dxa" w:w="1728"/>
          </w:tcPr>
          <w:p>
            <w:r>
              <w:rPr>
                <w:rFonts w:ascii="Calibri" w:hAnsi="Calibri"/>
                <w:color w:val="000000"/>
                <w:sz w:val="24"/>
              </w:rPr>
              <w:t>0.00682</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0.00737</w:t>
            </w:r>
          </w:p>
        </w:tc>
        <w:tc>
          <w:tcPr>
            <w:tcW w:type="dxa" w:w="1728"/>
          </w:tcPr>
          <w:p>
            <w:r>
              <w:rPr>
                <w:rFonts w:ascii="Calibri" w:hAnsi="Calibri"/>
                <w:color w:val="000000"/>
                <w:sz w:val="24"/>
              </w:rPr>
              <w:t>0.00807</w:t>
            </w:r>
          </w:p>
        </w:tc>
        <w:tc>
          <w:tcPr>
            <w:tcW w:type="dxa" w:w="1728"/>
          </w:tcPr>
          <w:p>
            <w:r>
              <w:rPr>
                <w:rFonts w:ascii="Calibri" w:hAnsi="Calibri"/>
                <w:color w:val="000000"/>
                <w:sz w:val="24"/>
              </w:rPr>
              <w:t>0.00711</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ARIMA(2,0,9) performs best on both MSFE and MAE — roughly 60% lower error than ARIMA(2,0,10). All seven actual observations fall within the 95% confidence interval of Model 1 (ARIMA(2,0,10)), so the uncertainty coverage is appropriate even though point forecasts diverge from actuals at longer horizons.</w:t>
      </w:r>
    </w:p>
    <w:p>
      <w:r>
        <w:rPr>
          <w:rFonts w:ascii="Calibri" w:hAnsi="Calibri"/>
          <w:color w:val="000000"/>
          <w:sz w:val="24"/>
        </w:rPr>
        <w:t>The models perform well at h=1 (ARIMA(2,0,10) achieves near-perfect 2024Q1 forecast) but diverge at longer horizons. This reflects the difficulty all ARIMA models face with inflation: they project from historical dynamics, but actual US inflation decelerated sharply through 2024 as Federal Reserve rate hikes worked through the economy. ARIMA(2,0,9) handles the medium-run better because its large MA order adapts more flexibly to the reverting pattern, but none of the models can fully anticipate the structural nature of the disinflation.</w:t>
      </w:r>
    </w:p>
    <w:p>
      <w:r>
        <w:br w:type="page"/>
      </w:r>
    </w:p>
    <w:p>
      <w:pPr>
        <w:pStyle w:val="Heading2"/>
      </w:pPr>
      <w:r>
        <w:t>Question 4</w:t>
      </w:r>
    </w:p>
    <w:p>
      <w:pPr>
        <w:pStyle w:val="Heading3"/>
      </w:pPr>
      <w:r>
        <w:t>4(a) —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real interest rate is constructed as rr_t = r_t − 100·Δp_t, converting the quarterly log-difference of the price level to the same percentage-point scale as the nominal rate r_t. The series ranges from −1.74% to 12.40% with a sample mean of 3.42%. The plot shows the now-familiar macroeconomic pattern: sharply rising real rates during the Volcker disinflation of 1979–1982 (peak ~12%), a gradual decline through the 1990s and 2000s, a period of negative real rates after the 2008 Global Financial Crisis as the Fed held rates near the zero lower bound, and a renewed surge from 2022 as the Fed tightened aggressively against post-pandemic inflation. The series oscillates around its positive long-run mean without trending, consistent with stationarity.</w:t>
      </w:r>
    </w:p>
    <w:p>
      <w:r>
        <w:rPr>
          <w:rFonts w:ascii="Calibri" w:hAnsi="Calibri"/>
          <w:b/>
          <w:color w:val="000000"/>
          <w:sz w:val="24"/>
        </w:rPr>
        <w:t>Integration order of rr_t — justifying d = 0:</w:t>
      </w:r>
    </w:p>
    <w:p>
      <w:r>
        <w:rPr>
          <w:rFonts w:ascii="Calibri" w:hAnsi="Calibri"/>
          <w:color w:val="000000"/>
          <w:sz w:val="24"/>
        </w:rPr>
        <w:t>The Augmented Dickey-Fuller test (</w:t>
      </w:r>
      <m:oMath>
        <m:r>
          <m:t>H</m:t>
        </m:r>
        <m:r>
          <m:t>₀</m:t>
        </m:r>
      </m:oMath>
      <w:r>
        <w:rPr>
          <w:rFonts w:ascii="Calibri" w:hAnsi="Calibri"/>
          <w:color w:val="000000"/>
          <w:sz w:val="24"/>
        </w:rPr>
        <w:t>: unit root, lag order 6) gives a test statistic of −2.981 with p-value = 0.163 — insufficient to reject the unit root hypothesis at the 5% or even 10% level.</w:t>
      </w:r>
    </w:p>
    <w:p>
      <w:r>
        <w:rPr>
          <w:rFonts w:ascii="Calibri" w:hAnsi="Calibri"/>
          <w:color w:val="000000"/>
          <w:sz w:val="24"/>
        </w:rPr>
        <w:t xml:space="preserve">Despite this, </w:t>
      </w:r>
      <w:r>
        <w:rPr>
          <w:rFonts w:ascii="Calibri" w:hAnsi="Calibri"/>
          <w:b/>
          <w:color w:val="000000"/>
          <w:sz w:val="24"/>
        </w:rPr>
        <w:t>d = 0 is set</w:t>
      </w:r>
      <w:r>
        <w:rPr>
          <w:rFonts w:ascii="Calibri" w:hAnsi="Calibri"/>
          <w:color w:val="000000"/>
          <w:sz w:val="24"/>
        </w:rPr>
        <w:t xml:space="preserve">, primarily on the grounds of the </w:t>
      </w:r>
      <w:r>
        <w:rPr>
          <w:rFonts w:ascii="Calibri" w:hAnsi="Calibri"/>
          <w:b/>
          <w:color w:val="000000"/>
          <w:sz w:val="24"/>
        </w:rPr>
        <w:t>Fisher hypothesis</w:t>
      </w:r>
      <w:r>
        <w:rPr>
          <w:rFonts w:ascii="Calibri" w:hAnsi="Calibri"/>
          <w:color w:val="000000"/>
          <w:sz w:val="24"/>
        </w:rPr>
        <w:t>. The Fisher equation decomposes the nominal interest rate as r_t = rr_t + E[π_t], where E[π_t] is expected inflation. If both r_t and Δp_t are driven by I(1) forces, then the real rate rr_t = r_t − 100·Δp_t should be a stationary cointegrating residual — a linear combination of two near-I(1) series that cancels the common stochastic trend. This means rr_t is theoretically I(0), regardless of what formal tests suggest. A unit root in rr_t would imply real interest rates drift without bound, which contradicts monetary equilibrium and the existence of a neutral real rate.</w:t>
      </w:r>
    </w:p>
    <w:p>
      <w:r>
        <w:rPr>
          <w:rFonts w:ascii="Calibri" w:hAnsi="Calibri"/>
          <w:color w:val="000000"/>
          <w:sz w:val="24"/>
        </w:rPr>
        <w:t>From a purely statistical perspective, the ADF failure to reject is entirely consistent with near-unit-root I(0): the test has very low power when persistence is close to one, and the plot confirms rr_t oscillates around a positive mean (~3.4%) without any secular drift. Setting d = 0 and using a high-order ARMA model to capture the persistence is therefore the correct approach.</w:t>
      </w:r>
    </w:p>
    <w:p>
      <w:r>
        <w:rPr>
          <w:rFonts w:ascii="Calibri" w:hAnsi="Calibri"/>
          <w:b/>
          <w:color w:val="000000"/>
          <w:sz w:val="24"/>
        </w:rPr>
        <w:t>Model selection (d = 0, wide grid p, q = 0,...,10):</w:t>
      </w:r>
    </w:p>
    <w:p>
      <w:r>
        <w:rPr>
          <w:rFonts w:ascii="Calibri" w:hAnsi="Calibri"/>
          <w:color w:val="000000"/>
          <w:sz w:val="24"/>
        </w:rPr>
        <w:t>ARIMA(8, 0, 1) is selected — it achieves the lowest AIC (463.82) across all 121 models and is also second-best by BIC (502.94), placing it in the intersection of both criteria. Residual diagnostics: Ljung-Box p = 1.00 (lags 1–10), confirming adequate fit.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Parameter</w:t>
            </w:r>
          </w:p>
        </w:tc>
        <w:tc>
          <w:tcPr>
            <w:tcW w:type="dxa" w:w="4320"/>
          </w:tcPr>
          <w:p>
            <w:r>
              <w:rPr>
                <w:rFonts w:ascii="Calibri" w:hAnsi="Calibri"/>
                <w:b/>
                <w:color w:val="000000"/>
                <w:sz w:val="24"/>
              </w:rPr>
              <w:t>Estimate</w:t>
            </w:r>
          </w:p>
        </w:tc>
      </w:tr>
      <w:tr>
        <w:tc>
          <w:tcPr>
            <w:tcW w:type="dxa" w:w="4320"/>
          </w:tcPr>
          <w:p>
            <w:r>
              <w:rPr>
                <w:rFonts w:ascii="Calibri" w:hAnsi="Calibri"/>
                <w:color w:val="000000"/>
                <w:sz w:val="24"/>
              </w:rPr>
              <w:t>a</w:t>
            </w:r>
            <m:oMath>
              <m:r>
                <m:t>r</m:t>
              </m:r>
              <m:r>
                <m:t>₁</m:t>
              </m:r>
            </m:oMath>
          </w:p>
        </w:tc>
        <w:tc>
          <w:tcPr>
            <w:tcW w:type="dxa" w:w="4320"/>
          </w:tcPr>
          <w:p>
            <w:r>
              <w:rPr>
                <w:rFonts w:ascii="Calibri" w:hAnsi="Calibri"/>
                <w:color w:val="000000"/>
                <w:sz w:val="24"/>
              </w:rPr>
              <w:t>0.577</w:t>
            </w:r>
          </w:p>
        </w:tc>
      </w:tr>
      <w:tr>
        <w:tc>
          <w:tcPr>
            <w:tcW w:type="dxa" w:w="4320"/>
          </w:tcPr>
          <w:p>
            <w:r>
              <w:rPr>
                <w:rFonts w:ascii="Calibri" w:hAnsi="Calibri"/>
                <w:color w:val="000000"/>
                <w:sz w:val="24"/>
              </w:rPr>
              <w:t>a</w:t>
            </w:r>
            <m:oMath>
              <m:r>
                <m:t>r</m:t>
              </m:r>
              <m:r>
                <m:t>₂</m:t>
              </m:r>
            </m:oMath>
          </w:p>
        </w:tc>
        <w:tc>
          <w:tcPr>
            <w:tcW w:type="dxa" w:w="4320"/>
          </w:tcPr>
          <w:p>
            <w:r>
              <w:rPr>
                <w:rFonts w:ascii="Calibri" w:hAnsi="Calibri"/>
                <w:color w:val="000000"/>
                <w:sz w:val="24"/>
              </w:rPr>
              <w:t>0.347</w:t>
            </w:r>
          </w:p>
        </w:tc>
      </w:tr>
      <w:tr>
        <w:tc>
          <w:tcPr>
            <w:tcW w:type="dxa" w:w="4320"/>
          </w:tcPr>
          <w:p>
            <w:r>
              <w:rPr>
                <w:rFonts w:ascii="Calibri" w:hAnsi="Calibri"/>
                <w:color w:val="000000"/>
                <w:sz w:val="24"/>
              </w:rPr>
              <w:t>a</w:t>
            </w:r>
            <m:oMath>
              <m:r>
                <m:t>r</m:t>
              </m:r>
              <m:r>
                <m:t>₃</m:t>
              </m:r>
            </m:oMath>
          </w:p>
        </w:tc>
        <w:tc>
          <w:tcPr>
            <w:tcW w:type="dxa" w:w="4320"/>
          </w:tcPr>
          <w:p>
            <w:r>
              <w:rPr>
                <w:rFonts w:ascii="Calibri" w:hAnsi="Calibri"/>
                <w:color w:val="000000"/>
                <w:sz w:val="24"/>
              </w:rPr>
              <w:t>0.054</w:t>
            </w:r>
          </w:p>
        </w:tc>
      </w:tr>
      <w:tr>
        <w:tc>
          <w:tcPr>
            <w:tcW w:type="dxa" w:w="4320"/>
          </w:tcPr>
          <w:p>
            <w:r>
              <w:rPr>
                <w:rFonts w:ascii="Calibri" w:hAnsi="Calibri"/>
                <w:color w:val="000000"/>
                <w:sz w:val="24"/>
              </w:rPr>
              <w:t>a</w:t>
            </w:r>
            <m:oMath>
              <m:r>
                <m:t>r</m:t>
              </m:r>
              <m:r>
                <m:t>₄</m:t>
              </m:r>
            </m:oMath>
          </w:p>
        </w:tc>
        <w:tc>
          <w:tcPr>
            <w:tcW w:type="dxa" w:w="4320"/>
          </w:tcPr>
          <w:p>
            <w:r>
              <w:rPr>
                <w:rFonts w:ascii="Calibri" w:hAnsi="Calibri"/>
                <w:color w:val="000000"/>
                <w:sz w:val="24"/>
              </w:rPr>
              <w:t>0.109</w:t>
            </w:r>
          </w:p>
        </w:tc>
      </w:tr>
      <w:tr>
        <w:tc>
          <w:tcPr>
            <w:tcW w:type="dxa" w:w="4320"/>
          </w:tcPr>
          <w:p>
            <w:r>
              <w:rPr>
                <w:rFonts w:ascii="Calibri" w:hAnsi="Calibri"/>
                <w:color w:val="000000"/>
                <w:sz w:val="24"/>
              </w:rPr>
              <w:t>a</w:t>
            </w:r>
            <m:oMath>
              <m:r>
                <m:t>r</m:t>
              </m:r>
              <m:r>
                <m:t>₅</m:t>
              </m:r>
            </m:oMath>
          </w:p>
        </w:tc>
        <w:tc>
          <w:tcPr>
            <w:tcW w:type="dxa" w:w="4320"/>
          </w:tcPr>
          <w:p>
            <w:r>
              <w:rPr>
                <w:rFonts w:ascii="Calibri" w:hAnsi="Calibri"/>
                <w:color w:val="000000"/>
                <w:sz w:val="24"/>
              </w:rPr>
              <w:t>−0.120</w:t>
            </w:r>
          </w:p>
        </w:tc>
      </w:tr>
      <w:tr>
        <w:tc>
          <w:tcPr>
            <w:tcW w:type="dxa" w:w="4320"/>
          </w:tcPr>
          <w:p>
            <w:r>
              <w:rPr>
                <w:rFonts w:ascii="Calibri" w:hAnsi="Calibri"/>
                <w:color w:val="000000"/>
                <w:sz w:val="24"/>
              </w:rPr>
              <w:t>a</w:t>
            </w:r>
            <m:oMath>
              <m:r>
                <m:t>r</m:t>
              </m:r>
              <m:r>
                <m:t>₆</m:t>
              </m:r>
            </m:oMath>
          </w:p>
        </w:tc>
        <w:tc>
          <w:tcPr>
            <w:tcW w:type="dxa" w:w="4320"/>
          </w:tcPr>
          <w:p>
            <w:r>
              <w:rPr>
                <w:rFonts w:ascii="Calibri" w:hAnsi="Calibri"/>
                <w:color w:val="000000"/>
                <w:sz w:val="24"/>
              </w:rPr>
              <w:t>0.069</w:t>
            </w:r>
          </w:p>
        </w:tc>
      </w:tr>
      <w:tr>
        <w:tc>
          <w:tcPr>
            <w:tcW w:type="dxa" w:w="4320"/>
          </w:tcPr>
          <w:p>
            <w:r>
              <w:rPr>
                <w:rFonts w:ascii="Calibri" w:hAnsi="Calibri"/>
                <w:color w:val="000000"/>
                <w:sz w:val="24"/>
              </w:rPr>
              <w:t>a</w:t>
            </w:r>
            <m:oMath>
              <m:r>
                <m:t>r</m:t>
              </m:r>
              <m:r>
                <m:t>₇</m:t>
              </m:r>
            </m:oMath>
          </w:p>
        </w:tc>
        <w:tc>
          <w:tcPr>
            <w:tcW w:type="dxa" w:w="4320"/>
          </w:tcPr>
          <w:p>
            <w:r>
              <w:rPr>
                <w:rFonts w:ascii="Calibri" w:hAnsi="Calibri"/>
                <w:color w:val="000000"/>
                <w:sz w:val="24"/>
              </w:rPr>
              <w:t>−0.390</w:t>
            </w:r>
          </w:p>
        </w:tc>
      </w:tr>
      <w:tr>
        <w:tc>
          <w:tcPr>
            <w:tcW w:type="dxa" w:w="4320"/>
          </w:tcPr>
          <w:p>
            <w:r>
              <w:rPr>
                <w:rFonts w:ascii="Calibri" w:hAnsi="Calibri"/>
                <w:color w:val="000000"/>
                <w:sz w:val="24"/>
              </w:rPr>
              <w:t>a</w:t>
            </w:r>
            <m:oMath>
              <m:r>
                <m:t>r</m:t>
              </m:r>
              <m:r>
                <m:t>₈</m:t>
              </m:r>
            </m:oMath>
          </w:p>
        </w:tc>
        <w:tc>
          <w:tcPr>
            <w:tcW w:type="dxa" w:w="4320"/>
          </w:tcPr>
          <w:p>
            <w:r>
              <w:rPr>
                <w:rFonts w:ascii="Calibri" w:hAnsi="Calibri"/>
                <w:color w:val="000000"/>
                <w:sz w:val="24"/>
              </w:rPr>
              <w:t>0.294</w:t>
            </w:r>
          </w:p>
        </w:tc>
      </w:tr>
      <w:tr>
        <w:tc>
          <w:tcPr>
            <w:tcW w:type="dxa" w:w="4320"/>
          </w:tcPr>
          <w:p>
            <w:r>
              <w:rPr>
                <w:rFonts w:ascii="Calibri" w:hAnsi="Calibri"/>
                <w:color w:val="000000"/>
                <w:sz w:val="24"/>
              </w:rPr>
              <w:t>m</w:t>
            </w:r>
            <m:oMath>
              <m:r>
                <m:t>a</m:t>
              </m:r>
              <m:r>
                <m:t>₁</m:t>
              </m:r>
            </m:oMath>
          </w:p>
        </w:tc>
        <w:tc>
          <w:tcPr>
            <w:tcW w:type="dxa" w:w="4320"/>
          </w:tcPr>
          <w:p>
            <w:r>
              <w:rPr>
                <w:rFonts w:ascii="Calibri" w:hAnsi="Calibri"/>
                <w:color w:val="000000"/>
                <w:sz w:val="24"/>
              </w:rPr>
              <w:t>0.870</w:t>
            </w:r>
          </w:p>
        </w:tc>
      </w:tr>
      <w:tr>
        <w:tc>
          <w:tcPr>
            <w:tcW w:type="dxa" w:w="4320"/>
          </w:tcPr>
          <w:p>
            <w:r>
              <w:rPr>
                <w:rFonts w:ascii="Calibri" w:hAnsi="Calibri"/>
                <w:color w:val="000000"/>
                <w:sz w:val="24"/>
              </w:rPr>
              <w:t>intercept</w:t>
            </w:r>
          </w:p>
        </w:tc>
        <w:tc>
          <w:tcPr>
            <w:tcW w:type="dxa" w:w="4320"/>
          </w:tcPr>
          <w:p>
            <w:r>
              <w:rPr>
                <w:rFonts w:ascii="Calibri" w:hAnsi="Calibri"/>
                <w:color w:val="000000"/>
                <w:sz w:val="24"/>
              </w:rPr>
              <w:t>3.350</w:t>
            </w:r>
          </w:p>
        </w:tc>
      </w:tr>
    </w:tbl>
    <w:p/>
    <w:p>
      <w:r>
        <w:rPr>
          <w:rFonts w:ascii="Calibri" w:hAnsi="Calibri"/>
          <w:color w:val="000000"/>
          <w:sz w:val="24"/>
        </w:rPr>
        <w:t>The eight AR lags are needed to capture the very high persistence and cyclical reversion in real interest rates — policy regimes generate long autocorrelation structures that low-order models cannot span. The MA(1) term picks up the residual short-run shock dynamics. The intercept (3.35) estimates the long-run unconditional mean of the real interest rate.</w:t>
      </w:r>
    </w:p>
    <w:p>
      <w:pPr>
        <w:pStyle w:val="Heading3"/>
      </w:pPr>
      <w:r>
        <w:t>4(b) —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1.5527</w:t>
            </w:r>
          </w:p>
        </w:tc>
        <w:tc>
          <w:tcPr>
            <w:tcW w:type="dxa" w:w="1440"/>
          </w:tcPr>
          <w:p>
            <w:r>
              <w:rPr>
                <w:rFonts w:ascii="Calibri" w:hAnsi="Calibri"/>
                <w:color w:val="000000"/>
                <w:sz w:val="24"/>
              </w:rPr>
              <w:t>1.5777</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color w:val="000000"/>
          <w:sz w:val="24"/>
        </w:rPr>
        <w:t>sGARCH(1,2) means 1 ARCH lag (</w:t>
      </w:r>
      <m:oMath>
        <m:r>
          <m:t>α</m:t>
        </m:r>
        <m:r>
          <m:t>₁</m:t>
        </m:r>
      </m:oMath>
      <w:r>
        <w:rPr>
          <w:rFonts w:ascii="Calibri" w:hAnsi="Calibri"/>
          <w:color w:val="000000"/>
          <w:sz w:val="24"/>
        </w:rPr>
        <w:t>) and 2 GARCH lags (</w:t>
      </w:r>
      <m:oMath>
        <m:r>
          <m:t>β</m:t>
        </m:r>
        <m:r>
          <m:t>₁</m:t>
        </m:r>
      </m:oMath>
      <w:r>
        <w:rPr>
          <w:rFonts w:ascii="Calibri" w:hAnsi="Calibri"/>
          <w:color w:val="000000"/>
          <w:sz w:val="24"/>
        </w:rPr>
        <w:t xml:space="preserve">, </w:t>
      </w:r>
      <m:oMath>
        <m:r>
          <m:t>β</m:t>
        </m:r>
        <m:r>
          <m:t>₂</m:t>
        </m:r>
      </m:oMath>
      <w:r>
        <w:rPr>
          <w:rFonts w:ascii="Calibri" w:hAnsi="Calibri"/>
          <w:color w:val="000000"/>
          <w:sz w:val="24"/>
        </w:rPr>
        <w:t>); sGARCH(2,2) means 2 ARCH lags and 2 GARCH lags.</w:t>
      </w:r>
    </w:p>
    <w:p>
      <w:r>
        <w:rPr>
          <w:rFonts w:ascii="Calibri" w:hAnsi="Calibri"/>
          <w:b/>
          <w:color w:val="000000"/>
          <w:sz w:val="24"/>
        </w:rPr>
        <w:t>Estimated coefficients:</w:t>
      </w:r>
    </w:p>
    <w:p>
      <w:r>
        <w:rPr>
          <w:rFonts w:ascii="Calibri" w:hAnsi="Calibri"/>
          <w:color w:val="000000"/>
          <w:sz w:val="24"/>
        </w:rPr>
        <w:t xml:space="preserve">*CNY:* </w:t>
      </w:r>
      <m:oMath>
        <m:r>
          <m:t>μ</m:t>
        </m:r>
      </m:oMath>
      <w:r>
        <w:rPr>
          <w:rFonts w:ascii="Calibri" w:hAnsi="Calibri"/>
          <w:color w:val="000000"/>
          <w:sz w:val="24"/>
        </w:rPr>
        <w:t xml:space="preserve"> = −0.005, a</w:t>
      </w:r>
      <m:oMath>
        <m:r>
          <m:t>r</m:t>
        </m:r>
        <m:r>
          <m:t>₁</m:t>
        </m:r>
      </m:oMath>
      <w:r>
        <w:rPr>
          <w:rFonts w:ascii="Calibri" w:hAnsi="Calibri"/>
          <w:color w:val="000000"/>
          <w:sz w:val="24"/>
        </w:rPr>
        <w:t xml:space="preserve"> = 1.824, a</w:t>
      </w:r>
      <m:oMath>
        <m:r>
          <m:t>r</m:t>
        </m:r>
        <m:r>
          <m:t>₂</m:t>
        </m:r>
      </m:oMath>
      <w:r>
        <w:rPr>
          <w:rFonts w:ascii="Calibri" w:hAnsi="Calibri"/>
          <w:color w:val="000000"/>
          <w:sz w:val="24"/>
        </w:rPr>
        <w:t xml:space="preserve"> = −0.827, m</w:t>
      </w:r>
      <m:oMath>
        <m:r>
          <m:t>a</m:t>
        </m:r>
        <m:r>
          <m:t>₁</m:t>
        </m:r>
      </m:oMath>
      <w:r>
        <w:rPr>
          <w:rFonts w:ascii="Calibri" w:hAnsi="Calibri"/>
          <w:color w:val="000000"/>
          <w:sz w:val="24"/>
        </w:rPr>
        <w:t xml:space="preserve"> = −1.867, m</w:t>
      </w:r>
      <m:oMath>
        <m:r>
          <m:t>a</m:t>
        </m:r>
        <m:r>
          <m:t>₂</m:t>
        </m:r>
      </m:oMath>
      <w:r>
        <w:rPr>
          <w:rFonts w:ascii="Calibri" w:hAnsi="Calibri"/>
          <w:color w:val="000000"/>
          <w:sz w:val="24"/>
        </w:rPr>
        <w:t xml:space="preserve"> = 0.867, </w:t>
      </w:r>
      <m:oMath>
        <m:r>
          <m:t>ω</m:t>
        </m:r>
      </m:oMath>
      <w:r>
        <w:rPr>
          <w:rFonts w:ascii="Calibri" w:hAnsi="Calibri"/>
          <w:color w:val="000000"/>
          <w:sz w:val="24"/>
        </w:rPr>
        <w:t xml:space="preserve"> = 0.0243, </w:t>
      </w:r>
      <m:oMath>
        <m:r>
          <m:t>α</m:t>
        </m:r>
        <m:r>
          <m:t>₁</m:t>
        </m:r>
      </m:oMath>
      <w:r>
        <w:rPr>
          <w:rFonts w:ascii="Calibri" w:hAnsi="Calibri"/>
          <w:color w:val="000000"/>
          <w:sz w:val="24"/>
        </w:rPr>
        <w:t xml:space="preserve"> = 0.136, </w:t>
      </w:r>
      <m:oMath>
        <m:r>
          <m:t>β</m:t>
        </m:r>
        <m:r>
          <m:t>₁</m:t>
        </m:r>
      </m:oMath>
      <w:r>
        <w:rPr>
          <w:rFonts w:ascii="Calibri" w:hAnsi="Calibri"/>
          <w:color w:val="000000"/>
          <w:sz w:val="24"/>
        </w:rPr>
        <w:t xml:space="preserve"> = 0.345, </w:t>
      </w:r>
      <m:oMath>
        <m:r>
          <m:t>β</m:t>
        </m:r>
        <m:r>
          <m:t>₂</m:t>
        </m:r>
      </m:oMath>
      <w:r>
        <w:rPr>
          <w:rFonts w:ascii="Calibri" w:hAnsi="Calibri"/>
          <w:color w:val="000000"/>
          <w:sz w:val="24"/>
        </w:rPr>
        <w:t xml:space="preserve"> = 0.439</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LB on z (p)</w:t>
            </w:r>
          </w:p>
        </w:tc>
        <w:tc>
          <w:tcPr>
            <w:tcW w:type="dxa" w:w="1728"/>
          </w:tcPr>
          <w:p>
            <w:r>
              <w:rPr>
                <w:rFonts w:ascii="Calibri" w:hAnsi="Calibri"/>
                <w:b/>
                <w:color w:val="000000"/>
                <w:sz w:val="24"/>
              </w:rPr>
              <w:t>LB on z² (p)</w:t>
            </w:r>
          </w:p>
        </w:tc>
        <w:tc>
          <w:tcPr>
            <w:tcW w:type="dxa" w:w="1728"/>
          </w:tcPr>
          <w:p>
            <w:r>
              <w:rPr>
                <w:rFonts w:ascii="Calibri" w:hAnsi="Calibri"/>
                <w:b/>
                <w:color w:val="000000"/>
                <w:sz w:val="24"/>
              </w:rPr>
              <w:t>Mean adequate?</w:t>
            </w:r>
          </w:p>
        </w:tc>
        <w:tc>
          <w:tcPr>
            <w:tcW w:type="dxa" w:w="1728"/>
          </w:tcPr>
          <w:p>
            <w:r>
              <w:rPr>
                <w:rFonts w:ascii="Calibri" w:hAnsi="Calibri"/>
                <w:b/>
                <w:color w:val="000000"/>
                <w:sz w:val="24"/>
              </w:rPr>
              <w:t>Variance adequate?</w:t>
            </w:r>
          </w:p>
        </w:tc>
      </w:tr>
      <w:tr>
        <w:tc>
          <w:tcPr>
            <w:tcW w:type="dxa" w:w="1728"/>
          </w:tcPr>
          <w:p>
            <w:r>
              <w:rPr>
                <w:rFonts w:ascii="Calibri" w:hAnsi="Calibri"/>
                <w:color w:val="000000"/>
                <w:sz w:val="24"/>
              </w:rPr>
              <w:t>CNY</w:t>
            </w:r>
          </w:p>
        </w:tc>
        <w:tc>
          <w:tcPr>
            <w:tcW w:type="dxa" w:w="1728"/>
          </w:tcPr>
          <w:p>
            <w:r>
              <w:rPr>
                <w:rFonts w:ascii="Calibri" w:hAnsi="Calibri"/>
                <w:color w:val="000000"/>
                <w:sz w:val="24"/>
              </w:rPr>
              <w:t>0.464 ✓</w:t>
            </w:r>
          </w:p>
        </w:tc>
        <w:tc>
          <w:tcPr>
            <w:tcW w:type="dxa" w:w="1728"/>
          </w:tcPr>
          <w:p>
            <w:r>
              <w:rPr>
                <w:rFonts w:ascii="Calibri" w:hAnsi="Calibri"/>
                <w:color w:val="000000"/>
                <w:sz w:val="24"/>
              </w:rPr>
              <w:t>0.025 ~</w:t>
            </w:r>
          </w:p>
        </w:tc>
        <w:tc>
          <w:tcPr>
            <w:tcW w:type="dxa" w:w="1728"/>
          </w:tcPr>
          <w:p>
            <w:r>
              <w:rPr>
                <w:rFonts w:ascii="Calibri" w:hAnsi="Calibri"/>
                <w:color w:val="000000"/>
                <w:sz w:val="24"/>
              </w:rPr>
              <w:t>Yes</w:t>
            </w:r>
          </w:p>
        </w:tc>
        <w:tc>
          <w:tcPr>
            <w:tcW w:type="dxa" w:w="1728"/>
          </w:tcPr>
          <w:p>
            <w:r>
              <w:rPr>
                <w:rFonts w:ascii="Calibri" w:hAnsi="Calibri"/>
                <w:color w:val="000000"/>
                <w:sz w:val="24"/>
              </w:rPr>
              <w:t>Borderline</w:t>
            </w:r>
          </w:p>
        </w:tc>
      </w:tr>
      <w:tr>
        <w:tc>
          <w:tcPr>
            <w:tcW w:type="dxa" w:w="1728"/>
          </w:tcPr>
          <w:p>
            <w:r>
              <w:rPr>
                <w:rFonts w:ascii="Calibri" w:hAnsi="Calibri"/>
                <w:color w:val="000000"/>
                <w:sz w:val="24"/>
              </w:rPr>
              <w:t>USD</w:t>
            </w:r>
          </w:p>
        </w:tc>
        <w:tc>
          <w:tcPr>
            <w:tcW w:type="dxa" w:w="1728"/>
          </w:tcPr>
          <w:p>
            <w:r>
              <w:rPr>
                <w:rFonts w:ascii="Calibri" w:hAnsi="Calibri"/>
                <w:color w:val="000000"/>
                <w:sz w:val="24"/>
              </w:rPr>
              <w:t>0.810 ✓</w:t>
            </w:r>
          </w:p>
        </w:tc>
        <w:tc>
          <w:tcPr>
            <w:tcW w:type="dxa" w:w="1728"/>
          </w:tcPr>
          <w:p>
            <w:r>
              <w:rPr>
                <w:rFonts w:ascii="Calibri" w:hAnsi="Calibri"/>
                <w:color w:val="000000"/>
                <w:sz w:val="24"/>
              </w:rPr>
              <w:t>0.083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TWI</w:t>
            </w:r>
          </w:p>
        </w:tc>
        <w:tc>
          <w:tcPr>
            <w:tcW w:type="dxa" w:w="1728"/>
          </w:tcPr>
          <w:p>
            <w:r>
              <w:rPr>
                <w:rFonts w:ascii="Calibri" w:hAnsi="Calibri"/>
                <w:color w:val="000000"/>
                <w:sz w:val="24"/>
              </w:rPr>
              <w:t>0.655 ✓</w:t>
            </w:r>
          </w:p>
        </w:tc>
        <w:tc>
          <w:tcPr>
            <w:tcW w:type="dxa" w:w="1728"/>
          </w:tcPr>
          <w:p>
            <w:r>
              <w:rPr>
                <w:rFonts w:ascii="Calibri" w:hAnsi="Calibri"/>
                <w:color w:val="000000"/>
                <w:sz w:val="24"/>
              </w:rPr>
              <w:t>0.088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SDR</w:t>
            </w:r>
          </w:p>
        </w:tc>
        <w:tc>
          <w:tcPr>
            <w:tcW w:type="dxa" w:w="1728"/>
          </w:tcPr>
          <w:p>
            <w:r>
              <w:rPr>
                <w:rFonts w:ascii="Calibri" w:hAnsi="Calibri"/>
                <w:color w:val="000000"/>
                <w:sz w:val="24"/>
              </w:rPr>
              <w:t>0.884 ✓</w:t>
            </w:r>
          </w:p>
        </w:tc>
        <w:tc>
          <w:tcPr>
            <w:tcW w:type="dxa" w:w="1728"/>
          </w:tcPr>
          <w:p>
            <w:r>
              <w:rPr>
                <w:rFonts w:ascii="Calibri" w:hAnsi="Calibri"/>
                <w:color w:val="000000"/>
                <w:sz w:val="24"/>
              </w:rPr>
              <w:t>0.003 ✗</w:t>
            </w:r>
          </w:p>
        </w:tc>
        <w:tc>
          <w:tcPr>
            <w:tcW w:type="dxa" w:w="1728"/>
          </w:tcPr>
          <w:p>
            <w:r>
              <w:rPr>
                <w:rFonts w:ascii="Calibri" w:hAnsi="Calibri"/>
                <w:color w:val="000000"/>
                <w:sz w:val="24"/>
              </w:rPr>
              <w:t>Yes</w:t>
            </w:r>
          </w:p>
        </w:tc>
        <w:tc>
          <w:tcPr>
            <w:tcW w:type="dxa" w:w="1728"/>
          </w:tcPr>
          <w:p>
            <w:r>
              <w:rPr>
                <w:rFonts w:ascii="Calibri" w:hAnsi="Calibri"/>
                <w:color w:val="000000"/>
                <w:sz w:val="24"/>
              </w:rPr>
              <w:t>No</w:t>
            </w:r>
          </w:p>
        </w:tc>
      </w:tr>
    </w:tbl>
    <w:p/>
    <w:p>
      <w:r>
        <w:rPr>
          <w:rFonts w:ascii="Calibri" w:hAnsi="Calibri"/>
          <w:color w:val="000000"/>
          <w:sz w:val="24"/>
        </w:rPr>
        <w:t>All mean equations are well-specified — Ljung-Box on standardised residuals z is insignificant for all four currencies, confirming the ARMA structure adequately captures the conditional mean dynamics. USD and TWI also pass the squared-residual test (LB on z²), indicating the GARCH variance equation captures volatility clustering adequately. CNY shows a borderline result (p = 0.025) and SDR has a significant p-value (p = 0.003) on z², indicating some remaining ARCH effects are not fully captured. This is a common feature in high-frequency FX data: the extreme COVID-19 volatility spike in March 2020 is an outlier that finite-order GARCH models cannot fully accommodate.</w:t>
      </w:r>
    </w:p>
    <w:p>
      <w:r>
        <w:rPr>
          <w:rFonts w:ascii="Calibri" w:hAnsi="Calibri"/>
          <w:color w:val="000000"/>
          <w:sz w:val="24"/>
        </w:rPr>
        <w:t>The combined ACF/PACF/Ljung-Box diagnostic figure for squared standardised residuals z² (lags 1–20) is shown below:</w:t>
      </w:r>
    </w:p>
    <w:p>
      <w:pPr>
        <w:jc w:val="center"/>
      </w:pPr>
      <w:r>
        <w:drawing>
          <wp:inline xmlns:a="http://schemas.openxmlformats.org/drawingml/2006/main" xmlns:pic="http://schemas.openxmlformats.org/drawingml/2006/picture">
            <wp:extent cx="5852160" cy="5201920"/>
            <wp:docPr id="8" name="Picture 8"/>
            <wp:cNvGraphicFramePr>
              <a:graphicFrameLocks noChangeAspect="1"/>
            </wp:cNvGraphicFramePr>
            <a:graphic>
              <a:graphicData uri="http://schemas.openxmlformats.org/drawingml/2006/picture">
                <pic:pic>
                  <pic:nvPicPr>
                    <pic:cNvPr id="0" name="fig6_sq_resid_diagnostics.png"/>
                    <pic:cNvPicPr/>
                  </pic:nvPicPr>
                  <pic:blipFill>
                    <a:blip r:embed="rId16"/>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CNY.png"/>
                    <pic:cNvPicPr/>
                  </pic:nvPicPr>
                  <pic:blipFill>
                    <a:blip r:embed="rId17"/>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USD.png"/>
                    <pic:cNvPicPr/>
                  </pic:nvPicPr>
                  <pic:blipFill>
                    <a:blip r:embed="rId18"/>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TWI.png"/>
                    <pic:cNvPicPr/>
                  </pic:nvPicPr>
                  <pic:blipFill>
                    <a:blip r:embed="rId1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SDR.png"/>
                    <pic:cNvPicPr/>
                  </pic:nvPicPr>
                  <pic:blipFill>
                    <a:blip r:embed="rId20"/>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0.9204</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0.9060</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0.9623</w:t>
            </w:r>
          </w:p>
        </w:tc>
        <w:tc>
          <w:tcPr>
            <w:tcW w:type="dxa" w:w="1728"/>
          </w:tcPr>
          <w:p>
            <w:r>
              <w:rPr>
                <w:rFonts w:ascii="Calibri" w:hAnsi="Calibri"/>
                <w:color w:val="000000"/>
                <w:sz w:val="24"/>
              </w:rPr>
              <w:t>0.4474</w:t>
            </w:r>
          </w:p>
        </w:tc>
        <w:tc>
          <w:tcPr>
            <w:tcW w:type="dxa" w:w="1728"/>
          </w:tcPr>
          <w:p>
            <w:r>
              <w:rPr>
                <w:rFonts w:ascii="Calibri" w:hAnsi="Calibri"/>
                <w:color w:val="000000"/>
                <w:sz w:val="24"/>
              </w:rPr>
              <w:t>0.4492</w:t>
            </w:r>
          </w:p>
        </w:tc>
        <w:tc>
          <w:tcPr>
            <w:tcW w:type="dxa" w:w="1728"/>
          </w:tcPr>
          <w:p>
            <w:r>
              <w:rPr>
                <w:rFonts w:ascii="Calibri" w:hAnsi="Calibri"/>
                <w:color w:val="000000"/>
                <w:sz w:val="24"/>
              </w:rPr>
              <w:t>0.9960</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CNY's unconditional variance (0.305) is very close to the exemplar benchmark (0.306), confirming that the fitted model correctly captures long-run CNY volatility. TWI (0.239) and SDR (0.447) also match their respective benchmarks. For CNY, TWI, and SDR the model variance sits below the sample variance: the COVID-19 spike of March 2020 inflates the raw sample average, but the GARCH model treats it as a transient deviation. SDR has a ratio of 0.996 — near-perfect alignment between model and sample long-run variance. USD's model variance slightly exceeds the sample (ratio = 1.08), a persistent optimiser convergence artifact.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−0.0049</w:t>
            </w:r>
          </w:p>
        </w:tc>
        <w:tc>
          <w:tcPr>
            <w:tcW w:type="dxa" w:w="1234"/>
          </w:tcPr>
          <w:p>
            <w:r>
              <w:rPr>
                <w:rFonts w:ascii="Calibri" w:hAnsi="Calibri"/>
                <w:color w:val="000000"/>
                <w:sz w:val="24"/>
              </w:rPr>
              <w:t>0.4850</w:t>
            </w:r>
          </w:p>
        </w:tc>
        <w:tc>
          <w:tcPr>
            <w:tcW w:type="dxa" w:w="1234"/>
          </w:tcPr>
          <w:p>
            <w:r>
              <w:rPr>
                <w:rFonts w:ascii="Calibri" w:hAnsi="Calibri"/>
                <w:color w:val="000000"/>
                <w:sz w:val="24"/>
              </w:rPr>
              <w:t>0.5123</w:t>
            </w:r>
          </w:p>
        </w:tc>
        <w:tc>
          <w:tcPr>
            <w:tcW w:type="dxa" w:w="1234"/>
          </w:tcPr>
          <w:p>
            <w:r>
              <w:rPr>
                <w:rFonts w:ascii="Calibri" w:hAnsi="Calibri"/>
                <w:color w:val="000000"/>
                <w:sz w:val="24"/>
              </w:rPr>
              <w:t>−0.0057</w:t>
            </w:r>
          </w:p>
        </w:tc>
        <w:tc>
          <w:tcPr>
            <w:tcW w:type="dxa" w:w="1234"/>
          </w:tcPr>
          <w:p>
            <w:r>
              <w:rPr>
                <w:rFonts w:ascii="Calibri" w:hAnsi="Calibri"/>
                <w:color w:val="000000"/>
                <w:sz w:val="24"/>
              </w:rPr>
              <w:t>0.4916</w:t>
            </w:r>
          </w:p>
        </w:tc>
        <w:tc>
          <w:tcPr>
            <w:tcW w:type="dxa" w:w="1234"/>
          </w:tcPr>
          <w:p>
            <w:r>
              <w:rPr>
                <w:rFonts w:ascii="Calibri" w:hAnsi="Calibri"/>
                <w:color w:val="000000"/>
                <w:sz w:val="24"/>
              </w:rPr>
              <w:t>0.5127</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−0.0505</w:t>
            </w:r>
          </w:p>
        </w:tc>
        <w:tc>
          <w:tcPr>
            <w:tcW w:type="dxa" w:w="1234"/>
          </w:tcPr>
          <w:p>
            <w:r>
              <w:rPr>
                <w:rFonts w:ascii="Calibri" w:hAnsi="Calibri"/>
                <w:color w:val="000000"/>
                <w:sz w:val="24"/>
              </w:rPr>
              <w:t>0.4792</w:t>
            </w:r>
          </w:p>
        </w:tc>
        <w:tc>
          <w:tcPr>
            <w:tcW w:type="dxa" w:w="1234"/>
          </w:tcPr>
          <w:p>
            <w:r>
              <w:rPr>
                <w:rFonts w:ascii="Calibri" w:hAnsi="Calibri"/>
                <w:color w:val="000000"/>
                <w:sz w:val="24"/>
              </w:rPr>
              <w:t>0.5503</w:t>
            </w:r>
          </w:p>
        </w:tc>
        <w:tc>
          <w:tcPr>
            <w:tcW w:type="dxa" w:w="1234"/>
          </w:tcPr>
          <w:p>
            <w:r>
              <w:rPr>
                <w:rFonts w:ascii="Calibri" w:hAnsi="Calibri"/>
                <w:color w:val="000000"/>
                <w:sz w:val="24"/>
              </w:rPr>
              <w:t>−0.0332</w:t>
            </w:r>
          </w:p>
        </w:tc>
        <w:tc>
          <w:tcPr>
            <w:tcW w:type="dxa" w:w="1234"/>
          </w:tcPr>
          <w:p>
            <w:r>
              <w:rPr>
                <w:rFonts w:ascii="Calibri" w:hAnsi="Calibri"/>
                <w:color w:val="000000"/>
                <w:sz w:val="24"/>
              </w:rPr>
              <w:t>0.4797</w:t>
            </w:r>
          </w:p>
        </w:tc>
        <w:tc>
          <w:tcPr>
            <w:tcW w:type="dxa" w:w="1234"/>
          </w:tcPr>
          <w:p>
            <w:r>
              <w:rPr>
                <w:rFonts w:ascii="Calibri" w:hAnsi="Calibri"/>
                <w:color w:val="000000"/>
                <w:sz w:val="24"/>
              </w:rPr>
              <w:t>0.5359</w:t>
            </w:r>
          </w:p>
        </w:tc>
      </w:tr>
    </w:tbl>
    <w:p/>
    <w:p>
      <w:r>
        <w:rPr>
          <w:rFonts w:ascii="Calibri" w:hAnsi="Calibri"/>
          <w:color w:val="000000"/>
          <w:sz w:val="24"/>
        </w:rPr>
        <w:t>All probabilities exceed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closely followed by CNY (0.5123). Both have near-zero conditional means, reflecting close-to-random-walk behaviour in those exchange rates. SDR (0.5503) and TWI (0.5638) show substantially elevated downside risk: TWI's T+1 conditional mean is −0.054% (ARMA(2,2) momentum carrying through a recent negative return) and SDR's mean is −0.051%, both pushing significant probability mass below the 0.01% threshold.</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tightens considerably. TWI (0.5111) reverts almost completely to near-USD levels — its ARMA mean equation mean-reverts rapidly by h = 2, making it the second-safest. </w:t>
      </w:r>
      <w:r>
        <w:rPr>
          <w:rFonts w:ascii="Calibri" w:hAnsi="Calibri"/>
          <w:b/>
          <w:color w:val="000000"/>
          <w:sz w:val="24"/>
        </w:rPr>
        <w:t>USD</w:t>
      </w:r>
      <w:r>
        <w:rPr>
          <w:rFonts w:ascii="Calibri" w:hAnsi="Calibri"/>
          <w:color w:val="000000"/>
          <w:sz w:val="24"/>
        </w:rPr>
        <w:t xml:space="preserve"> (0.5101) remains the safest. CNY (0.5127) holds steady with minimal change. SDR (0.5359) remains the riskiest currency on the second day, as its ARMA(2,2) mean equation reverts more slowly, maintaining a conditional mean of −0.033% at T+2.</w:t>
      </w:r>
    </w:p>
    <w:p>
      <w:r>
        <w:rPr>
          <w:rFonts w:ascii="Calibri" w:hAnsi="Calibri"/>
          <w:color w:val="000000"/>
          <w:sz w:val="24"/>
        </w:rPr>
        <w:t>This illustrates a key feature of ARMA-GARCH forecasts: T+1 downside risk is dominated by short-run conditional mean dynamics, while T+2 probabilities converge as the mean equation reverts toward zero. The degree of reversion varies by currency — TWI reverts almost completely, while SDR retains meaningful downside skew into the second day.</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consistent with its near-zero conditional mean and moderate, well-estimated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2026-04-15T07:35:26Z</dcterms:created>
  <dcterms:modified xsi:type="dcterms:W3CDTF">2026-04-15T07:35:26Z</dcterms:modified>
  <cp:category/>
</cp:coreProperties>
</file>