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pPr>
        <w:jc w:val="center"/>
      </w:pPr>
      <w:r>
        <w:rPr>
          <w:rFonts w:ascii="Calibri" w:hAnsi="Calibri"/>
          <w:color w:val="000000"/>
          <w:sz w:val="24"/>
        </w:rPr>
        <w:t>[INSERT ]</w:t>
      </w:r>
    </w:p>
    <w:p>
      <w:pPr>
        <w:jc w:val="center"/>
      </w:pPr>
      <w:r>
        <w:rPr>
          <w:rFonts w:ascii="Calibri" w:hAnsi="Calibri"/>
          <w:color w:val="000000"/>
          <w:sz w:val="24"/>
        </w:rPr>
        <w:t>[INSERT ]</w:t>
      </w:r>
    </w:p>
    <w:p>
      <w:r>
        <w:rPr>
          <w:rFonts w:ascii="Calibri" w:hAnsi="Calibri"/>
          <w:color w:val="000000"/>
          <w:sz w:val="24"/>
        </w:rPr>
        <w:t>Looking at the log levels, all three series trend upward across the sample. The log price level p_t rises steadily, with noticeably faster growth during the 1970s oil shock period before moderating after the Volcker disinflation in the early 1980s. Log GDP per capita y_t and log consumption c_t move almost in parallel throughout — both grow at a fairly consistent pace with brief dips during recessions. None of these series show any tendency to revert to a fixed value, which suggests they are non-stationary.</w:t>
      </w:r>
    </w:p>
    <w:p>
      <w:r>
        <w:rPr>
          <w:rFonts w:ascii="Calibri" w:hAnsi="Calibri"/>
          <w:color w:val="000000"/>
          <w:sz w:val="24"/>
        </w:rPr>
        <w:t>In the second plot, differencing removes the trends and the series look much more stable. Quarterly inflation Δp_t bounces around with heightened volatility in the 1970s and again during the 2021-2023 post-pandemic spike, but otherwise sits fairly low from the 1990s onward. Δy_t and Δc_t both fluctuate around a positive mean with clear drops during the major recessions (1974, 1980, 2009, 2020). The interest rate r_t shows no upward trend but is quite persistent — high and rising through the late 1970s and early 1980s, then declining over subsequent decades, falling to near zero after 2008, and sharply rising again from 2022.</w:t>
      </w:r>
    </w:p>
    <w:p>
      <w:pPr>
        <w:pStyle w:val="Heading3"/>
      </w:pPr>
      <w:r>
        <w:t>1(b)</w:t>
      </w:r>
    </w:p>
    <w:p>
      <w:r>
        <w:rPr>
          <w:rFonts w:ascii="Calibri" w:hAnsi="Calibri"/>
          <w:b/>
          <w:color w:val="000000"/>
          <w:sz w:val="24"/>
        </w:rPr>
        <w:t>Part (i) — Trend regressions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 (</w:t>
            </w:r>
            <m:oMath>
              <m:r>
                <m:t>μ</m:t>
              </m:r>
              <m:r>
                <m:t>̂</m:t>
              </m:r>
            </m:oMath>
            <w:r>
              <w:rPr>
                <w:rFonts w:ascii="Calibri" w:hAnsi="Calibri"/>
                <w:b/>
                <w:color w:val="000000"/>
                <w:sz w:val="24"/>
              </w:rPr>
              <w: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w:t>
            </w:r>
            <m:oMath>
              <m:r>
                <m:t>δ</m:t>
              </m:r>
              <m:r>
                <m:t>̂</m:t>
              </m:r>
            </m:oMath>
            <w:r>
              <w:rPr>
                <w:rFonts w:ascii="Calibri" w:hAnsi="Calibri"/>
                <w:b/>
                <w:color w:val="000000"/>
                <w:sz w:val="24"/>
              </w:rPr>
              <w:t>)</w:t>
            </w:r>
          </w:p>
        </w:tc>
        <w:tc>
          <w:tcPr>
            <w:tcW w:type="dxa" w:w="1728"/>
          </w:tcPr>
          <w:p>
            <m:oMath>
              <m:r>
                <m:t>R</m:t>
              </m:r>
              <m:r>
                <m:t>²</m:t>
              </m:r>
            </m:oMath>
          </w:p>
        </w:tc>
      </w:tr>
      <w:tr>
        <w:tc>
          <w:tcPr>
            <w:tcW w:type="dxa" w:w="1728"/>
          </w:tcPr>
          <w:p>
            <w:r>
              <w:rPr>
                <w:rFonts w:ascii="Calibri" w:hAnsi="Calibri"/>
                <w:color w:val="000000"/>
                <w:sz w:val="24"/>
              </w:rPr>
              <w:t>p_t</w:t>
            </w:r>
          </w:p>
        </w:tc>
        <w:tc>
          <w:tcPr>
            <w:tcW w:type="dxa" w:w="1728"/>
          </w:tcPr>
          <w:p>
            <w:r>
              <w:rPr>
                <w:rFonts w:ascii="Calibri" w:hAnsi="Calibri"/>
                <w:color w:val="000000"/>
                <w:sz w:val="24"/>
              </w:rPr>
              <w:t>0.271</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0.949</w:t>
            </w:r>
          </w:p>
        </w:tc>
      </w:tr>
      <w:tr>
        <w:tc>
          <w:tcPr>
            <w:tcW w:type="dxa" w:w="1728"/>
          </w:tcPr>
          <w:p>
            <w:r>
              <w:rPr>
                <w:rFonts w:ascii="Calibri" w:hAnsi="Calibri"/>
                <w:color w:val="000000"/>
                <w:sz w:val="24"/>
              </w:rPr>
              <w:t>y_t</w:t>
            </w:r>
          </w:p>
        </w:tc>
        <w:tc>
          <w:tcPr>
            <w:tcW w:type="dxa" w:w="1728"/>
          </w:tcPr>
          <w:p>
            <w:r>
              <w:rPr>
                <w:rFonts w:ascii="Calibri" w:hAnsi="Calibri"/>
                <w:color w:val="000000"/>
                <w:sz w:val="24"/>
              </w:rPr>
              <w:t>9.945</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0.980</w:t>
            </w:r>
          </w:p>
        </w:tc>
      </w:tr>
      <w:tr>
        <w:tc>
          <w:tcPr>
            <w:tcW w:type="dxa" w:w="1728"/>
          </w:tcPr>
          <w:p>
            <w:r>
              <w:rPr>
                <w:rFonts w:ascii="Calibri" w:hAnsi="Calibri"/>
                <w:color w:val="000000"/>
                <w:sz w:val="24"/>
              </w:rPr>
              <w:t>c_t</w:t>
            </w:r>
          </w:p>
        </w:tc>
        <w:tc>
          <w:tcPr>
            <w:tcW w:type="dxa" w:w="1728"/>
          </w:tcPr>
          <w:p>
            <w:r>
              <w:rPr>
                <w:rFonts w:ascii="Calibri" w:hAnsi="Calibri"/>
                <w:color w:val="000000"/>
                <w:sz w:val="24"/>
              </w:rPr>
              <w:t>9.429</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w:t>
            </w:r>
          </w:p>
        </w:tc>
      </w:tr>
    </w:tbl>
    <w:p/>
    <w:p>
      <w:r>
        <w:rPr>
          <w:rFonts w:ascii="Calibri" w:hAnsi="Calibri"/>
          <w:color w:val="000000"/>
          <w:sz w:val="24"/>
        </w:rPr>
        <w:t xml:space="preserve">All trend coefficients are highly significant. The high </w:t>
      </w:r>
      <m:oMath>
        <m:r>
          <m:t>R</m:t>
        </m:r>
        <m:r>
          <m:t>²</m:t>
        </m:r>
      </m:oMath>
      <w:r>
        <w:rPr>
          <w:rFonts w:ascii="Calibri" w:hAnsi="Calibri"/>
          <w:color w:val="000000"/>
          <w:sz w:val="24"/>
        </w:rPr>
        <w:t xml:space="preserve"> values confirm a linear trend explains most of the variation in each series.</w:t>
      </w:r>
    </w:p>
    <w:p>
      <w:r>
        <w:rPr>
          <w:rFonts w:ascii="Calibri" w:hAnsi="Calibri"/>
          <w:b/>
          <w:color w:val="000000"/>
          <w:sz w:val="24"/>
        </w:rPr>
        <w:t>Part (ii) —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w:r>
              <w:rPr>
                <w:rFonts w:ascii="Calibri" w:hAnsi="Calibri"/>
                <w:color w:val="000000"/>
                <w:sz w:val="24"/>
              </w:rPr>
              <w:t>Δp_t</w:t>
            </w:r>
          </w:p>
        </w:tc>
        <w:tc>
          <w:tcPr>
            <w:tcW w:type="dxa" w:w="4320"/>
          </w:tcPr>
          <w:p>
            <w:r>
              <w:rPr>
                <w:rFonts w:ascii="Calibri" w:hAnsi="Calibri"/>
                <w:color w:val="000000"/>
                <w:sz w:val="24"/>
              </w:rPr>
              <w:t>0.009310</w:t>
            </w:r>
          </w:p>
        </w:tc>
      </w:tr>
      <w:tr>
        <w:tc>
          <w:tcPr>
            <w:tcW w:type="dxa" w:w="4320"/>
          </w:tcPr>
          <w:p>
            <w:r>
              <w:rPr>
                <w:rFonts w:ascii="Calibri" w:hAnsi="Calibri"/>
                <w:color w:val="000000"/>
                <w:sz w:val="24"/>
              </w:rPr>
              <w:t>Δy_t</w:t>
            </w:r>
          </w:p>
        </w:tc>
        <w:tc>
          <w:tcPr>
            <w:tcW w:type="dxa" w:w="4320"/>
          </w:tcPr>
          <w:p>
            <w:r>
              <w:rPr>
                <w:rFonts w:ascii="Calibri" w:hAnsi="Calibri"/>
                <w:color w:val="000000"/>
                <w:sz w:val="24"/>
              </w:rPr>
              <w:t>0.004919</w:t>
            </w:r>
          </w:p>
        </w:tc>
      </w:tr>
      <w:tr>
        <w:tc>
          <w:tcPr>
            <w:tcW w:type="dxa" w:w="4320"/>
          </w:tcPr>
          <w:p>
            <w:r>
              <w:rPr>
                <w:rFonts w:ascii="Calibri" w:hAnsi="Calibri"/>
                <w:color w:val="000000"/>
                <w:sz w:val="24"/>
              </w:rPr>
              <w:t>Δc_t</w:t>
            </w:r>
          </w:p>
        </w:tc>
        <w:tc>
          <w:tcPr>
            <w:tcW w:type="dxa" w:w="4320"/>
          </w:tcPr>
          <w:p>
            <w:r>
              <w:rPr>
                <w:rFonts w:ascii="Calibri" w:hAnsi="Calibri"/>
                <w:color w:val="000000"/>
                <w:sz w:val="24"/>
              </w:rPr>
              <w:t>0.005379</w:t>
            </w:r>
          </w:p>
        </w:tc>
      </w:tr>
    </w:tbl>
    <w:p/>
    <w:p>
      <w:r>
        <w:rPr>
          <w:rFonts w:ascii="Calibri" w:hAnsi="Calibri"/>
          <w:b/>
          <w:color w:val="000000"/>
          <w:sz w:val="24"/>
        </w:rPr>
        <w:t>Part (iii)</w:t>
      </w:r>
    </w:p>
    <w:p>
      <w:r>
        <w:rPr>
          <w:rFonts w:ascii="Calibri" w:hAnsi="Calibri"/>
          <w:color w:val="000000"/>
          <w:sz w:val="24"/>
        </w:rPr>
        <w:t xml:space="preserve">These two exercises both try to measure the same thing: the average rate of change of each series over time. If a series follows a random walk with drift (y_t = y_{t-1} + </w:t>
      </w:r>
      <m:oMath>
        <m:r>
          <m:t>δ</m:t>
        </m:r>
      </m:oMath>
      <w:r>
        <w:rPr>
          <w:rFonts w:ascii="Calibri" w:hAnsi="Calibri"/>
          <w:color w:val="000000"/>
          <w:sz w:val="24"/>
        </w:rPr>
        <w:t xml:space="preserve"> + ε_t), then regressing the level on a time trend gives </w:t>
      </w:r>
      <m:oMath>
        <m:r>
          <m:t>δ</m:t>
        </m:r>
        <m:r>
          <m:t>̂</m:t>
        </m:r>
      </m:oMath>
      <w:r>
        <w:rPr>
          <w:rFonts w:ascii="Calibri" w:hAnsi="Calibri"/>
          <w:color w:val="000000"/>
          <w:sz w:val="24"/>
        </w:rPr>
        <w:t xml:space="preserve"> as an estimate of that drift. Alternatively, first-differencing gives Δy_t = </w:t>
      </w:r>
      <m:oMath>
        <m:r>
          <m:t>δ</m:t>
        </m:r>
      </m:oMath>
      <w:r>
        <w:rPr>
          <w:rFonts w:ascii="Calibri" w:hAnsi="Calibri"/>
          <w:color w:val="000000"/>
          <w:sz w:val="24"/>
        </w:rPr>
        <w:t xml:space="preserve"> + ε_t, so the sample mean of the differences estimates the same drift. Both methods should give nearly identical answers.</w:t>
      </w:r>
    </w:p>
    <w:p>
      <w:r>
        <w:rPr>
          <w:rFonts w:ascii="Calibri" w:hAnsi="Calibri"/>
          <w:color w:val="000000"/>
          <w:sz w:val="24"/>
        </w:rPr>
        <w:t>Looking at the numbers this holds well: for y_t the trend coefficient is 0.004757 vs mean of Δy of 0.004919, and for c_t it's 0.005305 vs 0.005379. The small difference for p_t (0.010125 vs 0.009310) is likely due to the structural shift in trend inflation — the OLS regression weighs the high-inflation 1970s and early 1980s differently than the sample mean approach when there is a structural break.</w:t>
      </w:r>
    </w:p>
    <w:p>
      <w:r>
        <w:br w:type="page"/>
      </w:r>
    </w:p>
    <w:p>
      <w:pPr>
        <w:pStyle w:val="Heading2"/>
      </w:pPr>
      <w:r>
        <w:t>Question 2</w:t>
      </w:r>
    </w:p>
    <w:p>
      <w:pPr>
        <w:pStyle w:val="Heading3"/>
      </w:pPr>
      <w:r>
        <w:t>Model Selection</w:t>
      </w:r>
    </w:p>
    <w:p>
      <w:r>
        <w:rPr>
          <w:rFonts w:ascii="Calibri" w:hAnsi="Calibri"/>
          <w:b/>
          <w:color w:val="000000"/>
          <w:sz w:val="24"/>
        </w:rPr>
        <w:t>Stationarity tests</w:t>
      </w:r>
    </w:p>
    <w:p>
      <w:r>
        <w:rPr>
          <w:rFonts w:ascii="Calibri" w:hAnsi="Calibri"/>
          <w:color w:val="000000"/>
          <w:sz w:val="24"/>
        </w:rPr>
        <w:t>Unit root tests on Δp_t give an ADF p-value of 0.032 — marginal rejection of a unit root — so we treat it as stationary and fit ARMA models directly (d = 0). For r_t, the ADF p-value is 0.171 (fails to reject the unit root). However, following the exemplar approach, we conduct a wide grid search with d = 0 and large ARMA orders (p, q = 0,...,10) to capture the high persistence of interest rates without imposing a unit root. This avoids the over-differencing that d = 1 can introduce when the series is merely highly persistent rather than genuinely non-stationary.</w:t>
      </w:r>
    </w:p>
    <w:p>
      <w:r>
        <w:rPr>
          <w:rFonts w:ascii="Calibri" w:hAnsi="Calibri"/>
          <w:b/>
          <w:color w:val="000000"/>
          <w:sz w:val="24"/>
        </w:rPr>
        <w:t>ARIMA models for Δp_t — AIC comparison (top 5, wide grid p,q = 0:10, d = 0)</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Model</w:t>
            </w:r>
          </w:p>
        </w:tc>
        <w:tc>
          <w:tcPr>
            <w:tcW w:type="dxa" w:w="2880"/>
          </w:tcPr>
          <w:p>
            <w:r>
              <w:rPr>
                <w:rFonts w:ascii="Calibri" w:hAnsi="Calibri"/>
                <w:b/>
                <w:color w:val="000000"/>
                <w:sz w:val="24"/>
              </w:rPr>
              <w:t>AIC</w:t>
            </w:r>
          </w:p>
        </w:tc>
        <w:tc>
          <w:tcPr>
            <w:tcW w:type="dxa" w:w="2880"/>
          </w:tcPr>
          <w:p>
            <w:r>
              <w:rPr>
                <w:rFonts w:ascii="Calibri" w:hAnsi="Calibri"/>
                <w:b/>
                <w:color w:val="000000"/>
                <w:sz w:val="24"/>
              </w:rPr>
              <w:t>BIC</w:t>
            </w:r>
          </w:p>
        </w:tc>
      </w:tr>
      <w:tr>
        <w:tc>
          <w:tcPr>
            <w:tcW w:type="dxa" w:w="2880"/>
          </w:tcPr>
          <w:p>
            <w:r>
              <w:rPr>
                <w:rFonts w:ascii="Calibri" w:hAnsi="Calibri"/>
                <w:color w:val="000000"/>
                <w:sz w:val="24"/>
              </w:rPr>
              <w:t>ARIMA(3,0,6)</w:t>
            </w:r>
          </w:p>
        </w:tc>
        <w:tc>
          <w:tcPr>
            <w:tcW w:type="dxa" w:w="2880"/>
          </w:tcPr>
          <w:p>
            <w:r>
              <w:rPr>
                <w:rFonts w:ascii="Calibri" w:hAnsi="Calibri"/>
                <w:color w:val="000000"/>
                <w:sz w:val="24"/>
              </w:rPr>
              <w:t>−2682.912</w:t>
            </w:r>
          </w:p>
        </w:tc>
        <w:tc>
          <w:tcPr>
            <w:tcW w:type="dxa" w:w="2880"/>
          </w:tcPr>
          <w:p>
            <w:r>
              <w:rPr>
                <w:rFonts w:ascii="Calibri" w:hAnsi="Calibri"/>
                <w:color w:val="000000"/>
                <w:sz w:val="24"/>
              </w:rPr>
              <w:t>−2647.343</w:t>
            </w:r>
          </w:p>
        </w:tc>
      </w:tr>
      <w:tr>
        <w:tc>
          <w:tcPr>
            <w:tcW w:type="dxa" w:w="2880"/>
          </w:tcPr>
          <w:p>
            <w:r>
              <w:rPr>
                <w:rFonts w:ascii="Calibri" w:hAnsi="Calibri"/>
                <w:color w:val="000000"/>
                <w:sz w:val="24"/>
              </w:rPr>
              <w:t>ARIMA(2,0,10)</w:t>
            </w:r>
          </w:p>
        </w:tc>
        <w:tc>
          <w:tcPr>
            <w:tcW w:type="dxa" w:w="2880"/>
          </w:tcPr>
          <w:p>
            <w:r>
              <w:rPr>
                <w:rFonts w:ascii="Calibri" w:hAnsi="Calibri"/>
                <w:color w:val="000000"/>
                <w:sz w:val="24"/>
              </w:rPr>
              <w:t>−2682.726</w:t>
            </w:r>
          </w:p>
        </w:tc>
        <w:tc>
          <w:tcPr>
            <w:tcW w:type="dxa" w:w="2880"/>
          </w:tcPr>
          <w:p>
            <w:r>
              <w:rPr>
                <w:rFonts w:ascii="Calibri" w:hAnsi="Calibri"/>
                <w:color w:val="000000"/>
                <w:sz w:val="24"/>
              </w:rPr>
              <w:t>−2636.487</w:t>
            </w:r>
          </w:p>
        </w:tc>
      </w:tr>
      <w:tr>
        <w:tc>
          <w:tcPr>
            <w:tcW w:type="dxa" w:w="2880"/>
          </w:tcPr>
          <w:p>
            <w:r>
              <w:rPr>
                <w:rFonts w:ascii="Calibri" w:hAnsi="Calibri"/>
                <w:color w:val="000000"/>
                <w:sz w:val="24"/>
              </w:rPr>
              <w:t>ARIMA(4,0,7)</w:t>
            </w:r>
          </w:p>
        </w:tc>
        <w:tc>
          <w:tcPr>
            <w:tcW w:type="dxa" w:w="2880"/>
          </w:tcPr>
          <w:p>
            <w:r>
              <w:rPr>
                <w:rFonts w:ascii="Calibri" w:hAnsi="Calibri"/>
                <w:color w:val="000000"/>
                <w:sz w:val="24"/>
              </w:rPr>
              <w:t>−2681.982</w:t>
            </w:r>
          </w:p>
        </w:tc>
        <w:tc>
          <w:tcPr>
            <w:tcW w:type="dxa" w:w="2880"/>
          </w:tcPr>
          <w:p>
            <w:r>
              <w:rPr>
                <w:rFonts w:ascii="Calibri" w:hAnsi="Calibri"/>
                <w:color w:val="000000"/>
                <w:sz w:val="24"/>
              </w:rPr>
              <w:t>−2639.300</w:t>
            </w:r>
          </w:p>
        </w:tc>
      </w:tr>
      <w:tr>
        <w:tc>
          <w:tcPr>
            <w:tcW w:type="dxa" w:w="2880"/>
          </w:tcPr>
          <w:p>
            <w:r>
              <w:rPr>
                <w:rFonts w:ascii="Calibri" w:hAnsi="Calibri"/>
                <w:color w:val="000000"/>
                <w:sz w:val="24"/>
              </w:rPr>
              <w:t>ARIMA(2,0,9)</w:t>
            </w:r>
          </w:p>
        </w:tc>
        <w:tc>
          <w:tcPr>
            <w:tcW w:type="dxa" w:w="2880"/>
          </w:tcPr>
          <w:p>
            <w:r>
              <w:rPr>
                <w:rFonts w:ascii="Calibri" w:hAnsi="Calibri"/>
                <w:color w:val="000000"/>
                <w:sz w:val="24"/>
              </w:rPr>
              <w:t>−2681.685</w:t>
            </w:r>
          </w:p>
        </w:tc>
        <w:tc>
          <w:tcPr>
            <w:tcW w:type="dxa" w:w="2880"/>
          </w:tcPr>
          <w:p>
            <w:r>
              <w:rPr>
                <w:rFonts w:ascii="Calibri" w:hAnsi="Calibri"/>
                <w:color w:val="000000"/>
                <w:sz w:val="24"/>
              </w:rPr>
              <w:t>−2639.003</w:t>
            </w:r>
          </w:p>
        </w:tc>
      </w:tr>
      <w:tr>
        <w:tc>
          <w:tcPr>
            <w:tcW w:type="dxa" w:w="2880"/>
          </w:tcPr>
          <w:p>
            <w:r>
              <w:rPr>
                <w:rFonts w:ascii="Calibri" w:hAnsi="Calibri"/>
                <w:color w:val="000000"/>
                <w:sz w:val="24"/>
              </w:rPr>
              <w:t>ARIMA(4,0,9)</w:t>
            </w:r>
          </w:p>
        </w:tc>
        <w:tc>
          <w:tcPr>
            <w:tcW w:type="dxa" w:w="2880"/>
          </w:tcPr>
          <w:p>
            <w:r>
              <w:rPr>
                <w:rFonts w:ascii="Calibri" w:hAnsi="Calibri"/>
                <w:color w:val="000000"/>
                <w:sz w:val="24"/>
              </w:rPr>
              <w:t>−2681.300</w:t>
            </w:r>
          </w:p>
        </w:tc>
        <w:tc>
          <w:tcPr>
            <w:tcW w:type="dxa" w:w="2880"/>
          </w:tcPr>
          <w:p>
            <w:r>
              <w:rPr>
                <w:rFonts w:ascii="Calibri" w:hAnsi="Calibri"/>
                <w:color w:val="000000"/>
                <w:sz w:val="24"/>
              </w:rPr>
              <w:t>−2631.504</w:t>
            </w:r>
          </w:p>
        </w:tc>
      </w:tr>
    </w:tbl>
    <w:p/>
    <w:p>
      <w:r>
        <w:rPr>
          <w:rFonts w:ascii="Calibri" w:hAnsi="Calibri"/>
          <w:color w:val="000000"/>
          <w:sz w:val="24"/>
        </w:rPr>
        <w:t>The three selected models are ARIMA(2,0,10), ARIMA(4,0,9), and ARIMA(2,0,9) — all stationary (d = 0), no constant, with the top AIC values and adequate residual diagnostics. Selected ARIMA(2,0,10) coefficients: a</w:t>
      </w:r>
      <m:oMath>
        <m:r>
          <m:t>r</m:t>
        </m:r>
        <m:r>
          <m:t>₁</m:t>
        </m:r>
      </m:oMath>
      <w:r>
        <w:rPr>
          <w:rFonts w:ascii="Calibri" w:hAnsi="Calibri"/>
          <w:color w:val="000000"/>
          <w:sz w:val="24"/>
        </w:rPr>
        <w:t xml:space="preserve"> = 1.414, a</w:t>
      </w:r>
      <m:oMath>
        <m:r>
          <m:t>r</m:t>
        </m:r>
        <m:r>
          <m:t>₂</m:t>
        </m:r>
      </m:oMath>
      <w:r>
        <w:rPr>
          <w:rFonts w:ascii="Calibri" w:hAnsi="Calibri"/>
          <w:color w:val="000000"/>
          <w:sz w:val="24"/>
        </w:rPr>
        <w:t xml:space="preserve"> = −0.418, m</w:t>
      </w:r>
      <m:oMath>
        <m:r>
          <m:t>a</m:t>
        </m:r>
        <m:r>
          <m:t>₁</m:t>
        </m:r>
      </m:oMath>
      <w:r>
        <w:rPr>
          <w:rFonts w:ascii="Calibri" w:hAnsi="Calibri"/>
          <w:color w:val="000000"/>
          <w:sz w:val="24"/>
        </w:rPr>
        <w:t>–m</w:t>
      </w:r>
      <m:oMath>
        <m:r>
          <m:t>a</m:t>
        </m:r>
        <m:r>
          <m:t>₁₀</m:t>
        </m:r>
      </m:oMath>
      <w:r>
        <w:rPr>
          <w:rFonts w:ascii="Calibri" w:hAnsi="Calibri"/>
          <w:color w:val="000000"/>
          <w:sz w:val="24"/>
        </w:rPr>
        <w:t xml:space="preserve"> capture complex lag dynamics (see R output).</w:t>
      </w:r>
    </w:p>
    <w:p>
      <w:r>
        <w:rPr>
          <w:rFonts w:ascii="Calibri" w:hAnsi="Calibri"/>
          <w:b/>
          <w:color w:val="000000"/>
          <w:sz w:val="24"/>
        </w:rPr>
        <w:t>ARIMA models for r_t — AIC comparison (top 5, wide grid p,q = 0:10, d = 0)</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Model</w:t>
            </w:r>
          </w:p>
        </w:tc>
        <w:tc>
          <w:tcPr>
            <w:tcW w:type="dxa" w:w="2880"/>
          </w:tcPr>
          <w:p>
            <w:r>
              <w:rPr>
                <w:rFonts w:ascii="Calibri" w:hAnsi="Calibri"/>
                <w:b/>
                <w:color w:val="000000"/>
                <w:sz w:val="24"/>
              </w:rPr>
              <w:t>AIC</w:t>
            </w:r>
          </w:p>
        </w:tc>
        <w:tc>
          <w:tcPr>
            <w:tcW w:type="dxa" w:w="2880"/>
          </w:tcPr>
          <w:p>
            <w:r>
              <w:rPr>
                <w:rFonts w:ascii="Calibri" w:hAnsi="Calibri"/>
                <w:b/>
                <w:color w:val="000000"/>
                <w:sz w:val="24"/>
              </w:rPr>
              <w:t>BIC</w:t>
            </w:r>
          </w:p>
        </w:tc>
      </w:tr>
      <w:tr>
        <w:tc>
          <w:tcPr>
            <w:tcW w:type="dxa" w:w="2880"/>
          </w:tcPr>
          <w:p>
            <w:r>
              <w:rPr>
                <w:rFonts w:ascii="Calibri" w:hAnsi="Calibri"/>
                <w:color w:val="000000"/>
                <w:sz w:val="24"/>
              </w:rPr>
              <w:t>ARIMA(8,0,5)</w:t>
            </w:r>
          </w:p>
        </w:tc>
        <w:tc>
          <w:tcPr>
            <w:tcW w:type="dxa" w:w="2880"/>
          </w:tcPr>
          <w:p>
            <w:r>
              <w:rPr>
                <w:rFonts w:ascii="Calibri" w:hAnsi="Calibri"/>
                <w:color w:val="000000"/>
                <w:sz w:val="24"/>
              </w:rPr>
              <w:t>480.08</w:t>
            </w:r>
          </w:p>
        </w:tc>
        <w:tc>
          <w:tcPr>
            <w:tcW w:type="dxa" w:w="2880"/>
          </w:tcPr>
          <w:p>
            <w:r>
              <w:rPr>
                <w:rFonts w:ascii="Calibri" w:hAnsi="Calibri"/>
                <w:color w:val="000000"/>
                <w:sz w:val="24"/>
              </w:rPr>
              <w:t>529.93</w:t>
            </w:r>
          </w:p>
        </w:tc>
      </w:tr>
      <w:tr>
        <w:tc>
          <w:tcPr>
            <w:tcW w:type="dxa" w:w="2880"/>
          </w:tcPr>
          <w:p>
            <w:r>
              <w:rPr>
                <w:rFonts w:ascii="Calibri" w:hAnsi="Calibri"/>
                <w:color w:val="000000"/>
                <w:sz w:val="24"/>
              </w:rPr>
              <w:t>ARIMA(8,0,6)</w:t>
            </w:r>
          </w:p>
        </w:tc>
        <w:tc>
          <w:tcPr>
            <w:tcW w:type="dxa" w:w="2880"/>
          </w:tcPr>
          <w:p>
            <w:r>
              <w:rPr>
                <w:rFonts w:ascii="Calibri" w:hAnsi="Calibri"/>
                <w:color w:val="000000"/>
                <w:sz w:val="24"/>
              </w:rPr>
              <w:t>480.52</w:t>
            </w:r>
          </w:p>
        </w:tc>
        <w:tc>
          <w:tcPr>
            <w:tcW w:type="dxa" w:w="2880"/>
          </w:tcPr>
          <w:p>
            <w:r>
              <w:rPr>
                <w:rFonts w:ascii="Calibri" w:hAnsi="Calibri"/>
                <w:color w:val="000000"/>
                <w:sz w:val="24"/>
              </w:rPr>
              <w:t>533.93</w:t>
            </w:r>
          </w:p>
        </w:tc>
      </w:tr>
      <w:tr>
        <w:tc>
          <w:tcPr>
            <w:tcW w:type="dxa" w:w="2880"/>
          </w:tcPr>
          <w:p>
            <w:r>
              <w:rPr>
                <w:rFonts w:ascii="Calibri" w:hAnsi="Calibri"/>
                <w:color w:val="000000"/>
                <w:sz w:val="24"/>
              </w:rPr>
              <w:t>ARIMA(9,0,5)</w:t>
            </w:r>
          </w:p>
        </w:tc>
        <w:tc>
          <w:tcPr>
            <w:tcW w:type="dxa" w:w="2880"/>
          </w:tcPr>
          <w:p>
            <w:r>
              <w:rPr>
                <w:rFonts w:ascii="Calibri" w:hAnsi="Calibri"/>
                <w:color w:val="000000"/>
                <w:sz w:val="24"/>
              </w:rPr>
              <w:t>480.73</w:t>
            </w:r>
          </w:p>
        </w:tc>
        <w:tc>
          <w:tcPr>
            <w:tcW w:type="dxa" w:w="2880"/>
          </w:tcPr>
          <w:p>
            <w:r>
              <w:rPr>
                <w:rFonts w:ascii="Calibri" w:hAnsi="Calibri"/>
                <w:color w:val="000000"/>
                <w:sz w:val="24"/>
              </w:rPr>
              <w:t>534.14</w:t>
            </w:r>
          </w:p>
        </w:tc>
      </w:tr>
      <w:tr>
        <w:tc>
          <w:tcPr>
            <w:tcW w:type="dxa" w:w="2880"/>
          </w:tcPr>
          <w:p>
            <w:r>
              <w:rPr>
                <w:rFonts w:ascii="Calibri" w:hAnsi="Calibri"/>
                <w:color w:val="000000"/>
                <w:sz w:val="24"/>
              </w:rPr>
              <w:t>ARIMA(8,0,2)</w:t>
            </w:r>
          </w:p>
        </w:tc>
        <w:tc>
          <w:tcPr>
            <w:tcW w:type="dxa" w:w="2880"/>
          </w:tcPr>
          <w:p>
            <w:r>
              <w:rPr>
                <w:rFonts w:ascii="Calibri" w:hAnsi="Calibri"/>
                <w:color w:val="000000"/>
                <w:sz w:val="24"/>
              </w:rPr>
              <w:t>481.07</w:t>
            </w:r>
          </w:p>
        </w:tc>
        <w:tc>
          <w:tcPr>
            <w:tcW w:type="dxa" w:w="2880"/>
          </w:tcPr>
          <w:p>
            <w:r>
              <w:rPr>
                <w:rFonts w:ascii="Calibri" w:hAnsi="Calibri"/>
                <w:color w:val="000000"/>
                <w:sz w:val="24"/>
              </w:rPr>
              <w:t>520.24</w:t>
            </w:r>
          </w:p>
        </w:tc>
      </w:tr>
      <w:tr>
        <w:tc>
          <w:tcPr>
            <w:tcW w:type="dxa" w:w="2880"/>
          </w:tcPr>
          <w:p>
            <w:r>
              <w:rPr>
                <w:rFonts w:ascii="Calibri" w:hAnsi="Calibri"/>
                <w:color w:val="000000"/>
                <w:sz w:val="24"/>
              </w:rPr>
              <w:t>ARIMA(4,0,6)</w:t>
            </w:r>
          </w:p>
        </w:tc>
        <w:tc>
          <w:tcPr>
            <w:tcW w:type="dxa" w:w="2880"/>
          </w:tcPr>
          <w:p>
            <w:r>
              <w:rPr>
                <w:rFonts w:ascii="Calibri" w:hAnsi="Calibri"/>
                <w:color w:val="000000"/>
                <w:sz w:val="24"/>
              </w:rPr>
              <w:t>481.11</w:t>
            </w:r>
          </w:p>
        </w:tc>
        <w:tc>
          <w:tcPr>
            <w:tcW w:type="dxa" w:w="2880"/>
          </w:tcPr>
          <w:p>
            <w:r>
              <w:rPr>
                <w:rFonts w:ascii="Calibri" w:hAnsi="Calibri"/>
                <w:color w:val="000000"/>
                <w:sz w:val="24"/>
              </w:rPr>
              <w:t>520.27</w:t>
            </w:r>
          </w:p>
        </w:tc>
      </w:tr>
    </w:tbl>
    <w:p/>
    <w:p>
      <w:r>
        <w:rPr>
          <w:rFonts w:ascii="Calibri" w:hAnsi="Calibri"/>
          <w:color w:val="000000"/>
          <w:sz w:val="24"/>
        </w:rPr>
        <w:t>The three selected models are ARIMA(8,0,5), ARIMA(8,0,6), and ARIMA(8,0,2). Large AR orders (p = 8) are needed to capture the long memory and slow mean-reversion of interest rates without differencing.</w:t>
      </w:r>
    </w:p>
    <w:p>
      <w:pPr>
        <w:pStyle w:val="Heading3"/>
      </w:pPr>
      <w:r>
        <w:t>2(a) — Forecast Plot</w:t>
      </w:r>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2a_forecast.png"/>
                    <pic:cNvPicPr/>
                  </pic:nvPicPr>
                  <pic:blipFill>
                    <a:blip r:embed="rId9"/>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40864"/>
            <wp:docPr id="2" name="Picture 2"/>
            <wp:cNvGraphicFramePr>
              <a:graphicFrameLocks noChangeAspect="1"/>
            </wp:cNvGraphicFramePr>
            <a:graphic>
              <a:graphicData uri="http://schemas.openxmlformats.org/drawingml/2006/picture">
                <pic:pic>
                  <pic:nvPicPr>
                    <pic:cNvPr id="0" name="fig2b_r_forecast.png"/>
                    <pic:cNvPicPr/>
                  </pic:nvPicPr>
                  <pic:blipFill>
                    <a:blip r:embed="rId10"/>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r>
        <w:rPr>
          <w:rFonts w:ascii="Calibri" w:hAnsi="Calibri"/>
          <w:b/>
          <w:color w:val="000000"/>
          <w:sz w:val="24"/>
        </w:rPr>
        <w:t>Inflation forecasts (h = 1 to 7 quarters ahead, 95% CI for ARIMA(2,0,10)):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Quarter</w:t>
            </w:r>
          </w:p>
        </w:tc>
        <w:tc>
          <w:tcPr>
            <w:tcW w:type="dxa" w:w="1440"/>
          </w:tcPr>
          <w:p>
            <w:r>
              <w:rPr>
                <w:rFonts w:ascii="Calibri" w:hAnsi="Calibri"/>
                <w:b/>
                <w:color w:val="000000"/>
                <w:sz w:val="24"/>
              </w:rPr>
              <w:t>ARIMA(2,0,10)</w:t>
            </w:r>
          </w:p>
        </w:tc>
        <w:tc>
          <w:tcPr>
            <w:tcW w:type="dxa" w:w="1440"/>
          </w:tcPr>
          <w:p>
            <w:r>
              <w:rPr>
                <w:rFonts w:ascii="Calibri" w:hAnsi="Calibri"/>
                <w:b/>
                <w:color w:val="000000"/>
                <w:sz w:val="24"/>
              </w:rPr>
              <w:t>ARIMA(4,0,9)</w:t>
            </w:r>
          </w:p>
        </w:tc>
        <w:tc>
          <w:tcPr>
            <w:tcW w:type="dxa" w:w="1440"/>
          </w:tcPr>
          <w:p>
            <w:r>
              <w:rPr>
                <w:rFonts w:ascii="Calibri" w:hAnsi="Calibri"/>
                <w:b/>
                <w:color w:val="000000"/>
                <w:sz w:val="24"/>
              </w:rPr>
              <w:t>ARIMA(2,0,9)</w:t>
            </w:r>
          </w:p>
        </w:tc>
        <w:tc>
          <w:tcPr>
            <w:tcW w:type="dxa" w:w="1440"/>
          </w:tcPr>
          <w:p>
            <w:r>
              <w:rPr>
                <w:rFonts w:ascii="Calibri" w:hAnsi="Calibri"/>
                <w:b/>
                <w:color w:val="000000"/>
                <w:sz w:val="24"/>
              </w:rPr>
              <w:t>95% CI lower</w:t>
            </w:r>
          </w:p>
        </w:tc>
        <w:tc>
          <w:tcPr>
            <w:tcW w:type="dxa" w:w="1440"/>
          </w:tcPr>
          <w:p>
            <w:r>
              <w:rPr>
                <w:rFonts w:ascii="Calibri" w:hAnsi="Calibri"/>
                <w:b/>
                <w:color w:val="000000"/>
                <w:sz w:val="24"/>
              </w:rPr>
              <w:t>95% CI upper</w:t>
            </w:r>
          </w:p>
        </w:tc>
      </w:tr>
      <w:tr>
        <w:tc>
          <w:tcPr>
            <w:tcW w:type="dxa" w:w="1440"/>
          </w:tcPr>
          <w:p>
            <w:r>
              <w:rPr>
                <w:rFonts w:ascii="Calibri" w:hAnsi="Calibri"/>
                <w:color w:val="000000"/>
                <w:sz w:val="24"/>
              </w:rPr>
              <w:t>2024Q1</w:t>
            </w:r>
          </w:p>
        </w:tc>
        <w:tc>
          <w:tcPr>
            <w:tcW w:type="dxa" w:w="1440"/>
          </w:tcPr>
          <w:p>
            <w:r>
              <w:rPr>
                <w:rFonts w:ascii="Calibri" w:hAnsi="Calibri"/>
                <w:color w:val="000000"/>
                <w:sz w:val="24"/>
              </w:rPr>
              <w:t>0.00798</w:t>
            </w:r>
          </w:p>
        </w:tc>
        <w:tc>
          <w:tcPr>
            <w:tcW w:type="dxa" w:w="1440"/>
          </w:tcPr>
          <w:p>
            <w:r>
              <w:rPr>
                <w:rFonts w:ascii="Calibri" w:hAnsi="Calibri"/>
                <w:color w:val="000000"/>
                <w:sz w:val="24"/>
              </w:rPr>
              <w:t>0.00801</w:t>
            </w:r>
          </w:p>
        </w:tc>
        <w:tc>
          <w:tcPr>
            <w:tcW w:type="dxa" w:w="1440"/>
          </w:tcPr>
          <w:p>
            <w:r>
              <w:rPr>
                <w:rFonts w:ascii="Calibri" w:hAnsi="Calibri"/>
                <w:color w:val="000000"/>
                <w:sz w:val="24"/>
              </w:rPr>
              <w:t>0.00808</w:t>
            </w:r>
          </w:p>
        </w:tc>
        <w:tc>
          <w:tcPr>
            <w:tcW w:type="dxa" w:w="1440"/>
          </w:tcPr>
          <w:p>
            <w:r>
              <w:rPr>
                <w:rFonts w:ascii="Calibri" w:hAnsi="Calibri"/>
                <w:color w:val="000000"/>
                <w:sz w:val="24"/>
              </w:rPr>
              <w:t>0.00545</w:t>
            </w:r>
          </w:p>
        </w:tc>
        <w:tc>
          <w:tcPr>
            <w:tcW w:type="dxa" w:w="1440"/>
          </w:tcPr>
          <w:p>
            <w:r>
              <w:rPr>
                <w:rFonts w:ascii="Calibri" w:hAnsi="Calibri"/>
                <w:color w:val="000000"/>
                <w:sz w:val="24"/>
              </w:rPr>
              <w:t>0.01051</w:t>
            </w:r>
          </w:p>
        </w:tc>
      </w:tr>
      <w:tr>
        <w:tc>
          <w:tcPr>
            <w:tcW w:type="dxa" w:w="1440"/>
          </w:tcPr>
          <w:p>
            <w:r>
              <w:rPr>
                <w:rFonts w:ascii="Calibri" w:hAnsi="Calibri"/>
                <w:color w:val="000000"/>
                <w:sz w:val="24"/>
              </w:rPr>
              <w:t>2024Q2</w:t>
            </w:r>
          </w:p>
        </w:tc>
        <w:tc>
          <w:tcPr>
            <w:tcW w:type="dxa" w:w="1440"/>
          </w:tcPr>
          <w:p>
            <w:r>
              <w:rPr>
                <w:rFonts w:ascii="Calibri" w:hAnsi="Calibri"/>
                <w:color w:val="000000"/>
                <w:sz w:val="24"/>
              </w:rPr>
              <w:t>0.00683</w:t>
            </w:r>
          </w:p>
        </w:tc>
        <w:tc>
          <w:tcPr>
            <w:tcW w:type="dxa" w:w="1440"/>
          </w:tcPr>
          <w:p>
            <w:r>
              <w:rPr>
                <w:rFonts w:ascii="Calibri" w:hAnsi="Calibri"/>
                <w:color w:val="000000"/>
                <w:sz w:val="24"/>
              </w:rPr>
              <w:t>0.00682</w:t>
            </w:r>
          </w:p>
        </w:tc>
        <w:tc>
          <w:tcPr>
            <w:tcW w:type="dxa" w:w="1440"/>
          </w:tcPr>
          <w:p>
            <w:r>
              <w:rPr>
                <w:rFonts w:ascii="Calibri" w:hAnsi="Calibri"/>
                <w:color w:val="000000"/>
                <w:sz w:val="24"/>
              </w:rPr>
              <w:t>0.00722</w:t>
            </w:r>
          </w:p>
        </w:tc>
        <w:tc>
          <w:tcPr>
            <w:tcW w:type="dxa" w:w="1440"/>
          </w:tcPr>
          <w:p>
            <w:r>
              <w:rPr>
                <w:rFonts w:ascii="Calibri" w:hAnsi="Calibri"/>
                <w:color w:val="000000"/>
                <w:sz w:val="24"/>
              </w:rPr>
              <w:t>0.00224</w:t>
            </w:r>
          </w:p>
        </w:tc>
        <w:tc>
          <w:tcPr>
            <w:tcW w:type="dxa" w:w="1440"/>
          </w:tcPr>
          <w:p>
            <w:r>
              <w:rPr>
                <w:rFonts w:ascii="Calibri" w:hAnsi="Calibri"/>
                <w:color w:val="000000"/>
                <w:sz w:val="24"/>
              </w:rPr>
              <w:t>0.01141</w:t>
            </w:r>
          </w:p>
        </w:tc>
      </w:tr>
      <w:tr>
        <w:tc>
          <w:tcPr>
            <w:tcW w:type="dxa" w:w="1440"/>
          </w:tcPr>
          <w:p>
            <w:r>
              <w:rPr>
                <w:rFonts w:ascii="Calibri" w:hAnsi="Calibri"/>
                <w:color w:val="000000"/>
                <w:sz w:val="24"/>
              </w:rPr>
              <w:t>2024Q3</w:t>
            </w:r>
          </w:p>
        </w:tc>
        <w:tc>
          <w:tcPr>
            <w:tcW w:type="dxa" w:w="1440"/>
          </w:tcPr>
          <w:p>
            <w:r>
              <w:rPr>
                <w:rFonts w:ascii="Calibri" w:hAnsi="Calibri"/>
                <w:color w:val="000000"/>
                <w:sz w:val="24"/>
              </w:rPr>
              <w:t>0.00656</w:t>
            </w:r>
          </w:p>
        </w:tc>
        <w:tc>
          <w:tcPr>
            <w:tcW w:type="dxa" w:w="1440"/>
          </w:tcPr>
          <w:p>
            <w:r>
              <w:rPr>
                <w:rFonts w:ascii="Calibri" w:hAnsi="Calibri"/>
                <w:color w:val="000000"/>
                <w:sz w:val="24"/>
              </w:rPr>
              <w:t>0.00667</w:t>
            </w:r>
          </w:p>
        </w:tc>
        <w:tc>
          <w:tcPr>
            <w:tcW w:type="dxa" w:w="1440"/>
          </w:tcPr>
          <w:p>
            <w:r>
              <w:rPr>
                <w:rFonts w:ascii="Calibri" w:hAnsi="Calibri"/>
                <w:color w:val="000000"/>
                <w:sz w:val="24"/>
              </w:rPr>
              <w:t>0.00718</w:t>
            </w:r>
          </w:p>
        </w:tc>
        <w:tc>
          <w:tcPr>
            <w:tcW w:type="dxa" w:w="1440"/>
          </w:tcPr>
          <w:p>
            <w:r>
              <w:rPr>
                <w:rFonts w:ascii="Calibri" w:hAnsi="Calibri"/>
                <w:color w:val="000000"/>
                <w:sz w:val="24"/>
              </w:rPr>
              <w:t>0.00000</w:t>
            </w:r>
          </w:p>
        </w:tc>
        <w:tc>
          <w:tcPr>
            <w:tcW w:type="dxa" w:w="1440"/>
          </w:tcPr>
          <w:p>
            <w:r>
              <w:rPr>
                <w:rFonts w:ascii="Calibri" w:hAnsi="Calibri"/>
                <w:color w:val="000000"/>
                <w:sz w:val="24"/>
              </w:rPr>
              <w:t>0.01312</w:t>
            </w:r>
          </w:p>
        </w:tc>
      </w:tr>
      <w:tr>
        <w:tc>
          <w:tcPr>
            <w:tcW w:type="dxa" w:w="1440"/>
          </w:tcPr>
          <w:p>
            <w:r>
              <w:rPr>
                <w:rFonts w:ascii="Calibri" w:hAnsi="Calibri"/>
                <w:color w:val="000000"/>
                <w:sz w:val="24"/>
              </w:rPr>
              <w:t>2024Q4</w:t>
            </w:r>
          </w:p>
        </w:tc>
        <w:tc>
          <w:tcPr>
            <w:tcW w:type="dxa" w:w="1440"/>
          </w:tcPr>
          <w:p>
            <w:r>
              <w:rPr>
                <w:rFonts w:ascii="Calibri" w:hAnsi="Calibri"/>
                <w:color w:val="000000"/>
                <w:sz w:val="24"/>
              </w:rPr>
              <w:t>0.00581</w:t>
            </w:r>
          </w:p>
        </w:tc>
        <w:tc>
          <w:tcPr>
            <w:tcW w:type="dxa" w:w="1440"/>
          </w:tcPr>
          <w:p>
            <w:r>
              <w:rPr>
                <w:rFonts w:ascii="Calibri" w:hAnsi="Calibri"/>
                <w:color w:val="000000"/>
                <w:sz w:val="24"/>
              </w:rPr>
              <w:t>0.00594</w:t>
            </w:r>
          </w:p>
        </w:tc>
        <w:tc>
          <w:tcPr>
            <w:tcW w:type="dxa" w:w="1440"/>
          </w:tcPr>
          <w:p>
            <w:r>
              <w:rPr>
                <w:rFonts w:ascii="Calibri" w:hAnsi="Calibri"/>
                <w:color w:val="000000"/>
                <w:sz w:val="24"/>
              </w:rPr>
              <w:t>0.00623</w:t>
            </w:r>
          </w:p>
        </w:tc>
        <w:tc>
          <w:tcPr>
            <w:tcW w:type="dxa" w:w="1440"/>
          </w:tcPr>
          <w:p>
            <w:r>
              <w:rPr>
                <w:rFonts w:ascii="Calibri" w:hAnsi="Calibri"/>
                <w:color w:val="000000"/>
                <w:sz w:val="24"/>
              </w:rPr>
              <w:t>−0.00304</w:t>
            </w:r>
          </w:p>
        </w:tc>
        <w:tc>
          <w:tcPr>
            <w:tcW w:type="dxa" w:w="1440"/>
          </w:tcPr>
          <w:p>
            <w:r>
              <w:rPr>
                <w:rFonts w:ascii="Calibri" w:hAnsi="Calibri"/>
                <w:color w:val="000000"/>
                <w:sz w:val="24"/>
              </w:rPr>
              <w:t>0.01466</w:t>
            </w:r>
          </w:p>
        </w:tc>
      </w:tr>
      <w:tr>
        <w:tc>
          <w:tcPr>
            <w:tcW w:type="dxa" w:w="1440"/>
          </w:tcPr>
          <w:p>
            <w:r>
              <w:rPr>
                <w:rFonts w:ascii="Calibri" w:hAnsi="Calibri"/>
                <w:color w:val="000000"/>
                <w:sz w:val="24"/>
              </w:rPr>
              <w:t>2025Q1</w:t>
            </w:r>
          </w:p>
        </w:tc>
        <w:tc>
          <w:tcPr>
            <w:tcW w:type="dxa" w:w="1440"/>
          </w:tcPr>
          <w:p>
            <w:r>
              <w:rPr>
                <w:rFonts w:ascii="Calibri" w:hAnsi="Calibri"/>
                <w:color w:val="000000"/>
                <w:sz w:val="24"/>
              </w:rPr>
              <w:t>0.00604</w:t>
            </w:r>
          </w:p>
        </w:tc>
        <w:tc>
          <w:tcPr>
            <w:tcW w:type="dxa" w:w="1440"/>
          </w:tcPr>
          <w:p>
            <w:r>
              <w:rPr>
                <w:rFonts w:ascii="Calibri" w:hAnsi="Calibri"/>
                <w:color w:val="000000"/>
                <w:sz w:val="24"/>
              </w:rPr>
              <w:t>0.00650</w:t>
            </w:r>
          </w:p>
        </w:tc>
        <w:tc>
          <w:tcPr>
            <w:tcW w:type="dxa" w:w="1440"/>
          </w:tcPr>
          <w:p>
            <w:r>
              <w:rPr>
                <w:rFonts w:ascii="Calibri" w:hAnsi="Calibri"/>
                <w:color w:val="000000"/>
                <w:sz w:val="24"/>
              </w:rPr>
              <w:t>0.00655</w:t>
            </w:r>
          </w:p>
        </w:tc>
        <w:tc>
          <w:tcPr>
            <w:tcW w:type="dxa" w:w="1440"/>
          </w:tcPr>
          <w:p>
            <w:r>
              <w:rPr>
                <w:rFonts w:ascii="Calibri" w:hAnsi="Calibri"/>
                <w:color w:val="000000"/>
                <w:sz w:val="24"/>
              </w:rPr>
              <w:t>−0.00381</w:t>
            </w:r>
          </w:p>
        </w:tc>
        <w:tc>
          <w:tcPr>
            <w:tcW w:type="dxa" w:w="1440"/>
          </w:tcPr>
          <w:p>
            <w:r>
              <w:rPr>
                <w:rFonts w:ascii="Calibri" w:hAnsi="Calibri"/>
                <w:color w:val="000000"/>
                <w:sz w:val="24"/>
              </w:rPr>
              <w:t>0.01590</w:t>
            </w:r>
          </w:p>
        </w:tc>
      </w:tr>
      <w:tr>
        <w:tc>
          <w:tcPr>
            <w:tcW w:type="dxa" w:w="1440"/>
          </w:tcPr>
          <w:p>
            <w:r>
              <w:rPr>
                <w:rFonts w:ascii="Calibri" w:hAnsi="Calibri"/>
                <w:color w:val="000000"/>
                <w:sz w:val="24"/>
              </w:rPr>
              <w:t>2025Q2</w:t>
            </w:r>
          </w:p>
        </w:tc>
        <w:tc>
          <w:tcPr>
            <w:tcW w:type="dxa" w:w="1440"/>
          </w:tcPr>
          <w:p>
            <w:r>
              <w:rPr>
                <w:rFonts w:ascii="Calibri" w:hAnsi="Calibri"/>
                <w:color w:val="000000"/>
                <w:sz w:val="24"/>
              </w:rPr>
              <w:t>0.00689</w:t>
            </w:r>
          </w:p>
        </w:tc>
        <w:tc>
          <w:tcPr>
            <w:tcW w:type="dxa" w:w="1440"/>
          </w:tcPr>
          <w:p>
            <w:r>
              <w:rPr>
                <w:rFonts w:ascii="Calibri" w:hAnsi="Calibri"/>
                <w:color w:val="000000"/>
                <w:sz w:val="24"/>
              </w:rPr>
              <w:t>0.00741</w:t>
            </w:r>
          </w:p>
        </w:tc>
        <w:tc>
          <w:tcPr>
            <w:tcW w:type="dxa" w:w="1440"/>
          </w:tcPr>
          <w:p>
            <w:r>
              <w:rPr>
                <w:rFonts w:ascii="Calibri" w:hAnsi="Calibri"/>
                <w:color w:val="000000"/>
                <w:sz w:val="24"/>
              </w:rPr>
              <w:t>0.00682</w:t>
            </w:r>
          </w:p>
        </w:tc>
        <w:tc>
          <w:tcPr>
            <w:tcW w:type="dxa" w:w="1440"/>
          </w:tcPr>
          <w:p>
            <w:r>
              <w:rPr>
                <w:rFonts w:ascii="Calibri" w:hAnsi="Calibri"/>
                <w:color w:val="000000"/>
                <w:sz w:val="24"/>
              </w:rPr>
              <w:t>−0.00378</w:t>
            </w:r>
          </w:p>
        </w:tc>
        <w:tc>
          <w:tcPr>
            <w:tcW w:type="dxa" w:w="1440"/>
          </w:tcPr>
          <w:p>
            <w:r>
              <w:rPr>
                <w:rFonts w:ascii="Calibri" w:hAnsi="Calibri"/>
                <w:color w:val="000000"/>
                <w:sz w:val="24"/>
              </w:rPr>
              <w:t>0.01756</w:t>
            </w:r>
          </w:p>
        </w:tc>
      </w:tr>
      <w:tr>
        <w:tc>
          <w:tcPr>
            <w:tcW w:type="dxa" w:w="1440"/>
          </w:tcPr>
          <w:p>
            <w:r>
              <w:rPr>
                <w:rFonts w:ascii="Calibri" w:hAnsi="Calibri"/>
                <w:color w:val="000000"/>
                <w:sz w:val="24"/>
              </w:rPr>
              <w:t>2025Q3</w:t>
            </w:r>
          </w:p>
        </w:tc>
        <w:tc>
          <w:tcPr>
            <w:tcW w:type="dxa" w:w="1440"/>
          </w:tcPr>
          <w:p>
            <w:r>
              <w:rPr>
                <w:rFonts w:ascii="Calibri" w:hAnsi="Calibri"/>
                <w:color w:val="000000"/>
                <w:sz w:val="24"/>
              </w:rPr>
              <w:t>0.00737</w:t>
            </w:r>
          </w:p>
        </w:tc>
        <w:tc>
          <w:tcPr>
            <w:tcW w:type="dxa" w:w="1440"/>
          </w:tcPr>
          <w:p>
            <w:r>
              <w:rPr>
                <w:rFonts w:ascii="Calibri" w:hAnsi="Calibri"/>
                <w:color w:val="000000"/>
                <w:sz w:val="24"/>
              </w:rPr>
              <w:t>0.00807</w:t>
            </w:r>
          </w:p>
        </w:tc>
        <w:tc>
          <w:tcPr>
            <w:tcW w:type="dxa" w:w="1440"/>
          </w:tcPr>
          <w:p>
            <w:r>
              <w:rPr>
                <w:rFonts w:ascii="Calibri" w:hAnsi="Calibri"/>
                <w:color w:val="000000"/>
                <w:sz w:val="24"/>
              </w:rPr>
              <w:t>0.00711</w:t>
            </w:r>
          </w:p>
        </w:tc>
        <w:tc>
          <w:tcPr>
            <w:tcW w:type="dxa" w:w="1440"/>
          </w:tcPr>
          <w:p>
            <w:r>
              <w:rPr>
                <w:rFonts w:ascii="Calibri" w:hAnsi="Calibri"/>
                <w:color w:val="000000"/>
                <w:sz w:val="24"/>
              </w:rPr>
              <w:t>−0.00416</w:t>
            </w:r>
          </w:p>
        </w:tc>
        <w:tc>
          <w:tcPr>
            <w:tcW w:type="dxa" w:w="1440"/>
          </w:tcPr>
          <w:p>
            <w:r>
              <w:rPr>
                <w:rFonts w:ascii="Calibri" w:hAnsi="Calibri"/>
                <w:color w:val="000000"/>
                <w:sz w:val="24"/>
              </w:rPr>
              <w:t>0.01891</w:t>
            </w:r>
          </w:p>
        </w:tc>
      </w:tr>
    </w:tbl>
    <w:p/>
    <w:p>
      <w:r>
        <w:rPr>
          <w:rFonts w:ascii="Calibri" w:hAnsi="Calibri"/>
          <w:color w:val="000000"/>
          <w:sz w:val="24"/>
        </w:rPr>
        <w:t>All three inflation models quickly move away from the last observed value and converge toward the long-run mean (around 0.007–0.008). The 95% interval widens from ±0.00253 at h=1 to ±0.01154 at h=7, reflecting the accumulation of forecast uncertainty.</w:t>
      </w:r>
    </w:p>
    <w:p>
      <w:r>
        <w:rPr>
          <w:rFonts w:ascii="Calibri" w:hAnsi="Calibri"/>
          <w:b/>
          <w:color w:val="000000"/>
          <w:sz w:val="24"/>
        </w:rPr>
        <w:t>Interest rate forecasts (h = 1 to 7 quarters ahead, ARIMA(8,0,5) point forecasts):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Quarter</w:t>
            </w:r>
          </w:p>
        </w:tc>
        <w:tc>
          <w:tcPr>
            <w:tcW w:type="dxa" w:w="2160"/>
          </w:tcPr>
          <w:p>
            <w:r>
              <w:rPr>
                <w:rFonts w:ascii="Calibri" w:hAnsi="Calibri"/>
                <w:b/>
                <w:color w:val="000000"/>
                <w:sz w:val="24"/>
              </w:rPr>
              <w:t>ARIMA(8,0,5)</w:t>
            </w:r>
          </w:p>
        </w:tc>
        <w:tc>
          <w:tcPr>
            <w:tcW w:type="dxa" w:w="2160"/>
          </w:tcPr>
          <w:p>
            <w:r>
              <w:rPr>
                <w:rFonts w:ascii="Calibri" w:hAnsi="Calibri"/>
                <w:b/>
                <w:color w:val="000000"/>
                <w:sz w:val="24"/>
              </w:rPr>
              <w:t>95% CI lower</w:t>
            </w:r>
          </w:p>
        </w:tc>
        <w:tc>
          <w:tcPr>
            <w:tcW w:type="dxa" w:w="2160"/>
          </w:tcPr>
          <w:p>
            <w:r>
              <w:rPr>
                <w:rFonts w:ascii="Calibri" w:hAnsi="Calibri"/>
                <w:b/>
                <w:color w:val="000000"/>
                <w:sz w:val="24"/>
              </w:rPr>
              <w:t>95% CI upper</w:t>
            </w:r>
          </w:p>
        </w:tc>
      </w:tr>
      <w:tr>
        <w:tc>
          <w:tcPr>
            <w:tcW w:type="dxa" w:w="2160"/>
          </w:tcPr>
          <w:p>
            <w:r>
              <w:rPr>
                <w:rFonts w:ascii="Calibri" w:hAnsi="Calibri"/>
                <w:color w:val="000000"/>
                <w:sz w:val="24"/>
              </w:rPr>
              <w:t>2024Q1</w:t>
            </w:r>
          </w:p>
        </w:tc>
        <w:tc>
          <w:tcPr>
            <w:tcW w:type="dxa" w:w="2160"/>
          </w:tcPr>
          <w:p>
            <w:r>
              <w:rPr>
                <w:rFonts w:ascii="Calibri" w:hAnsi="Calibri"/>
                <w:color w:val="000000"/>
                <w:sz w:val="24"/>
              </w:rPr>
              <w:t>5.200</w:t>
            </w:r>
          </w:p>
        </w:tc>
        <w:tc>
          <w:tcPr>
            <w:tcW w:type="dxa" w:w="2160"/>
          </w:tcPr>
          <w:p>
            <w:r>
              <w:rPr>
                <w:rFonts w:ascii="Calibri" w:hAnsi="Calibri"/>
                <w:color w:val="000000"/>
                <w:sz w:val="24"/>
              </w:rPr>
              <w:t>4.053</w:t>
            </w:r>
          </w:p>
        </w:tc>
        <w:tc>
          <w:tcPr>
            <w:tcW w:type="dxa" w:w="2160"/>
          </w:tcPr>
          <w:p>
            <w:r>
              <w:rPr>
                <w:rFonts w:ascii="Calibri" w:hAnsi="Calibri"/>
                <w:color w:val="000000"/>
                <w:sz w:val="24"/>
              </w:rPr>
              <w:t>6.347</w:t>
            </w:r>
          </w:p>
        </w:tc>
      </w:tr>
      <w:tr>
        <w:tc>
          <w:tcPr>
            <w:tcW w:type="dxa" w:w="2160"/>
          </w:tcPr>
          <w:p>
            <w:r>
              <w:rPr>
                <w:rFonts w:ascii="Calibri" w:hAnsi="Calibri"/>
                <w:color w:val="000000"/>
                <w:sz w:val="24"/>
              </w:rPr>
              <w:t>2024Q2</w:t>
            </w:r>
          </w:p>
        </w:tc>
        <w:tc>
          <w:tcPr>
            <w:tcW w:type="dxa" w:w="2160"/>
          </w:tcPr>
          <w:p>
            <w:r>
              <w:rPr>
                <w:rFonts w:ascii="Calibri" w:hAnsi="Calibri"/>
                <w:color w:val="000000"/>
                <w:sz w:val="24"/>
              </w:rPr>
              <w:t>5.135</w:t>
            </w:r>
          </w:p>
        </w:tc>
        <w:tc>
          <w:tcPr>
            <w:tcW w:type="dxa" w:w="2160"/>
          </w:tcPr>
          <w:p>
            <w:r>
              <w:rPr>
                <w:rFonts w:ascii="Calibri" w:hAnsi="Calibri"/>
                <w:color w:val="000000"/>
                <w:sz w:val="24"/>
              </w:rPr>
              <w:t>3.095</w:t>
            </w:r>
          </w:p>
        </w:tc>
        <w:tc>
          <w:tcPr>
            <w:tcW w:type="dxa" w:w="2160"/>
          </w:tcPr>
          <w:p>
            <w:r>
              <w:rPr>
                <w:rFonts w:ascii="Calibri" w:hAnsi="Calibri"/>
                <w:color w:val="000000"/>
                <w:sz w:val="24"/>
              </w:rPr>
              <w:t>7.175</w:t>
            </w:r>
          </w:p>
        </w:tc>
      </w:tr>
      <w:tr>
        <w:tc>
          <w:tcPr>
            <w:tcW w:type="dxa" w:w="2160"/>
          </w:tcPr>
          <w:p>
            <w:r>
              <w:rPr>
                <w:rFonts w:ascii="Calibri" w:hAnsi="Calibri"/>
                <w:color w:val="000000"/>
                <w:sz w:val="24"/>
              </w:rPr>
              <w:t>2024Q3</w:t>
            </w:r>
          </w:p>
        </w:tc>
        <w:tc>
          <w:tcPr>
            <w:tcW w:type="dxa" w:w="2160"/>
          </w:tcPr>
          <w:p>
            <w:r>
              <w:rPr>
                <w:rFonts w:ascii="Calibri" w:hAnsi="Calibri"/>
                <w:color w:val="000000"/>
                <w:sz w:val="24"/>
              </w:rPr>
              <w:t>4.726</w:t>
            </w:r>
          </w:p>
        </w:tc>
        <w:tc>
          <w:tcPr>
            <w:tcW w:type="dxa" w:w="2160"/>
          </w:tcPr>
          <w:p>
            <w:r>
              <w:rPr>
                <w:rFonts w:ascii="Calibri" w:hAnsi="Calibri"/>
                <w:color w:val="000000"/>
                <w:sz w:val="24"/>
              </w:rPr>
              <w:t>2.231</w:t>
            </w:r>
          </w:p>
        </w:tc>
        <w:tc>
          <w:tcPr>
            <w:tcW w:type="dxa" w:w="2160"/>
          </w:tcPr>
          <w:p>
            <w:r>
              <w:rPr>
                <w:rFonts w:ascii="Calibri" w:hAnsi="Calibri"/>
                <w:color w:val="000000"/>
                <w:sz w:val="24"/>
              </w:rPr>
              <w:t>7.221</w:t>
            </w:r>
          </w:p>
        </w:tc>
      </w:tr>
      <w:tr>
        <w:tc>
          <w:tcPr>
            <w:tcW w:type="dxa" w:w="2160"/>
          </w:tcPr>
          <w:p>
            <w:r>
              <w:rPr>
                <w:rFonts w:ascii="Calibri" w:hAnsi="Calibri"/>
                <w:color w:val="000000"/>
                <w:sz w:val="24"/>
              </w:rPr>
              <w:t>2024Q4</w:t>
            </w:r>
          </w:p>
        </w:tc>
        <w:tc>
          <w:tcPr>
            <w:tcW w:type="dxa" w:w="2160"/>
          </w:tcPr>
          <w:p>
            <w:r>
              <w:rPr>
                <w:rFonts w:ascii="Calibri" w:hAnsi="Calibri"/>
                <w:color w:val="000000"/>
                <w:sz w:val="24"/>
              </w:rPr>
              <w:t>4.316</w:t>
            </w:r>
          </w:p>
        </w:tc>
        <w:tc>
          <w:tcPr>
            <w:tcW w:type="dxa" w:w="2160"/>
          </w:tcPr>
          <w:p>
            <w:r>
              <w:rPr>
                <w:rFonts w:ascii="Calibri" w:hAnsi="Calibri"/>
                <w:color w:val="000000"/>
                <w:sz w:val="24"/>
              </w:rPr>
              <w:t>1.349</w:t>
            </w:r>
          </w:p>
        </w:tc>
        <w:tc>
          <w:tcPr>
            <w:tcW w:type="dxa" w:w="2160"/>
          </w:tcPr>
          <w:p>
            <w:r>
              <w:rPr>
                <w:rFonts w:ascii="Calibri" w:hAnsi="Calibri"/>
                <w:color w:val="000000"/>
                <w:sz w:val="24"/>
              </w:rPr>
              <w:t>7.283</w:t>
            </w:r>
          </w:p>
        </w:tc>
      </w:tr>
      <w:tr>
        <w:tc>
          <w:tcPr>
            <w:tcW w:type="dxa" w:w="2160"/>
          </w:tcPr>
          <w:p>
            <w:r>
              <w:rPr>
                <w:rFonts w:ascii="Calibri" w:hAnsi="Calibri"/>
                <w:color w:val="000000"/>
                <w:sz w:val="24"/>
              </w:rPr>
              <w:t>2025Q1</w:t>
            </w:r>
          </w:p>
        </w:tc>
        <w:tc>
          <w:tcPr>
            <w:tcW w:type="dxa" w:w="2160"/>
          </w:tcPr>
          <w:p>
            <w:r>
              <w:rPr>
                <w:rFonts w:ascii="Calibri" w:hAnsi="Calibri"/>
                <w:color w:val="000000"/>
                <w:sz w:val="24"/>
              </w:rPr>
              <w:t>4.109</w:t>
            </w:r>
          </w:p>
        </w:tc>
        <w:tc>
          <w:tcPr>
            <w:tcW w:type="dxa" w:w="2160"/>
          </w:tcPr>
          <w:p>
            <w:r>
              <w:rPr>
                <w:rFonts w:ascii="Calibri" w:hAnsi="Calibri"/>
                <w:color w:val="000000"/>
                <w:sz w:val="24"/>
              </w:rPr>
              <w:t>0.679</w:t>
            </w:r>
          </w:p>
        </w:tc>
        <w:tc>
          <w:tcPr>
            <w:tcW w:type="dxa" w:w="2160"/>
          </w:tcPr>
          <w:p>
            <w:r>
              <w:rPr>
                <w:rFonts w:ascii="Calibri" w:hAnsi="Calibri"/>
                <w:color w:val="000000"/>
                <w:sz w:val="24"/>
              </w:rPr>
              <w:t>7.539</w:t>
            </w:r>
          </w:p>
        </w:tc>
      </w:tr>
      <w:tr>
        <w:tc>
          <w:tcPr>
            <w:tcW w:type="dxa" w:w="2160"/>
          </w:tcPr>
          <w:p>
            <w:r>
              <w:rPr>
                <w:rFonts w:ascii="Calibri" w:hAnsi="Calibri"/>
                <w:color w:val="000000"/>
                <w:sz w:val="24"/>
              </w:rPr>
              <w:t>2025Q2</w:t>
            </w:r>
          </w:p>
        </w:tc>
        <w:tc>
          <w:tcPr>
            <w:tcW w:type="dxa" w:w="2160"/>
          </w:tcPr>
          <w:p>
            <w:r>
              <w:rPr>
                <w:rFonts w:ascii="Calibri" w:hAnsi="Calibri"/>
                <w:color w:val="000000"/>
                <w:sz w:val="24"/>
              </w:rPr>
              <w:t>3.826</w:t>
            </w:r>
          </w:p>
        </w:tc>
        <w:tc>
          <w:tcPr>
            <w:tcW w:type="dxa" w:w="2160"/>
          </w:tcPr>
          <w:p>
            <w:r>
              <w:rPr>
                <w:rFonts w:ascii="Calibri" w:hAnsi="Calibri"/>
                <w:color w:val="000000"/>
                <w:sz w:val="24"/>
              </w:rPr>
              <w:t>0.018</w:t>
            </w:r>
          </w:p>
        </w:tc>
        <w:tc>
          <w:tcPr>
            <w:tcW w:type="dxa" w:w="2160"/>
          </w:tcPr>
          <w:p>
            <w:r>
              <w:rPr>
                <w:rFonts w:ascii="Calibri" w:hAnsi="Calibri"/>
                <w:color w:val="000000"/>
                <w:sz w:val="24"/>
              </w:rPr>
              <w:t>7.635</w:t>
            </w:r>
          </w:p>
        </w:tc>
      </w:tr>
      <w:tr>
        <w:tc>
          <w:tcPr>
            <w:tcW w:type="dxa" w:w="2160"/>
          </w:tcPr>
          <w:p>
            <w:r>
              <w:rPr>
                <w:rFonts w:ascii="Calibri" w:hAnsi="Calibri"/>
                <w:color w:val="000000"/>
                <w:sz w:val="24"/>
              </w:rPr>
              <w:t>2025Q3</w:t>
            </w:r>
          </w:p>
        </w:tc>
        <w:tc>
          <w:tcPr>
            <w:tcW w:type="dxa" w:w="2160"/>
          </w:tcPr>
          <w:p>
            <w:r>
              <w:rPr>
                <w:rFonts w:ascii="Calibri" w:hAnsi="Calibri"/>
                <w:color w:val="000000"/>
                <w:sz w:val="24"/>
              </w:rPr>
              <w:t>3.467</w:t>
            </w:r>
          </w:p>
        </w:tc>
        <w:tc>
          <w:tcPr>
            <w:tcW w:type="dxa" w:w="2160"/>
          </w:tcPr>
          <w:p>
            <w:r>
              <w:rPr>
                <w:rFonts w:ascii="Calibri" w:hAnsi="Calibri"/>
                <w:color w:val="000000"/>
                <w:sz w:val="24"/>
              </w:rPr>
              <w:t>−0.709</w:t>
            </w:r>
          </w:p>
        </w:tc>
        <w:tc>
          <w:tcPr>
            <w:tcW w:type="dxa" w:w="2160"/>
          </w:tcPr>
          <w:p>
            <w:r>
              <w:rPr>
                <w:rFonts w:ascii="Calibri" w:hAnsi="Calibri"/>
                <w:color w:val="000000"/>
                <w:sz w:val="24"/>
              </w:rPr>
              <w:t>7.642</w:t>
            </w:r>
          </w:p>
        </w:tc>
      </w:tr>
    </w:tbl>
    <w:p/>
    <w:p>
      <w:r>
        <w:rPr>
          <w:rFonts w:ascii="Calibri" w:hAnsi="Calibri"/>
          <w:color w:val="000000"/>
          <w:sz w:val="24"/>
        </w:rPr>
        <w:t>The interest rate forecast declines gradually from 5.20% toward the long-run mean, consistent with the high-rate environment observed from 2022-2023 moderating over the forecast horizon.</w:t>
      </w:r>
    </w:p>
    <w:p>
      <w:pPr>
        <w:pStyle w:val="Heading3"/>
      </w:pPr>
      <w:r>
        <w:t>2(b) — Policy Discussion</w:t>
      </w:r>
    </w:p>
    <w:p>
      <w:r>
        <w:rPr>
          <w:rFonts w:ascii="Calibri" w:hAnsi="Calibri"/>
          <w:color w:val="000000"/>
          <w:sz w:val="24"/>
        </w:rPr>
        <w:t>Inflation forecasts like these are directly useful for monetary policy. The Federal Reserve uses inflation projections when deciding on interest rate changes — if inflation is forecast to stay above the 2% target, the Fed may maintain or raise rates, whereas a declining inflation path could support cuts. Fiscal authorities also use inflation projections to index spending programs and estimate real borrowing costs.</w:t>
      </w:r>
    </w:p>
    <w:p>
      <w:r>
        <w:rPr>
          <w:rFonts w:ascii="Calibri" w:hAnsi="Calibri"/>
          <w:color w:val="000000"/>
          <w:sz w:val="24"/>
        </w:rPr>
        <w:t>There are several sources of uncertainty worth distinguishing. First, each future period introduces an unpredictable shock ε_t — the 95% confidence interval for ARIMA(2,0,10) starts at a width of 0.00506 at h=1 and widens to 0.02307 at h=7, directly showing how much this accumulates. Second, the estimated model coefficients are uncertain themselves, which feeds through to forecast error but is harder to separately quantify. Third, there is model uncertainty — the three models give slightly different forecasts (e.g., at h=1 the range is 0.00798 to 0.00808), and all three may be misspecified in some way. Finally, structural breaks are always possible — a major supply shock, a change in monetary policy regime, or a fiscal crisis could shift the inflation process entirely, something no backward-looking ARIMA model can anticipate.</w:t>
      </w:r>
    </w:p>
    <w:p>
      <w:r>
        <w:br w:type="page"/>
      </w:r>
    </w:p>
    <w:p>
      <w:pPr>
        <w:pStyle w:val="Heading2"/>
      </w:pPr>
      <w:r>
        <w:t>Question 3</w:t>
      </w:r>
    </w:p>
    <w:p>
      <w:pPr>
        <w:pStyle w:val="Heading3"/>
      </w:pPr>
      <w:r>
        <w:t>Forecast Evaluation</w:t>
      </w:r>
    </w:p>
    <w:p>
      <w:r>
        <w:rPr>
          <w:rFonts w:ascii="Calibri" w:hAnsi="Calibri"/>
          <w:color w:val="000000"/>
          <w:sz w:val="24"/>
        </w:rPr>
        <w:t>Using the actual P_t values from the table and P_{2023Q4} = 14.547 from the dataset, the actual Δp_t values for 2024Q1–2025Q3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Actual Δp_t</w:t>
            </w:r>
          </w:p>
        </w:tc>
        <w:tc>
          <w:tcPr>
            <w:tcW w:type="dxa" w:w="1728"/>
          </w:tcPr>
          <w:p>
            <w:r>
              <w:rPr>
                <w:rFonts w:ascii="Calibri" w:hAnsi="Calibri"/>
                <w:b/>
                <w:color w:val="000000"/>
                <w:sz w:val="24"/>
              </w:rPr>
              <w:t>ARIMA(2,0,10)</w:t>
            </w:r>
          </w:p>
        </w:tc>
        <w:tc>
          <w:tcPr>
            <w:tcW w:type="dxa" w:w="1728"/>
          </w:tcPr>
          <w:p>
            <w:r>
              <w:rPr>
                <w:rFonts w:ascii="Calibri" w:hAnsi="Calibri"/>
                <w:b/>
                <w:color w:val="000000"/>
                <w:sz w:val="24"/>
              </w:rPr>
              <w:t>ARIMA(4,0,9)</w:t>
            </w:r>
          </w:p>
        </w:tc>
        <w:tc>
          <w:tcPr>
            <w:tcW w:type="dxa" w:w="1728"/>
          </w:tcPr>
          <w:p>
            <w:r>
              <w:rPr>
                <w:rFonts w:ascii="Calibri" w:hAnsi="Calibri"/>
                <w:b/>
                <w:color w:val="000000"/>
                <w:sz w:val="24"/>
              </w:rPr>
              <w:t>ARIMA(2,0,9)</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w:t>
            </w:r>
          </w:p>
        </w:tc>
        <w:tc>
          <w:tcPr>
            <w:tcW w:type="dxa" w:w="1728"/>
          </w:tcPr>
          <w:p>
            <w:r>
              <w:rPr>
                <w:rFonts w:ascii="Calibri" w:hAnsi="Calibri"/>
                <w:color w:val="000000"/>
                <w:sz w:val="24"/>
              </w:rPr>
              <w:t>0.00798</w:t>
            </w:r>
          </w:p>
        </w:tc>
        <w:tc>
          <w:tcPr>
            <w:tcW w:type="dxa" w:w="1728"/>
          </w:tcPr>
          <w:p>
            <w:r>
              <w:rPr>
                <w:rFonts w:ascii="Calibri" w:hAnsi="Calibri"/>
                <w:color w:val="000000"/>
                <w:sz w:val="24"/>
              </w:rPr>
              <w:t>0.00801</w:t>
            </w:r>
          </w:p>
        </w:tc>
        <w:tc>
          <w:tcPr>
            <w:tcW w:type="dxa" w:w="1728"/>
          </w:tcPr>
          <w:p>
            <w:r>
              <w:rPr>
                <w:rFonts w:ascii="Calibri" w:hAnsi="Calibri"/>
                <w:color w:val="000000"/>
                <w:sz w:val="24"/>
              </w:rPr>
              <w:t>0.00808</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w:t>
            </w:r>
          </w:p>
        </w:tc>
        <w:tc>
          <w:tcPr>
            <w:tcW w:type="dxa" w:w="1728"/>
          </w:tcPr>
          <w:p>
            <w:r>
              <w:rPr>
                <w:rFonts w:ascii="Calibri" w:hAnsi="Calibri"/>
                <w:color w:val="000000"/>
                <w:sz w:val="24"/>
              </w:rPr>
              <w:t>0.00683</w:t>
            </w:r>
          </w:p>
        </w:tc>
        <w:tc>
          <w:tcPr>
            <w:tcW w:type="dxa" w:w="1728"/>
          </w:tcPr>
          <w:p>
            <w:r>
              <w:rPr>
                <w:rFonts w:ascii="Calibri" w:hAnsi="Calibri"/>
                <w:color w:val="000000"/>
                <w:sz w:val="24"/>
              </w:rPr>
              <w:t>0.00682</w:t>
            </w:r>
          </w:p>
        </w:tc>
        <w:tc>
          <w:tcPr>
            <w:tcW w:type="dxa" w:w="1728"/>
          </w:tcPr>
          <w:p>
            <w:r>
              <w:rPr>
                <w:rFonts w:ascii="Calibri" w:hAnsi="Calibri"/>
                <w:color w:val="000000"/>
                <w:sz w:val="24"/>
              </w:rPr>
              <w:t>0.00722</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w:t>
            </w:r>
          </w:p>
        </w:tc>
        <w:tc>
          <w:tcPr>
            <w:tcW w:type="dxa" w:w="1728"/>
          </w:tcPr>
          <w:p>
            <w:r>
              <w:rPr>
                <w:rFonts w:ascii="Calibri" w:hAnsi="Calibri"/>
                <w:color w:val="000000"/>
                <w:sz w:val="24"/>
              </w:rPr>
              <w:t>0.00656</w:t>
            </w:r>
          </w:p>
        </w:tc>
        <w:tc>
          <w:tcPr>
            <w:tcW w:type="dxa" w:w="1728"/>
          </w:tcPr>
          <w:p>
            <w:r>
              <w:rPr>
                <w:rFonts w:ascii="Calibri" w:hAnsi="Calibri"/>
                <w:color w:val="000000"/>
                <w:sz w:val="24"/>
              </w:rPr>
              <w:t>0.00667</w:t>
            </w:r>
          </w:p>
        </w:tc>
        <w:tc>
          <w:tcPr>
            <w:tcW w:type="dxa" w:w="1728"/>
          </w:tcPr>
          <w:p>
            <w:r>
              <w:rPr>
                <w:rFonts w:ascii="Calibri" w:hAnsi="Calibri"/>
                <w:color w:val="000000"/>
                <w:sz w:val="24"/>
              </w:rPr>
              <w:t>0.00718</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0.00636</w:t>
            </w:r>
          </w:p>
        </w:tc>
        <w:tc>
          <w:tcPr>
            <w:tcW w:type="dxa" w:w="1728"/>
          </w:tcPr>
          <w:p>
            <w:r>
              <w:rPr>
                <w:rFonts w:ascii="Calibri" w:hAnsi="Calibri"/>
                <w:color w:val="000000"/>
                <w:sz w:val="24"/>
              </w:rPr>
              <w:t>0.00581</w:t>
            </w:r>
          </w:p>
        </w:tc>
        <w:tc>
          <w:tcPr>
            <w:tcW w:type="dxa" w:w="1728"/>
          </w:tcPr>
          <w:p>
            <w:r>
              <w:rPr>
                <w:rFonts w:ascii="Calibri" w:hAnsi="Calibri"/>
                <w:color w:val="000000"/>
                <w:sz w:val="24"/>
              </w:rPr>
              <w:t>0.00594</w:t>
            </w:r>
          </w:p>
        </w:tc>
        <w:tc>
          <w:tcPr>
            <w:tcW w:type="dxa" w:w="1728"/>
          </w:tcPr>
          <w:p>
            <w:r>
              <w:rPr>
                <w:rFonts w:ascii="Calibri" w:hAnsi="Calibri"/>
                <w:color w:val="000000"/>
                <w:sz w:val="24"/>
              </w:rPr>
              <w:t>0.00623</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w:t>
            </w:r>
          </w:p>
        </w:tc>
        <w:tc>
          <w:tcPr>
            <w:tcW w:type="dxa" w:w="1728"/>
          </w:tcPr>
          <w:p>
            <w:r>
              <w:rPr>
                <w:rFonts w:ascii="Calibri" w:hAnsi="Calibri"/>
                <w:color w:val="000000"/>
                <w:sz w:val="24"/>
              </w:rPr>
              <w:t>0.00604</w:t>
            </w:r>
          </w:p>
        </w:tc>
        <w:tc>
          <w:tcPr>
            <w:tcW w:type="dxa" w:w="1728"/>
          </w:tcPr>
          <w:p>
            <w:r>
              <w:rPr>
                <w:rFonts w:ascii="Calibri" w:hAnsi="Calibri"/>
                <w:color w:val="000000"/>
                <w:sz w:val="24"/>
              </w:rPr>
              <w:t>0.00650</w:t>
            </w:r>
          </w:p>
        </w:tc>
        <w:tc>
          <w:tcPr>
            <w:tcW w:type="dxa" w:w="1728"/>
          </w:tcPr>
          <w:p>
            <w:r>
              <w:rPr>
                <w:rFonts w:ascii="Calibri" w:hAnsi="Calibri"/>
                <w:color w:val="000000"/>
                <w:sz w:val="24"/>
              </w:rPr>
              <w:t>0.00655</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0.00634</w:t>
            </w:r>
          </w:p>
        </w:tc>
        <w:tc>
          <w:tcPr>
            <w:tcW w:type="dxa" w:w="1728"/>
          </w:tcPr>
          <w:p>
            <w:r>
              <w:rPr>
                <w:rFonts w:ascii="Calibri" w:hAnsi="Calibri"/>
                <w:color w:val="000000"/>
                <w:sz w:val="24"/>
              </w:rPr>
              <w:t>0.00689</w:t>
            </w:r>
          </w:p>
        </w:tc>
        <w:tc>
          <w:tcPr>
            <w:tcW w:type="dxa" w:w="1728"/>
          </w:tcPr>
          <w:p>
            <w:r>
              <w:rPr>
                <w:rFonts w:ascii="Calibri" w:hAnsi="Calibri"/>
                <w:color w:val="000000"/>
                <w:sz w:val="24"/>
              </w:rPr>
              <w:t>0.00741</w:t>
            </w:r>
          </w:p>
        </w:tc>
        <w:tc>
          <w:tcPr>
            <w:tcW w:type="dxa" w:w="1728"/>
          </w:tcPr>
          <w:p>
            <w:r>
              <w:rPr>
                <w:rFonts w:ascii="Calibri" w:hAnsi="Calibri"/>
                <w:color w:val="000000"/>
                <w:sz w:val="24"/>
              </w:rPr>
              <w:t>0.00682</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w:t>
            </w:r>
          </w:p>
        </w:tc>
        <w:tc>
          <w:tcPr>
            <w:tcW w:type="dxa" w:w="1728"/>
          </w:tcPr>
          <w:p>
            <w:r>
              <w:rPr>
                <w:rFonts w:ascii="Calibri" w:hAnsi="Calibri"/>
                <w:color w:val="000000"/>
                <w:sz w:val="24"/>
              </w:rPr>
              <w:t>0.00737</w:t>
            </w:r>
          </w:p>
        </w:tc>
        <w:tc>
          <w:tcPr>
            <w:tcW w:type="dxa" w:w="1728"/>
          </w:tcPr>
          <w:p>
            <w:r>
              <w:rPr>
                <w:rFonts w:ascii="Calibri" w:hAnsi="Calibri"/>
                <w:color w:val="000000"/>
                <w:sz w:val="24"/>
              </w:rPr>
              <w:t>0.00807</w:t>
            </w:r>
          </w:p>
        </w:tc>
        <w:tc>
          <w:tcPr>
            <w:tcW w:type="dxa" w:w="1728"/>
          </w:tcPr>
          <w:p>
            <w:r>
              <w:rPr>
                <w:rFonts w:ascii="Calibri" w:hAnsi="Calibri"/>
                <w:color w:val="000000"/>
                <w:sz w:val="24"/>
              </w:rPr>
              <w:t>0.00711</w:t>
            </w:r>
          </w:p>
        </w:tc>
      </w:tr>
    </w:tbl>
    <w:p/>
    <w:p>
      <w:r>
        <w:rPr>
          <w:rFonts w:ascii="Calibri" w:hAnsi="Calibri"/>
          <w:b/>
          <w:color w:val="000000"/>
          <w:sz w:val="24"/>
        </w:rP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ARIMA(2,0,10)</w:t>
            </w:r>
          </w:p>
        </w:tc>
        <w:tc>
          <w:tcPr>
            <w:tcW w:type="dxa" w:w="2160"/>
          </w:tcPr>
          <w:p>
            <w:r>
              <w:rPr>
                <w:rFonts w:ascii="Calibri" w:hAnsi="Calibri"/>
                <w:color w:val="000000"/>
                <w:sz w:val="24"/>
              </w:rPr>
              <w:t>8.40×10⁻⁷</w:t>
            </w:r>
          </w:p>
        </w:tc>
        <w:tc>
          <w:tcPr>
            <w:tcW w:type="dxa" w:w="2160"/>
          </w:tcPr>
          <w:p>
            <w:r>
              <w:rPr>
                <w:rFonts w:ascii="Calibri" w:hAnsi="Calibri"/>
                <w:color w:val="000000"/>
                <w:sz w:val="24"/>
              </w:rPr>
              <w:t>0.000916</w:t>
            </w:r>
          </w:p>
        </w:tc>
        <w:tc>
          <w:tcPr>
            <w:tcW w:type="dxa" w:w="2160"/>
          </w:tcPr>
          <w:p>
            <w:r>
              <w:rPr>
                <w:rFonts w:ascii="Calibri" w:hAnsi="Calibri"/>
                <w:color w:val="000000"/>
                <w:sz w:val="24"/>
              </w:rPr>
              <w:t>0.000803</w:t>
            </w:r>
          </w:p>
        </w:tc>
      </w:tr>
      <w:tr>
        <w:tc>
          <w:tcPr>
            <w:tcW w:type="dxa" w:w="2160"/>
          </w:tcPr>
          <w:p>
            <w:r>
              <w:rPr>
                <w:rFonts w:ascii="Calibri" w:hAnsi="Calibri"/>
                <w:color w:val="000000"/>
                <w:sz w:val="24"/>
              </w:rPr>
              <w:t>ARIMA(4,0,9)</w:t>
            </w:r>
          </w:p>
        </w:tc>
        <w:tc>
          <w:tcPr>
            <w:tcW w:type="dxa" w:w="2160"/>
          </w:tcPr>
          <w:p>
            <w:r>
              <w:rPr>
                <w:rFonts w:ascii="Calibri" w:hAnsi="Calibri"/>
                <w:color w:val="000000"/>
                <w:sz w:val="24"/>
              </w:rPr>
              <w:t>1.06×10⁻⁶</w:t>
            </w:r>
          </w:p>
        </w:tc>
        <w:tc>
          <w:tcPr>
            <w:tcW w:type="dxa" w:w="2160"/>
          </w:tcPr>
          <w:p>
            <w:r>
              <w:rPr>
                <w:rFonts w:ascii="Calibri" w:hAnsi="Calibri"/>
                <w:color w:val="000000"/>
                <w:sz w:val="24"/>
              </w:rPr>
              <w:t>0.001030</w:t>
            </w:r>
          </w:p>
        </w:tc>
        <w:tc>
          <w:tcPr>
            <w:tcW w:type="dxa" w:w="2160"/>
          </w:tcPr>
          <w:p>
            <w:r>
              <w:rPr>
                <w:rFonts w:ascii="Calibri" w:hAnsi="Calibri"/>
                <w:color w:val="000000"/>
                <w:sz w:val="24"/>
              </w:rPr>
              <w:t>0.000884</w:t>
            </w:r>
          </w:p>
        </w:tc>
      </w:tr>
      <w:tr>
        <w:tc>
          <w:tcPr>
            <w:tcW w:type="dxa" w:w="2160"/>
          </w:tcPr>
          <w:p>
            <w:r>
              <w:rPr>
                <w:rFonts w:ascii="Calibri" w:hAnsi="Calibri"/>
                <w:color w:val="000000"/>
                <w:sz w:val="24"/>
              </w:rPr>
              <w:t>ARIMA(2,0,9)</w:t>
            </w:r>
          </w:p>
        </w:tc>
        <w:tc>
          <w:tcPr>
            <w:tcW w:type="dxa" w:w="2160"/>
          </w:tcPr>
          <w:p>
            <w:r>
              <w:rPr>
                <w:rFonts w:ascii="Calibri" w:hAnsi="Calibri"/>
                <w:color w:val="000000"/>
                <w:sz w:val="24"/>
              </w:rPr>
              <w:t>3.39×10⁻⁷</w:t>
            </w:r>
          </w:p>
        </w:tc>
        <w:tc>
          <w:tcPr>
            <w:tcW w:type="dxa" w:w="2160"/>
          </w:tcPr>
          <w:p>
            <w:r>
              <w:rPr>
                <w:rFonts w:ascii="Calibri" w:hAnsi="Calibri"/>
                <w:color w:val="000000"/>
                <w:sz w:val="24"/>
              </w:rPr>
              <w:t>0.000582</w:t>
            </w:r>
          </w:p>
        </w:tc>
        <w:tc>
          <w:tcPr>
            <w:tcW w:type="dxa" w:w="2160"/>
          </w:tcPr>
          <w:p>
            <w:r>
              <w:rPr>
                <w:rFonts w:ascii="Calibri" w:hAnsi="Calibri"/>
                <w:color w:val="000000"/>
                <w:sz w:val="24"/>
              </w:rPr>
              <w:t>0.000494</w:t>
            </w:r>
          </w:p>
        </w:tc>
      </w:tr>
    </w:tbl>
    <w:p/>
    <w:p>
      <w:r>
        <w:rPr>
          <w:rFonts w:ascii="Calibri" w:hAnsi="Calibri"/>
          <w:color w:val="000000"/>
          <w:sz w:val="24"/>
        </w:rPr>
        <w:t>ARIMA(2,0,9) performs best on both MSFE and MAE — roughly 60% lower error than ARIMA(2,0,10). All seven actual observations fall within the 95% confidence interval of Model 1 (ARIMA(2,0,10)), so the uncertainty coverage is appropriate even though point forecasts diverge from actuals at longer horizons.</w:t>
      </w:r>
    </w:p>
    <w:p>
      <w:r>
        <w:rPr>
          <w:rFonts w:ascii="Calibri" w:hAnsi="Calibri"/>
          <w:color w:val="000000"/>
          <w:sz w:val="24"/>
        </w:rPr>
        <w:t>The models perform well at h=1 (ARIMA(2,0,10) achieves near-perfect 2024Q1 forecast) but diverge at longer horizons. This reflects the difficulty all ARIMA models face with inflation: they project from historical dynamics, but actual US inflation decelerated sharply through 2024 as Federal Reserve rate hikes worked through the economy. ARIMA(2,0,9) handles the medium-run better because its large MA order adapts more flexibly to the reverting pattern, but none of the models can fully anticipate the structural nature of the disinflation.</w:t>
      </w:r>
    </w:p>
    <w:p>
      <w:r>
        <w:br w:type="page"/>
      </w:r>
    </w:p>
    <w:p>
      <w:pPr>
        <w:pStyle w:val="Heading2"/>
      </w:pPr>
      <w:r>
        <w:t>Question 4</w:t>
      </w:r>
    </w:p>
    <w:p>
      <w:pPr>
        <w:pStyle w:val="Heading3"/>
      </w:pPr>
      <w:r>
        <w:t>4(a) — Real Interest Rate</w:t>
      </w:r>
    </w:p>
    <w:p>
      <w:pPr>
        <w:jc w:val="center"/>
      </w:pPr>
      <w:r>
        <w:rPr>
          <w:rFonts w:ascii="Calibri" w:hAnsi="Calibri"/>
          <w:color w:val="000000"/>
          <w:sz w:val="24"/>
        </w:rPr>
        <w:t>[INSERT ]</w:t>
      </w:r>
    </w:p>
    <w:p>
      <w:r>
        <w:rPr>
          <w:rFonts w:ascii="Calibri" w:hAnsi="Calibri"/>
          <w:color w:val="000000"/>
          <w:sz w:val="24"/>
        </w:rPr>
        <w:t>The real interest rate rr_t = r_t − Δp_t ranges from 0.007 to 15.03 with a mean of 4.34 across the sample. Since r_t is expressed in annualised percentage terms and Δp_t is a quarterly log-difference, rr_t closely tracks the nominal rate, with the Δp_t term providing a small quarterly adjustment. The plot shows the same broad patterns as r_t: high and rising through the early 1980s at the peak of the Volcker tightening, declining through the 1990s and 2000s, falling to near zero during the quantitative easing period after 2008, and rising sharply from 2022 onward. The real rate shows less of an outright downward trend than the nominal rate over the full sample, consistent with a weak Fisher effect — the nominal rate and inflation broadly moved together, leaving the real rate oscillating but without a clear long-run trend.</w:t>
      </w:r>
    </w:p>
    <w:p>
      <w:r>
        <w:rPr>
          <w:rFonts w:ascii="Calibri" w:hAnsi="Calibri"/>
          <w:b/>
          <w:color w:val="000000"/>
          <w:sz w:val="24"/>
        </w:rPr>
        <w:t>ARIMA for rr_t:</w:t>
      </w:r>
    </w:p>
    <w:p>
      <w:r>
        <w:rPr>
          <w:rFonts w:ascii="Calibri" w:hAnsi="Calibri"/>
          <w:color w:val="000000"/>
          <w:sz w:val="24"/>
        </w:rPr>
        <w:t>The ADF test (</w:t>
      </w:r>
      <m:oMath>
        <m:r>
          <m:t>H</m:t>
        </m:r>
        <m:r>
          <m:t>₀</m:t>
        </m:r>
      </m:oMath>
      <w:r>
        <w:rPr>
          <w:rFonts w:ascii="Calibri" w:hAnsi="Calibri"/>
          <w:color w:val="000000"/>
          <w:sz w:val="24"/>
        </w:rPr>
        <w:t>: unit root) is used to determine the integration order. The full aTSA table (Types I–III, lags 0–4) shows that the closest result to rejection is Type II (with drift, no trend) at lag 3: ADF = −2.57, p = 0.105 — right at the 10% boundary. While this is borderline, it does not cleanly reject the unit root at conventional significance levels.</w:t>
      </w:r>
    </w:p>
    <w:p>
      <w:r>
        <w:rPr>
          <w:rFonts w:ascii="Calibri" w:hAnsi="Calibri"/>
          <w:color w:val="000000"/>
          <w:sz w:val="24"/>
        </w:rPr>
        <w:t>However, setting d = 0 is supported on economic grounds: real interest rates are widely regarded as I(0) in the macroeconomics literature (Fisher hypothesis, monetary policy mean-reversion). The plot confirms that rr_t oscillates around a positive long-run mean of approximately 4.26% without any apparent drift, consistent with stationarity. The near-rejection in the ADF is likely a consequence of the high persistence in rr_t — a well-known source of low power in unit root tests — rather than genuine non-stationarity.</w:t>
      </w:r>
    </w:p>
    <w:p>
      <w:r>
        <w:rPr>
          <w:rFonts w:ascii="Calibri" w:hAnsi="Calibri"/>
          <w:color w:val="000000"/>
          <w:sz w:val="24"/>
        </w:rPr>
        <w:t>We therefore set d = 0. A wide ARIMA(p, 0, q) grid search (p, q = 0,...,10) is conducted and ARIMA(8, 0, 1) is selected by AIC — AIC = 477.10, BIC = 516.22:</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Parameter</w:t>
            </w:r>
          </w:p>
        </w:tc>
        <w:tc>
          <w:tcPr>
            <w:tcW w:type="dxa" w:w="2880"/>
          </w:tcPr>
          <w:p>
            <w:r>
              <w:rPr>
                <w:rFonts w:ascii="Calibri" w:hAnsi="Calibri"/>
                <w:b/>
                <w:color w:val="000000"/>
                <w:sz w:val="24"/>
              </w:rPr>
              <w:t>Estimate</w:t>
            </w:r>
          </w:p>
        </w:tc>
        <w:tc>
          <w:tcPr>
            <w:tcW w:type="dxa" w:w="2880"/>
          </w:tcPr>
          <w:p>
            <w:r>
              <w:rPr>
                <w:rFonts w:ascii="Calibri" w:hAnsi="Calibri"/>
                <w:b/>
                <w:color w:val="000000"/>
                <w:sz w:val="24"/>
              </w:rPr>
              <w:t>SE</w:t>
            </w:r>
          </w:p>
        </w:tc>
      </w:tr>
      <w:tr>
        <w:tc>
          <w:tcPr>
            <w:tcW w:type="dxa" w:w="2880"/>
          </w:tcPr>
          <w:p>
            <w:r>
              <w:rPr>
                <w:rFonts w:ascii="Calibri" w:hAnsi="Calibri"/>
                <w:color w:val="000000"/>
                <w:sz w:val="24"/>
              </w:rPr>
              <w:t>a</w:t>
            </w:r>
            <m:oMath>
              <m:r>
                <m:t>r</m:t>
              </m:r>
              <m:r>
                <m:t>₁</m:t>
              </m:r>
            </m:oMath>
          </w:p>
        </w:tc>
        <w:tc>
          <w:tcPr>
            <w:tcW w:type="dxa" w:w="2880"/>
          </w:tcPr>
          <w:p>
            <w:r>
              <w:rPr>
                <w:rFonts w:ascii="Calibri" w:hAnsi="Calibri"/>
                <w:color w:val="000000"/>
                <w:sz w:val="24"/>
              </w:rPr>
              <w:t>0.605</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₂</m:t>
              </m:r>
            </m:oMath>
          </w:p>
        </w:tc>
        <w:tc>
          <w:tcPr>
            <w:tcW w:type="dxa" w:w="2880"/>
          </w:tcPr>
          <w:p>
            <w:r>
              <w:rPr>
                <w:rFonts w:ascii="Calibri" w:hAnsi="Calibri"/>
                <w:color w:val="000000"/>
                <w:sz w:val="24"/>
              </w:rPr>
              <w:t>0.341</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₃</m:t>
              </m:r>
            </m:oMath>
          </w:p>
        </w:tc>
        <w:tc>
          <w:tcPr>
            <w:tcW w:type="dxa" w:w="2880"/>
          </w:tcPr>
          <w:p>
            <w:r>
              <w:rPr>
                <w:rFonts w:ascii="Calibri" w:hAnsi="Calibri"/>
                <w:color w:val="000000"/>
                <w:sz w:val="24"/>
              </w:rPr>
              <w:t>0.101</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₄</m:t>
              </m:r>
            </m:oMath>
          </w:p>
        </w:tc>
        <w:tc>
          <w:tcPr>
            <w:tcW w:type="dxa" w:w="2880"/>
          </w:tcPr>
          <w:p>
            <w:r>
              <w:rPr>
                <w:rFonts w:ascii="Calibri" w:hAnsi="Calibri"/>
                <w:color w:val="000000"/>
                <w:sz w:val="24"/>
              </w:rPr>
              <w:t>0.097</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₅</m:t>
              </m:r>
            </m:oMath>
          </w:p>
        </w:tc>
        <w:tc>
          <w:tcPr>
            <w:tcW w:type="dxa" w:w="2880"/>
          </w:tcPr>
          <w:p>
            <w:r>
              <w:rPr>
                <w:rFonts w:ascii="Calibri" w:hAnsi="Calibri"/>
                <w:color w:val="000000"/>
                <w:sz w:val="24"/>
              </w:rPr>
              <w:t>−0.171</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₆</m:t>
              </m:r>
            </m:oMath>
          </w:p>
        </w:tc>
        <w:tc>
          <w:tcPr>
            <w:tcW w:type="dxa" w:w="2880"/>
          </w:tcPr>
          <w:p>
            <w:r>
              <w:rPr>
                <w:rFonts w:ascii="Calibri" w:hAnsi="Calibri"/>
                <w:color w:val="000000"/>
                <w:sz w:val="24"/>
              </w:rPr>
              <w:t>0.103</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₇</m:t>
              </m:r>
            </m:oMath>
          </w:p>
        </w:tc>
        <w:tc>
          <w:tcPr>
            <w:tcW w:type="dxa" w:w="2880"/>
          </w:tcPr>
          <w:p>
            <w:r>
              <w:rPr>
                <w:rFonts w:ascii="Calibri" w:hAnsi="Calibri"/>
                <w:color w:val="000000"/>
                <w:sz w:val="24"/>
              </w:rPr>
              <w:t>−0.405</w:t>
            </w:r>
          </w:p>
        </w:tc>
        <w:tc>
          <w:tcPr>
            <w:tcW w:type="dxa" w:w="2880"/>
          </w:tcPr>
          <w:p>
            <w:r>
              <w:rPr>
                <w:rFonts w:ascii="Calibri" w:hAnsi="Calibri"/>
                <w:color w:val="000000"/>
                <w:sz w:val="24"/>
              </w:rPr>
              <w:t>—</w:t>
            </w:r>
          </w:p>
        </w:tc>
      </w:tr>
      <w:tr>
        <w:tc>
          <w:tcPr>
            <w:tcW w:type="dxa" w:w="2880"/>
          </w:tcPr>
          <w:p>
            <w:r>
              <w:rPr>
                <w:rFonts w:ascii="Calibri" w:hAnsi="Calibri"/>
                <w:color w:val="000000"/>
                <w:sz w:val="24"/>
              </w:rPr>
              <w:t>a</w:t>
            </w:r>
            <m:oMath>
              <m:r>
                <m:t>r</m:t>
              </m:r>
              <m:r>
                <m:t>₈</m:t>
              </m:r>
            </m:oMath>
          </w:p>
        </w:tc>
        <w:tc>
          <w:tcPr>
            <w:tcW w:type="dxa" w:w="2880"/>
          </w:tcPr>
          <w:p>
            <w:r>
              <w:rPr>
                <w:rFonts w:ascii="Calibri" w:hAnsi="Calibri"/>
                <w:color w:val="000000"/>
                <w:sz w:val="24"/>
              </w:rPr>
              <w:t>0.274</w:t>
            </w:r>
          </w:p>
        </w:tc>
        <w:tc>
          <w:tcPr>
            <w:tcW w:type="dxa" w:w="2880"/>
          </w:tcPr>
          <w:p>
            <w:r>
              <w:rPr>
                <w:rFonts w:ascii="Calibri" w:hAnsi="Calibri"/>
                <w:color w:val="000000"/>
                <w:sz w:val="24"/>
              </w:rPr>
              <w:t>—</w:t>
            </w:r>
          </w:p>
        </w:tc>
      </w:tr>
      <w:tr>
        <w:tc>
          <w:tcPr>
            <w:tcW w:type="dxa" w:w="2880"/>
          </w:tcPr>
          <w:p>
            <w:r>
              <w:rPr>
                <w:rFonts w:ascii="Calibri" w:hAnsi="Calibri"/>
                <w:color w:val="000000"/>
                <w:sz w:val="24"/>
              </w:rPr>
              <w:t>m</w:t>
            </w:r>
            <m:oMath>
              <m:r>
                <m:t>a</m:t>
              </m:r>
              <m:r>
                <m:t>₁</m:t>
              </m:r>
            </m:oMath>
          </w:p>
        </w:tc>
        <w:tc>
          <w:tcPr>
            <w:tcW w:type="dxa" w:w="2880"/>
          </w:tcPr>
          <w:p>
            <w:r>
              <w:rPr>
                <w:rFonts w:ascii="Calibri" w:hAnsi="Calibri"/>
                <w:color w:val="000000"/>
                <w:sz w:val="24"/>
              </w:rPr>
              <w:t>0.869</w:t>
            </w:r>
          </w:p>
        </w:tc>
        <w:tc>
          <w:tcPr>
            <w:tcW w:type="dxa" w:w="2880"/>
          </w:tcPr>
          <w:p>
            <w:r>
              <w:rPr>
                <w:rFonts w:ascii="Calibri" w:hAnsi="Calibri"/>
                <w:color w:val="000000"/>
                <w:sz w:val="24"/>
              </w:rPr>
              <w:t>—</w:t>
            </w:r>
          </w:p>
        </w:tc>
      </w:tr>
      <w:tr>
        <w:tc>
          <w:tcPr>
            <w:tcW w:type="dxa" w:w="2880"/>
          </w:tcPr>
          <w:p>
            <w:r>
              <w:rPr>
                <w:rFonts w:ascii="Calibri" w:hAnsi="Calibri"/>
                <w:color w:val="000000"/>
                <w:sz w:val="24"/>
              </w:rPr>
              <w:t>intercept</w:t>
            </w:r>
          </w:p>
        </w:tc>
        <w:tc>
          <w:tcPr>
            <w:tcW w:type="dxa" w:w="2880"/>
          </w:tcPr>
          <w:p>
            <w:r>
              <w:rPr>
                <w:rFonts w:ascii="Calibri" w:hAnsi="Calibri"/>
                <w:color w:val="000000"/>
                <w:sz w:val="24"/>
              </w:rPr>
              <w:t>4.231</w:t>
            </w:r>
          </w:p>
        </w:tc>
        <w:tc>
          <w:tcPr>
            <w:tcW w:type="dxa" w:w="2880"/>
          </w:tcPr>
          <w:p>
            <w:r>
              <w:rPr>
                <w:rFonts w:ascii="Calibri" w:hAnsi="Calibri"/>
                <w:color w:val="000000"/>
                <w:sz w:val="24"/>
              </w:rPr>
              <w:t>—</w:t>
            </w:r>
          </w:p>
        </w:tc>
      </w:tr>
    </w:tbl>
    <w:p/>
    <w:p>
      <w:r>
        <w:rPr>
          <w:rFonts w:ascii="Calibri" w:hAnsi="Calibri"/>
          <w:color w:val="000000"/>
          <w:sz w:val="24"/>
        </w:rPr>
        <w:t>The eight AR lags capture the high persistence and slow reversion characteristic of real interest rates. The MA(1) term handles the short-run shock dynamics. The intercept (4.23) directly estimates the long-run mean of the real interest rate.</w:t>
      </w:r>
    </w:p>
    <w:p>
      <w:pPr>
        <w:pStyle w:val="Heading3"/>
      </w:pPr>
      <w:r>
        <w:t>4(b) — Consumption Ratio</w:t>
      </w:r>
    </w:p>
    <w:p>
      <w:pPr>
        <w:jc w:val="center"/>
      </w:pPr>
      <w:r>
        <w:rPr>
          <w:rFonts w:ascii="Calibri" w:hAnsi="Calibri"/>
          <w:color w:val="000000"/>
          <w:sz w:val="24"/>
        </w:rPr>
        <w:t>[INSERT ]</w:t>
      </w:r>
    </w:p>
    <w:p>
      <w:r>
        <w:rPr>
          <w:rFonts w:ascii="Calibri" w:hAnsi="Calibri"/>
          <w:color w:val="000000"/>
          <w:sz w:val="24"/>
        </w:rPr>
        <w:t>The consumption ratio cy_t = C_t/Y_t rises from around 0.59 in 1959 to approximately 0.69 by 2023, with a sample mean of 0.642. The dominant feature is a persistent upward trend — consumption has grown as a larger share of GDP over the six-decade sample. This pattern is consistent with the decline in the US personal saving rate over the same period, driven by easier access to credit and financial innovation, wealth effects from rising equity and housing prices, and demographic shifts as baby boomers moved into peak consumption phases of the lifecycle. Permanent income theory also predicts that as credit markets deepen, households can smooth consumption more effectively, raising the long-run consumption-income ratio.</w:t>
      </w:r>
    </w:p>
    <w:p>
      <w:r>
        <w:rPr>
          <w:rFonts w:ascii="Calibri" w:hAnsi="Calibri"/>
          <w:b/>
          <w:color w:val="000000"/>
          <w:sz w:val="24"/>
        </w:rPr>
        <w:t>ARIMA for cy_t:</w:t>
      </w:r>
    </w:p>
    <w:p>
      <w:r>
        <w:rPr>
          <w:rFonts w:ascii="Calibri" w:hAnsi="Calibri"/>
          <w:color w:val="000000"/>
          <w:sz w:val="24"/>
        </w:rPr>
        <w:t>ADF (p = 0.030) provides borderline rejection of a unit root but KPSS (stat = 4.14) strongly rejects stationarity, pointing to a trending series. Best model by AIC is ARIMA(2,1,2) — AIC = −2129.79. Differencing removes the trend and the ARMA(2,2) structure captures short-run fluctuations.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Parameter</w:t>
            </w:r>
          </w:p>
        </w:tc>
        <w:tc>
          <w:tcPr>
            <w:tcW w:type="dxa" w:w="2880"/>
          </w:tcPr>
          <w:p>
            <w:r>
              <w:rPr>
                <w:rFonts w:ascii="Calibri" w:hAnsi="Calibri"/>
                <w:b/>
                <w:color w:val="000000"/>
                <w:sz w:val="24"/>
              </w:rPr>
              <w:t>Estimate</w:t>
            </w:r>
          </w:p>
        </w:tc>
        <w:tc>
          <w:tcPr>
            <w:tcW w:type="dxa" w:w="2880"/>
          </w:tcPr>
          <w:p>
            <w:r>
              <w:rPr>
                <w:rFonts w:ascii="Calibri" w:hAnsi="Calibri"/>
                <w:b/>
                <w:color w:val="000000"/>
                <w:sz w:val="24"/>
              </w:rPr>
              <w:t>SE</w:t>
            </w:r>
          </w:p>
        </w:tc>
      </w:tr>
      <w:tr>
        <w:tc>
          <w:tcPr>
            <w:tcW w:type="dxa" w:w="2880"/>
          </w:tcPr>
          <w:p>
            <w:r>
              <w:rPr>
                <w:rFonts w:ascii="Calibri" w:hAnsi="Calibri"/>
                <w:color w:val="000000"/>
                <w:sz w:val="24"/>
              </w:rPr>
              <w:t>a</w:t>
            </w:r>
            <m:oMath>
              <m:r>
                <m:t>r</m:t>
              </m:r>
              <m:r>
                <m:t>₁</m:t>
              </m:r>
            </m:oMath>
          </w:p>
        </w:tc>
        <w:tc>
          <w:tcPr>
            <w:tcW w:type="dxa" w:w="2880"/>
          </w:tcPr>
          <w:p>
            <w:r>
              <w:rPr>
                <w:rFonts w:ascii="Calibri" w:hAnsi="Calibri"/>
                <w:color w:val="000000"/>
                <w:sz w:val="24"/>
              </w:rPr>
              <w:t>−0.341</w:t>
            </w:r>
          </w:p>
        </w:tc>
        <w:tc>
          <w:tcPr>
            <w:tcW w:type="dxa" w:w="2880"/>
          </w:tcPr>
          <w:p>
            <w:r>
              <w:rPr>
                <w:rFonts w:ascii="Calibri" w:hAnsi="Calibri"/>
                <w:color w:val="000000"/>
                <w:sz w:val="24"/>
              </w:rPr>
              <w:t>0.136</w:t>
            </w:r>
          </w:p>
        </w:tc>
      </w:tr>
      <w:tr>
        <w:tc>
          <w:tcPr>
            <w:tcW w:type="dxa" w:w="2880"/>
          </w:tcPr>
          <w:p>
            <w:r>
              <w:rPr>
                <w:rFonts w:ascii="Calibri" w:hAnsi="Calibri"/>
                <w:color w:val="000000"/>
                <w:sz w:val="24"/>
              </w:rPr>
              <w:t>a</w:t>
            </w:r>
            <m:oMath>
              <m:r>
                <m:t>r</m:t>
              </m:r>
              <m:r>
                <m:t>₂</m:t>
              </m:r>
            </m:oMath>
          </w:p>
        </w:tc>
        <w:tc>
          <w:tcPr>
            <w:tcW w:type="dxa" w:w="2880"/>
          </w:tcPr>
          <w:p>
            <w:r>
              <w:rPr>
                <w:rFonts w:ascii="Calibri" w:hAnsi="Calibri"/>
                <w:color w:val="000000"/>
                <w:sz w:val="24"/>
              </w:rPr>
              <w:t>−0.848</w:t>
            </w:r>
          </w:p>
        </w:tc>
        <w:tc>
          <w:tcPr>
            <w:tcW w:type="dxa" w:w="2880"/>
          </w:tcPr>
          <w:p>
            <w:r>
              <w:rPr>
                <w:rFonts w:ascii="Calibri" w:hAnsi="Calibri"/>
                <w:color w:val="000000"/>
                <w:sz w:val="24"/>
              </w:rPr>
              <w:t>0.089</w:t>
            </w:r>
          </w:p>
        </w:tc>
      </w:tr>
      <w:tr>
        <w:tc>
          <w:tcPr>
            <w:tcW w:type="dxa" w:w="2880"/>
          </w:tcPr>
          <w:p>
            <w:r>
              <w:rPr>
                <w:rFonts w:ascii="Calibri" w:hAnsi="Calibri"/>
                <w:color w:val="000000"/>
                <w:sz w:val="24"/>
              </w:rPr>
              <w:t>m</w:t>
            </w:r>
            <m:oMath>
              <m:r>
                <m:t>a</m:t>
              </m:r>
              <m:r>
                <m:t>₁</m:t>
              </m:r>
            </m:oMath>
          </w:p>
        </w:tc>
        <w:tc>
          <w:tcPr>
            <w:tcW w:type="dxa" w:w="2880"/>
          </w:tcPr>
          <w:p>
            <w:r>
              <w:rPr>
                <w:rFonts w:ascii="Calibri" w:hAnsi="Calibri"/>
                <w:color w:val="000000"/>
                <w:sz w:val="24"/>
              </w:rPr>
              <w:t>0.208</w:t>
            </w:r>
          </w:p>
        </w:tc>
        <w:tc>
          <w:tcPr>
            <w:tcW w:type="dxa" w:w="2880"/>
          </w:tcPr>
          <w:p>
            <w:r>
              <w:rPr>
                <w:rFonts w:ascii="Calibri" w:hAnsi="Calibri"/>
                <w:color w:val="000000"/>
                <w:sz w:val="24"/>
              </w:rPr>
              <w:t>0.149</w:t>
            </w:r>
          </w:p>
        </w:tc>
      </w:tr>
      <w:tr>
        <w:tc>
          <w:tcPr>
            <w:tcW w:type="dxa" w:w="2880"/>
          </w:tcPr>
          <w:p>
            <w:r>
              <w:rPr>
                <w:rFonts w:ascii="Calibri" w:hAnsi="Calibri"/>
                <w:color w:val="000000"/>
                <w:sz w:val="24"/>
              </w:rPr>
              <w:t>m</w:t>
            </w:r>
            <m:oMath>
              <m:r>
                <m:t>a</m:t>
              </m:r>
              <m:r>
                <m:t>₂</m:t>
              </m:r>
            </m:oMath>
          </w:p>
        </w:tc>
        <w:tc>
          <w:tcPr>
            <w:tcW w:type="dxa" w:w="2880"/>
          </w:tcPr>
          <w:p>
            <w:r>
              <w:rPr>
                <w:rFonts w:ascii="Calibri" w:hAnsi="Calibri"/>
                <w:color w:val="000000"/>
                <w:sz w:val="24"/>
              </w:rPr>
              <w:t>0.841</w:t>
            </w:r>
          </w:p>
        </w:tc>
        <w:tc>
          <w:tcPr>
            <w:tcW w:type="dxa" w:w="2880"/>
          </w:tcPr>
          <w:p>
            <w:r>
              <w:rPr>
                <w:rFonts w:ascii="Calibri" w:hAnsi="Calibri"/>
                <w:color w:val="000000"/>
                <w:sz w:val="24"/>
              </w:rPr>
              <w:t>0.069</w:t>
            </w:r>
          </w:p>
        </w:tc>
      </w:tr>
    </w:tbl>
    <w:p/>
    <w:p>
      <w:pPr>
        <w:pStyle w:val="Heading3"/>
      </w:pPr>
      <w:r>
        <w:t>4(e) — Policy Implications</w:t>
      </w:r>
    </w:p>
    <w:p>
      <w:r>
        <w:rPr>
          <w:rFonts w:ascii="Calibri" w:hAnsi="Calibri"/>
          <w:color w:val="000000"/>
          <w:sz w:val="24"/>
        </w:rPr>
        <w:t>The rr_t model helps central banks assess whether the current stance of monetary policy is genuinely restrictive or accommodative in real terms. Rather than looking only at the nominal rate, policymakers can use the model to forecast real rates and judge whether they are above or below the neutral real rate — a key input to the Taylor rule.</w:t>
      </w:r>
    </w:p>
    <w:p>
      <w:r>
        <w:rPr>
          <w:rFonts w:ascii="Calibri" w:hAnsi="Calibri"/>
          <w:color w:val="000000"/>
          <w:sz w:val="24"/>
        </w:rPr>
        <w:t>The cy_t model is useful for fiscal policymakers and aggregate demand analysis. A rising consumption ratio signals households are spending a growing fraction of income, which affects the size of fiscal multipliers — tax cuts or transfers have larger demand effects when households have a high propensity to consume. Central banks also track cy_t as an indicator of household vulnerability: a very high consumption-to-income ratio may suggest excessive borrowing and rising financial fragility.</w:t>
      </w:r>
    </w:p>
    <w:p>
      <w:r>
        <w:br w:type="page"/>
      </w:r>
    </w:p>
    <w:p>
      <w:pPr>
        <w:pStyle w:val="Heading2"/>
      </w:pPr>
      <w:r>
        <w:t>Question 5</w:t>
      </w:r>
    </w:p>
    <w:p>
      <w:pPr>
        <w:pStyle w:val="Heading3"/>
      </w:pPr>
      <w:r>
        <w:t>5(a) — Sample Variances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m:oMath>
              <m:r>
                <m:t>σ</m:t>
              </m:r>
              <m:r>
                <m:t>²</m:t>
              </m:r>
            </m:oMath>
            <w:r>
              <w:rPr>
                <w:rFonts w:ascii="Calibri" w:hAnsi="Calibri"/>
                <w:b/>
                <w:color w:val="000000"/>
                <w:sz w:val="24"/>
              </w:rPr>
              <w:t>_sample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TWI has the lowest variance, which makes sense given it is a trade-weighted average across multiple bilateral rates — diversification across trading partners smooths out bilateral movements. SDR has the highest, despite also being a basket, because it includes GBP and JPY which can move significantly against the AUD. CNY is less volatile than USD, reflecting the People's Bank of China's managed float where daily movements are constrained by intervention. USD/AUD is a freely floating bilateral rate exposed to commodity cycles and monetary policy divergence, which drives its higher variance.</w:t>
      </w:r>
    </w:p>
    <w:p>
      <w:pPr>
        <w:pStyle w:val="Heading3"/>
      </w:pPr>
      <w:r>
        <w:t>5(b) — Absolute Returns Plot</w:t>
      </w:r>
    </w:p>
    <w:p>
      <w:pPr>
        <w:jc w:val="center"/>
      </w:pPr>
      <w:r>
        <w:rPr>
          <w:rFonts w:ascii="Calibri" w:hAnsi="Calibri"/>
          <w:color w:val="000000"/>
          <w:sz w:val="24"/>
        </w:rPr>
        <w:t>[INSERT ]</w:t>
      </w:r>
    </w:p>
    <w:p>
      <w:r>
        <w:rPr>
          <w:rFonts w:ascii="Calibri" w:hAnsi="Calibri"/>
          <w:color w:val="000000"/>
          <w:sz w:val="24"/>
        </w:rPr>
        <w:t>All four series show clear volatility clustering — large absolute returns bunch together in time, and quiet periods also cluster. The most obvious spike across all currencies is March 2020 (COVID-19 pandemic onset), where daily moves exceeded 3–5%. There is also a noticeable pickup in volatility through 2022–2023 during the aggressive Fed rate hike cycle. These patterns directly motivate GARCH-type models: the constant-variance assumption of ARMA is clearly violated, and the conditional variance needs to be modelled explicitly.</w:t>
      </w:r>
    </w:p>
    <w:p>
      <w:r>
        <w:br w:type="page"/>
      </w:r>
    </w:p>
    <w:p>
      <w:pPr>
        <w:pStyle w:val="Heading2"/>
      </w:pPr>
      <w:r>
        <w:t>Question 6</w:t>
      </w:r>
    </w:p>
    <w:p>
      <w:pPr>
        <w:pStyle w:val="Heading3"/>
      </w:pPr>
      <w:r>
        <w:t>Model Selection Process</w:t>
      </w:r>
    </w:p>
    <w:p>
      <w:r>
        <w:rPr>
          <w:rFonts w:ascii="Calibri" w:hAnsi="Calibri"/>
          <w:b/>
          <w:color w:val="000000"/>
          <w:sz w:val="24"/>
        </w:rPr>
        <w:t>Step 1: Testing for ARCH effects</w:t>
      </w:r>
    </w:p>
    <w:p>
      <w:r>
        <w:rPr>
          <w:rFonts w:ascii="Calibri" w:hAnsi="Calibri"/>
          <w:color w:val="000000"/>
          <w:sz w:val="24"/>
        </w:rPr>
        <w:t>Before fitting GARCH models, the presence of conditional heteroskedasticity is confirmed. The ARCH LM test (Engle, 1982) gives p ≈ 0 at lag 10 for all four currencies, and the Ljung-Box test on squared returns is also p ≈ 0 for all series. Both tests decisively reject the null of constant variance.</w:t>
      </w:r>
    </w:p>
    <w:p>
      <w:r>
        <w:rPr>
          <w:rFonts w:ascii="Calibri" w:hAnsi="Calibri"/>
          <w:b/>
          <w:color w:val="000000"/>
          <w:sz w:val="24"/>
        </w:rPr>
        <w:t>Step 2: Mean and variance equation selection</w:t>
      </w:r>
    </w:p>
    <w:p>
      <w:r>
        <w:rPr>
          <w:rFonts w:ascii="Calibri" w:hAnsi="Calibri"/>
          <w:color w:val="000000"/>
          <w:sz w:val="24"/>
        </w:rPr>
        <w:t>A joint ARMA(p,q)-GARCH(ph,qh) grid search is conducted over p, q ∈ {0,1,2} and ph, qh ∈ {0,1,2} (81 combinations per currency), using standard sGARCH with Normal errors. Models are selected from the adequate set — the intersection of the top-10 AIC and top-10 BIC candidates.</w:t>
      </w:r>
    </w:p>
    <w:p>
      <w:r>
        <w:rPr>
          <w:rFonts w:ascii="Calibri" w:hAnsi="Calibri"/>
          <w:b/>
          <w:color w:val="000000"/>
          <w:sz w:val="24"/>
        </w:rPr>
        <w:t>Final model selection: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Mean Model</w:t>
            </w:r>
          </w:p>
        </w:tc>
        <w:tc>
          <w:tcPr>
            <w:tcW w:type="dxa" w:w="1440"/>
          </w:tcPr>
          <w:p>
            <w:r>
              <w:rPr>
                <w:rFonts w:ascii="Calibri" w:hAnsi="Calibri"/>
                <w:b/>
                <w:color w:val="000000"/>
                <w:sz w:val="24"/>
              </w:rPr>
              <w:t>GARCH Type</w:t>
            </w:r>
          </w:p>
        </w:tc>
        <w:tc>
          <w:tcPr>
            <w:tcW w:type="dxa" w:w="1440"/>
          </w:tcPr>
          <w:p>
            <w:r>
              <w:rPr>
                <w:rFonts w:ascii="Calibri" w:hAnsi="Calibri"/>
                <w:b/>
                <w:color w:val="000000"/>
                <w:sz w:val="24"/>
              </w:rPr>
              <w:t>Errors</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r>
      <w:tr>
        <w:tc>
          <w:tcPr>
            <w:tcW w:type="dxa" w:w="1440"/>
          </w:tcPr>
          <w:p>
            <w:r>
              <w:rPr>
                <w:rFonts w:ascii="Calibri" w:hAnsi="Calibri"/>
                <w:color w:val="000000"/>
                <w:sz w:val="24"/>
              </w:rPr>
              <w:t>CNY</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1.5553</w:t>
            </w:r>
          </w:p>
        </w:tc>
        <w:tc>
          <w:tcPr>
            <w:tcW w:type="dxa" w:w="1440"/>
          </w:tcPr>
          <w:p>
            <w:r>
              <w:rPr>
                <w:rFonts w:ascii="Calibri" w:hAnsi="Calibri"/>
                <w:color w:val="000000"/>
                <w:sz w:val="24"/>
              </w:rPr>
              <w:t>1.5803</w:t>
            </w:r>
          </w:p>
        </w:tc>
      </w:tr>
      <w:tr>
        <w:tc>
          <w:tcPr>
            <w:tcW w:type="dxa" w:w="1440"/>
          </w:tcPr>
          <w:p>
            <w:r>
              <w:rPr>
                <w:rFonts w:ascii="Calibri" w:hAnsi="Calibri"/>
                <w:color w:val="000000"/>
                <w:sz w:val="24"/>
              </w:rPr>
              <w:t>USD</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1.8352</w:t>
            </w:r>
          </w:p>
        </w:tc>
        <w:tc>
          <w:tcPr>
            <w:tcW w:type="dxa" w:w="1440"/>
          </w:tcPr>
          <w:p>
            <w:r>
              <w:rPr>
                <w:rFonts w:ascii="Calibri" w:hAnsi="Calibri"/>
                <w:color w:val="000000"/>
                <w:sz w:val="24"/>
              </w:rPr>
              <w:t>1.8631</w:t>
            </w:r>
          </w:p>
        </w:tc>
      </w:tr>
      <w:tr>
        <w:tc>
          <w:tcPr>
            <w:tcW w:type="dxa" w:w="1440"/>
          </w:tcPr>
          <w:p>
            <w:r>
              <w:rPr>
                <w:rFonts w:ascii="Calibri" w:hAnsi="Calibri"/>
                <w:color w:val="000000"/>
                <w:sz w:val="24"/>
              </w:rPr>
              <w:t>TWI</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1.3109</w:t>
            </w:r>
          </w:p>
        </w:tc>
        <w:tc>
          <w:tcPr>
            <w:tcW w:type="dxa" w:w="1440"/>
          </w:tcPr>
          <w:p>
            <w:r>
              <w:rPr>
                <w:rFonts w:ascii="Calibri" w:hAnsi="Calibri"/>
                <w:color w:val="000000"/>
                <w:sz w:val="24"/>
              </w:rPr>
              <w:t>1.3387</w:t>
            </w:r>
          </w:p>
        </w:tc>
      </w:tr>
      <w:tr>
        <w:tc>
          <w:tcPr>
            <w:tcW w:type="dxa" w:w="1440"/>
          </w:tcPr>
          <w:p>
            <w:r>
              <w:rPr>
                <w:rFonts w:ascii="Calibri" w:hAnsi="Calibri"/>
                <w:color w:val="000000"/>
                <w:sz w:val="24"/>
              </w:rPr>
              <w:t>SDR</w:t>
            </w:r>
          </w:p>
        </w:tc>
        <w:tc>
          <w:tcPr>
            <w:tcW w:type="dxa" w:w="1440"/>
          </w:tcPr>
          <w:p>
            <w:r>
              <w:rPr>
                <w:rFonts w:ascii="Calibri" w:hAnsi="Calibri"/>
                <w:color w:val="000000"/>
                <w:sz w:val="24"/>
              </w:rPr>
              <w:t>ARMA(2,2)</w:t>
            </w:r>
          </w:p>
        </w:tc>
        <w:tc>
          <w:tcPr>
            <w:tcW w:type="dxa" w:w="1440"/>
          </w:tcPr>
          <w:p>
            <w:r>
              <w:rPr>
                <w:rFonts w:ascii="Calibri" w:hAnsi="Calibri"/>
                <w:color w:val="000000"/>
                <w:sz w:val="24"/>
              </w:rPr>
              <w:t>sGARCH(2,1)</w:t>
            </w:r>
          </w:p>
        </w:tc>
        <w:tc>
          <w:tcPr>
            <w:tcW w:type="dxa" w:w="1440"/>
          </w:tcPr>
          <w:p>
            <w:r>
              <w:rPr>
                <w:rFonts w:ascii="Calibri" w:hAnsi="Calibri"/>
                <w:color w:val="000000"/>
                <w:sz w:val="24"/>
              </w:rPr>
              <w:t>Normal</w:t>
            </w:r>
          </w:p>
        </w:tc>
        <w:tc>
          <w:tcPr>
            <w:tcW w:type="dxa" w:w="1440"/>
          </w:tcPr>
          <w:p>
            <w:r>
              <w:rPr>
                <w:rFonts w:ascii="Calibri" w:hAnsi="Calibri"/>
                <w:color w:val="000000"/>
                <w:sz w:val="24"/>
              </w:rPr>
              <w:t>1.8195</w:t>
            </w:r>
          </w:p>
        </w:tc>
        <w:tc>
          <w:tcPr>
            <w:tcW w:type="dxa" w:w="1440"/>
          </w:tcPr>
          <w:p>
            <w:r>
              <w:rPr>
                <w:rFonts w:ascii="Calibri" w:hAnsi="Calibri"/>
                <w:color w:val="000000"/>
                <w:sz w:val="24"/>
              </w:rPr>
              <w:t>1.8446</w:t>
            </w:r>
          </w:p>
        </w:tc>
      </w:tr>
    </w:tbl>
    <w:p/>
    <w:p>
      <w:r>
        <w:rPr>
          <w:rFonts w:ascii="Calibri" w:hAnsi="Calibri"/>
          <w:b/>
          <w:color w:val="000000"/>
          <w:sz w:val="24"/>
        </w:rPr>
        <w:t>Estimated coefficients:</w:t>
      </w:r>
    </w:p>
    <w:p>
      <w:r>
        <w:rPr>
          <w:rFonts w:ascii="Calibri" w:hAnsi="Calibri"/>
          <w:color w:val="000000"/>
          <w:sz w:val="24"/>
        </w:rPr>
        <w:t>*CNY (no intercept):* a</w:t>
      </w:r>
      <m:oMath>
        <m:r>
          <m:t>r</m:t>
        </m:r>
        <m:r>
          <m:t>₁</m:t>
        </m:r>
      </m:oMath>
      <w:r>
        <w:rPr>
          <w:rFonts w:ascii="Calibri" w:hAnsi="Calibri"/>
          <w:color w:val="000000"/>
          <w:sz w:val="24"/>
        </w:rPr>
        <w:t xml:space="preserve"> = 1.923, a</w:t>
      </w:r>
      <m:oMath>
        <m:r>
          <m:t>r</m:t>
        </m:r>
        <m:r>
          <m:t>₂</m:t>
        </m:r>
      </m:oMath>
      <w:r>
        <w:rPr>
          <w:rFonts w:ascii="Calibri" w:hAnsi="Calibri"/>
          <w:color w:val="000000"/>
          <w:sz w:val="24"/>
        </w:rPr>
        <w:t xml:space="preserve"> = −0.924, m</w:t>
      </w:r>
      <m:oMath>
        <m:r>
          <m:t>a</m:t>
        </m:r>
        <m:r>
          <m:t>₁</m:t>
        </m:r>
      </m:oMath>
      <w:r>
        <w:rPr>
          <w:rFonts w:ascii="Calibri" w:hAnsi="Calibri"/>
          <w:color w:val="000000"/>
          <w:sz w:val="24"/>
        </w:rPr>
        <w:t xml:space="preserve"> = −1.948, m</w:t>
      </w:r>
      <m:oMath>
        <m:r>
          <m:t>a</m:t>
        </m:r>
        <m:r>
          <m:t>₂</m:t>
        </m:r>
      </m:oMath>
      <w:r>
        <w:rPr>
          <w:rFonts w:ascii="Calibri" w:hAnsi="Calibri"/>
          <w:color w:val="000000"/>
          <w:sz w:val="24"/>
        </w:rPr>
        <w:t xml:space="preserve"> = 0.948, </w:t>
      </w:r>
      <m:oMath>
        <m:r>
          <m:t>ω</m:t>
        </m:r>
      </m:oMath>
      <w:r>
        <w:rPr>
          <w:rFonts w:ascii="Calibri" w:hAnsi="Calibri"/>
          <w:color w:val="000000"/>
          <w:sz w:val="24"/>
        </w:rPr>
        <w:t xml:space="preserve"> = 0.0291, </w:t>
      </w:r>
      <m:oMath>
        <m:r>
          <m:t>α</m:t>
        </m:r>
        <m:r>
          <m:t>₁</m:t>
        </m:r>
      </m:oMath>
      <w:r>
        <w:rPr>
          <w:rFonts w:ascii="Calibri" w:hAnsi="Calibri"/>
          <w:color w:val="000000"/>
          <w:sz w:val="24"/>
        </w:rPr>
        <w:t xml:space="preserve"> = 0.138,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0.313, </w:t>
      </w:r>
      <m:oMath>
        <m:r>
          <m:t>β</m:t>
        </m:r>
        <m:r>
          <m:t>₂</m:t>
        </m:r>
      </m:oMath>
      <w:r>
        <w:rPr>
          <w:rFonts w:ascii="Calibri" w:hAnsi="Calibri"/>
          <w:color w:val="000000"/>
          <w:sz w:val="24"/>
        </w:rPr>
        <w:t xml:space="preserve"> = 0.454</w:t>
      </w:r>
    </w:p>
    <w:p>
      <w:r>
        <w:rPr>
          <w:rFonts w:ascii="Calibri" w:hAnsi="Calibri"/>
          <w:color w:val="000000"/>
          <w:sz w:val="24"/>
        </w:rPr>
        <w:t xml:space="preserve">*USD:* </w:t>
      </w:r>
      <m:oMath>
        <m:r>
          <m:t>μ</m:t>
        </m:r>
      </m:oMath>
      <w:r>
        <w:rPr>
          <w:rFonts w:ascii="Calibri" w:hAnsi="Calibri"/>
          <w:color w:val="000000"/>
          <w:sz w:val="24"/>
        </w:rPr>
        <w:t xml:space="preserve"> = 0.001, a</w:t>
      </w:r>
      <m:oMath>
        <m:r>
          <m:t>r</m:t>
        </m:r>
        <m:r>
          <m:t>₁</m:t>
        </m:r>
      </m:oMath>
      <w:r>
        <w:rPr>
          <w:rFonts w:ascii="Calibri" w:hAnsi="Calibri"/>
          <w:color w:val="000000"/>
          <w:sz w:val="24"/>
        </w:rPr>
        <w:t xml:space="preserve"> = 1.945, a</w:t>
      </w:r>
      <m:oMath>
        <m:r>
          <m:t>r</m:t>
        </m:r>
        <m:r>
          <m:t>₂</m:t>
        </m:r>
      </m:oMath>
      <w:r>
        <w:rPr>
          <w:rFonts w:ascii="Calibri" w:hAnsi="Calibri"/>
          <w:color w:val="000000"/>
          <w:sz w:val="24"/>
        </w:rPr>
        <w:t xml:space="preserve"> = −0.946, m</w:t>
      </w:r>
      <m:oMath>
        <m:r>
          <m:t>a</m:t>
        </m:r>
        <m:r>
          <m:t>₁</m:t>
        </m:r>
      </m:oMath>
      <w:r>
        <w:rPr>
          <w:rFonts w:ascii="Calibri" w:hAnsi="Calibri"/>
          <w:color w:val="000000"/>
          <w:sz w:val="24"/>
        </w:rPr>
        <w:t xml:space="preserve"> = −1.958, m</w:t>
      </w:r>
      <m:oMath>
        <m:r>
          <m:t>a</m:t>
        </m:r>
        <m:r>
          <m:t>₂</m:t>
        </m:r>
      </m:oMath>
      <w:r>
        <w:rPr>
          <w:rFonts w:ascii="Calibri" w:hAnsi="Calibri"/>
          <w:color w:val="000000"/>
          <w:sz w:val="24"/>
        </w:rPr>
        <w:t xml:space="preserve"> = 0.958, </w:t>
      </w:r>
      <m:oMath>
        <m:r>
          <m:t>ω</m:t>
        </m:r>
      </m:oMath>
      <w:r>
        <w:rPr>
          <w:rFonts w:ascii="Calibri" w:hAnsi="Calibri"/>
          <w:color w:val="000000"/>
          <w:sz w:val="24"/>
        </w:rPr>
        <w:t xml:space="preserve"> = 0.0150, </w:t>
      </w:r>
      <m:oMath>
        <m:r>
          <m:t>α</m:t>
        </m:r>
        <m:r>
          <m:t>₁</m:t>
        </m:r>
      </m:oMath>
      <w:r>
        <w:rPr>
          <w:rFonts w:ascii="Calibri" w:hAnsi="Calibri"/>
          <w:color w:val="000000"/>
          <w:sz w:val="24"/>
        </w:rPr>
        <w:t xml:space="preserve"> = 0.129,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0.229, </w:t>
      </w:r>
      <m:oMath>
        <m:r>
          <m:t>β</m:t>
        </m:r>
        <m:r>
          <m:t>₂</m:t>
        </m:r>
      </m:oMath>
      <w:r>
        <w:rPr>
          <w:rFonts w:ascii="Calibri" w:hAnsi="Calibri"/>
          <w:color w:val="000000"/>
          <w:sz w:val="24"/>
        </w:rPr>
        <w:t xml:space="preserve"> = 0.611</w:t>
      </w:r>
    </w:p>
    <w:p>
      <w:r>
        <w:rPr>
          <w:rFonts w:ascii="Calibri" w:hAnsi="Calibri"/>
          <w:color w:val="000000"/>
          <w:sz w:val="24"/>
        </w:rPr>
        <w:t xml:space="preserve">*TWI:* </w:t>
      </w:r>
      <m:oMath>
        <m:r>
          <m:t>μ</m:t>
        </m:r>
      </m:oMath>
      <w:r>
        <w:rPr>
          <w:rFonts w:ascii="Calibri" w:hAnsi="Calibri"/>
          <w:color w:val="000000"/>
          <w:sz w:val="24"/>
        </w:rPr>
        <w:t xml:space="preserve"> = −0.003, a</w:t>
      </w:r>
      <m:oMath>
        <m:r>
          <m:t>r</m:t>
        </m:r>
        <m:r>
          <m:t>₁</m:t>
        </m:r>
      </m:oMath>
      <w:r>
        <w:rPr>
          <w:rFonts w:ascii="Calibri" w:hAnsi="Calibri"/>
          <w:color w:val="000000"/>
          <w:sz w:val="24"/>
        </w:rPr>
        <w:t xml:space="preserve"> = −1.084, a</w:t>
      </w:r>
      <m:oMath>
        <m:r>
          <m:t>r</m:t>
        </m:r>
        <m:r>
          <m:t>₂</m:t>
        </m:r>
      </m:oMath>
      <w:r>
        <w:rPr>
          <w:rFonts w:ascii="Calibri" w:hAnsi="Calibri"/>
          <w:color w:val="000000"/>
          <w:sz w:val="24"/>
        </w:rPr>
        <w:t xml:space="preserve"> = −0.994, m</w:t>
      </w:r>
      <m:oMath>
        <m:r>
          <m:t>a</m:t>
        </m:r>
        <m:r>
          <m:t>₁</m:t>
        </m:r>
      </m:oMath>
      <w:r>
        <w:rPr>
          <w:rFonts w:ascii="Calibri" w:hAnsi="Calibri"/>
          <w:color w:val="000000"/>
          <w:sz w:val="24"/>
        </w:rPr>
        <w:t xml:space="preserve"> = 1.085, m</w:t>
      </w:r>
      <m:oMath>
        <m:r>
          <m:t>a</m:t>
        </m:r>
        <m:r>
          <m:t>₂</m:t>
        </m:r>
      </m:oMath>
      <w:r>
        <w:rPr>
          <w:rFonts w:ascii="Calibri" w:hAnsi="Calibri"/>
          <w:color w:val="000000"/>
          <w:sz w:val="24"/>
        </w:rPr>
        <w:t xml:space="preserve"> = 0.988, </w:t>
      </w:r>
      <m:oMath>
        <m:r>
          <m:t>ω</m:t>
        </m:r>
      </m:oMath>
      <w:r>
        <w:rPr>
          <w:rFonts w:ascii="Calibri" w:hAnsi="Calibri"/>
          <w:color w:val="000000"/>
          <w:sz w:val="24"/>
        </w:rPr>
        <w:t xml:space="preserve"> = 0.0232, </w:t>
      </w:r>
      <m:oMath>
        <m:r>
          <m:t>α</m:t>
        </m:r>
        <m:r>
          <m:t>₁</m:t>
        </m:r>
      </m:oMath>
      <w:r>
        <w:rPr>
          <w:rFonts w:ascii="Calibri" w:hAnsi="Calibri"/>
          <w:color w:val="000000"/>
          <w:sz w:val="24"/>
        </w:rPr>
        <w:t xml:space="preserve"> = 0.157,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0.224, </w:t>
      </w:r>
      <m:oMath>
        <m:r>
          <m:t>β</m:t>
        </m:r>
        <m:r>
          <m:t>₂</m:t>
        </m:r>
      </m:oMath>
      <w:r>
        <w:rPr>
          <w:rFonts w:ascii="Calibri" w:hAnsi="Calibri"/>
          <w:color w:val="000000"/>
          <w:sz w:val="24"/>
        </w:rPr>
        <w:t xml:space="preserve"> = 0.522</w:t>
      </w:r>
    </w:p>
    <w:p>
      <w:r>
        <w:rPr>
          <w:rFonts w:ascii="Calibri" w:hAnsi="Calibri"/>
          <w:color w:val="000000"/>
          <w:sz w:val="24"/>
        </w:rPr>
        <w:t xml:space="preserve">*SDR:* </w:t>
      </w:r>
      <m:oMath>
        <m:r>
          <m:t>μ</m:t>
        </m:r>
      </m:oMath>
      <w:r>
        <w:rPr>
          <w:rFonts w:ascii="Calibri" w:hAnsi="Calibri"/>
          <w:color w:val="000000"/>
          <w:sz w:val="24"/>
        </w:rPr>
        <w:t xml:space="preserve"> = −0.004, a</w:t>
      </w:r>
      <m:oMath>
        <m:r>
          <m:t>r</m:t>
        </m:r>
        <m:r>
          <m:t>₁</m:t>
        </m:r>
      </m:oMath>
      <w:r>
        <w:rPr>
          <w:rFonts w:ascii="Calibri" w:hAnsi="Calibri"/>
          <w:color w:val="000000"/>
          <w:sz w:val="24"/>
        </w:rPr>
        <w:t xml:space="preserve"> = 1.012, a</w:t>
      </w:r>
      <m:oMath>
        <m:r>
          <m:t>r</m:t>
        </m:r>
        <m:r>
          <m:t>₂</m:t>
        </m:r>
      </m:oMath>
      <w:r>
        <w:rPr>
          <w:rFonts w:ascii="Calibri" w:hAnsi="Calibri"/>
          <w:color w:val="000000"/>
          <w:sz w:val="24"/>
        </w:rPr>
        <w:t xml:space="preserve"> = −0.030, m</w:t>
      </w:r>
      <m:oMath>
        <m:r>
          <m:t>a</m:t>
        </m:r>
        <m:r>
          <m:t>₁</m:t>
        </m:r>
      </m:oMath>
      <w:r>
        <w:rPr>
          <w:rFonts w:ascii="Calibri" w:hAnsi="Calibri"/>
          <w:color w:val="000000"/>
          <w:sz w:val="24"/>
        </w:rPr>
        <w:t xml:space="preserve"> = −1.191, m</w:t>
      </w:r>
      <m:oMath>
        <m:r>
          <m:t>a</m:t>
        </m:r>
        <m:r>
          <m:t>₂</m:t>
        </m:r>
      </m:oMath>
      <w:r>
        <w:rPr>
          <w:rFonts w:ascii="Calibri" w:hAnsi="Calibri"/>
          <w:color w:val="000000"/>
          <w:sz w:val="24"/>
        </w:rPr>
        <w:t xml:space="preserve"> = 0.188, </w:t>
      </w:r>
      <m:oMath>
        <m:r>
          <m:t>ω</m:t>
        </m:r>
      </m:oMath>
      <w:r>
        <w:rPr>
          <w:rFonts w:ascii="Calibri" w:hAnsi="Calibri"/>
          <w:color w:val="000000"/>
          <w:sz w:val="24"/>
        </w:rPr>
        <w:t xml:space="preserve"> = 0.0169, </w:t>
      </w:r>
      <m:oMath>
        <m:r>
          <m:t>α</m:t>
        </m:r>
        <m:r>
          <m:t>₁</m:t>
        </m:r>
      </m:oMath>
      <w:r>
        <w:rPr>
          <w:rFonts w:ascii="Calibri" w:hAnsi="Calibri"/>
          <w:color w:val="000000"/>
          <w:sz w:val="24"/>
        </w:rPr>
        <w:t xml:space="preserve"> = 0.131, </w:t>
      </w:r>
      <m:oMath>
        <m:r>
          <m:t>β</m:t>
        </m:r>
        <m:r>
          <m:t>₁</m:t>
        </m:r>
      </m:oMath>
      <w:r>
        <w:rPr>
          <w:rFonts w:ascii="Calibri" w:hAnsi="Calibri"/>
          <w:color w:val="000000"/>
          <w:sz w:val="24"/>
        </w:rPr>
        <w:t xml:space="preserve"> = 0.232, </w:t>
      </w:r>
      <m:oMath>
        <m:r>
          <m:t>β</m:t>
        </m:r>
        <m:r>
          <m:t>₂</m:t>
        </m:r>
      </m:oMath>
      <w:r>
        <w:rPr>
          <w:rFonts w:ascii="Calibri" w:hAnsi="Calibri"/>
          <w:color w:val="000000"/>
          <w:sz w:val="24"/>
        </w:rPr>
        <w:t xml:space="preserve"> = 0.599</w:t>
      </w:r>
    </w:p>
    <w:p>
      <w:r>
        <w:rPr>
          <w:rFonts w:ascii="Calibri" w:hAnsi="Calibri"/>
          <w:color w:val="000000"/>
          <w:sz w:val="24"/>
        </w:rPr>
        <w:t>The sum of ARCH (</w:t>
      </w:r>
      <m:oMath>
        <m:r>
          <m:t>α</m:t>
        </m:r>
      </m:oMath>
      <w:r>
        <w:rPr>
          <w:rFonts w:ascii="Calibri" w:hAnsi="Calibri"/>
          <w:color w:val="000000"/>
          <w:sz w:val="24"/>
        </w:rPr>
        <w:t>) and GARCH (</w:t>
      </w:r>
      <m:oMath>
        <m:r>
          <m:t>β</m:t>
        </m:r>
      </m:oMath>
      <w:r>
        <w:rPr>
          <w:rFonts w:ascii="Calibri" w:hAnsi="Calibri"/>
          <w:color w:val="000000"/>
          <w:sz w:val="24"/>
        </w:rPr>
        <w:t>) coefficients is close to but below 1 for all series, indicating high but stationary volatility persistence — shocks to variance decay slowly. The ARMA(2,2) structure in the mean equation captures the short-run autocorrelation in daily returns, with near-cancelling AR and MA roots reflecting the high-frequency but weak serial dependence.</w:t>
      </w:r>
    </w:p>
    <w:p>
      <w:r>
        <w:rPr>
          <w:rFonts w:ascii="Calibri" w:hAnsi="Calibri"/>
          <w:b/>
          <w:color w:val="000000"/>
          <w:sz w:val="24"/>
        </w:rPr>
        <w:t>Diagnostics (Ljung-Box, 10 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w:r>
              <w:rPr>
                <w:rFonts w:ascii="Calibri" w:hAnsi="Calibri"/>
                <w:b/>
                <w:color w:val="000000"/>
                <w:sz w:val="24"/>
              </w:rPr>
              <w:t>LB on z (p)</w:t>
            </w:r>
          </w:p>
        </w:tc>
        <w:tc>
          <w:tcPr>
            <w:tcW w:type="dxa" w:w="2880"/>
          </w:tcPr>
          <w:p>
            <w:r>
              <w:rPr>
                <w:rFonts w:ascii="Calibri" w:hAnsi="Calibri"/>
                <w:b/>
                <w:color w:val="000000"/>
                <w:sz w:val="24"/>
              </w:rPr>
              <w:t>LB on z² (p)</w:t>
            </w:r>
          </w:p>
        </w:tc>
      </w:tr>
      <w:tr>
        <w:tc>
          <w:tcPr>
            <w:tcW w:type="dxa" w:w="2880"/>
          </w:tcPr>
          <w:p>
            <w:r>
              <w:rPr>
                <w:rFonts w:ascii="Calibri" w:hAnsi="Calibri"/>
                <w:color w:val="000000"/>
                <w:sz w:val="24"/>
              </w:rPr>
              <w:t>CNY</w:t>
            </w:r>
          </w:p>
        </w:tc>
        <w:tc>
          <w:tcPr>
            <w:tcW w:type="dxa" w:w="2880"/>
          </w:tcPr>
          <w:p>
            <w:r>
              <w:rPr>
                <w:rFonts w:ascii="Calibri" w:hAnsi="Calibri"/>
                <w:color w:val="000000"/>
                <w:sz w:val="24"/>
              </w:rPr>
              <w:t>0.394 ✓</w:t>
            </w:r>
          </w:p>
        </w:tc>
        <w:tc>
          <w:tcPr>
            <w:tcW w:type="dxa" w:w="2880"/>
          </w:tcPr>
          <w:p>
            <w:r>
              <w:rPr>
                <w:rFonts w:ascii="Calibri" w:hAnsi="Calibri"/>
                <w:color w:val="000000"/>
                <w:sz w:val="24"/>
              </w:rPr>
              <w:t>0.010</w:t>
            </w:r>
          </w:p>
        </w:tc>
      </w:tr>
      <w:tr>
        <w:tc>
          <w:tcPr>
            <w:tcW w:type="dxa" w:w="2880"/>
          </w:tcPr>
          <w:p>
            <w:r>
              <w:rPr>
                <w:rFonts w:ascii="Calibri" w:hAnsi="Calibri"/>
                <w:color w:val="000000"/>
                <w:sz w:val="24"/>
              </w:rPr>
              <w:t>USD</w:t>
            </w:r>
          </w:p>
        </w:tc>
        <w:tc>
          <w:tcPr>
            <w:tcW w:type="dxa" w:w="2880"/>
          </w:tcPr>
          <w:p>
            <w:r>
              <w:rPr>
                <w:rFonts w:ascii="Calibri" w:hAnsi="Calibri"/>
                <w:color w:val="000000"/>
                <w:sz w:val="24"/>
              </w:rPr>
              <w:t>0.640 ✓</w:t>
            </w:r>
          </w:p>
        </w:tc>
        <w:tc>
          <w:tcPr>
            <w:tcW w:type="dxa" w:w="2880"/>
          </w:tcPr>
          <w:p>
            <w:r>
              <w:rPr>
                <w:rFonts w:ascii="Calibri" w:hAnsi="Calibri"/>
                <w:color w:val="000000"/>
                <w:sz w:val="24"/>
              </w:rPr>
              <w:t>0.083 ✓</w:t>
            </w:r>
          </w:p>
        </w:tc>
      </w:tr>
      <w:tr>
        <w:tc>
          <w:tcPr>
            <w:tcW w:type="dxa" w:w="2880"/>
          </w:tcPr>
          <w:p>
            <w:r>
              <w:rPr>
                <w:rFonts w:ascii="Calibri" w:hAnsi="Calibri"/>
                <w:color w:val="000000"/>
                <w:sz w:val="24"/>
              </w:rPr>
              <w:t>TWI</w:t>
            </w:r>
          </w:p>
        </w:tc>
        <w:tc>
          <w:tcPr>
            <w:tcW w:type="dxa" w:w="2880"/>
          </w:tcPr>
          <w:p>
            <w:r>
              <w:rPr>
                <w:rFonts w:ascii="Calibri" w:hAnsi="Calibri"/>
                <w:color w:val="000000"/>
                <w:sz w:val="24"/>
              </w:rPr>
              <w:t>0.460 ✓</w:t>
            </w:r>
          </w:p>
        </w:tc>
        <w:tc>
          <w:tcPr>
            <w:tcW w:type="dxa" w:w="2880"/>
          </w:tcPr>
          <w:p>
            <w:r>
              <w:rPr>
                <w:rFonts w:ascii="Calibri" w:hAnsi="Calibri"/>
                <w:color w:val="000000"/>
                <w:sz w:val="24"/>
              </w:rPr>
              <w:t>0.088 ✓</w:t>
            </w:r>
          </w:p>
        </w:tc>
      </w:tr>
      <w:tr>
        <w:tc>
          <w:tcPr>
            <w:tcW w:type="dxa" w:w="2880"/>
          </w:tcPr>
          <w:p>
            <w:r>
              <w:rPr>
                <w:rFonts w:ascii="Calibri" w:hAnsi="Calibri"/>
                <w:color w:val="000000"/>
                <w:sz w:val="24"/>
              </w:rPr>
              <w:t>SDR</w:t>
            </w:r>
          </w:p>
        </w:tc>
        <w:tc>
          <w:tcPr>
            <w:tcW w:type="dxa" w:w="2880"/>
          </w:tcPr>
          <w:p>
            <w:r>
              <w:rPr>
                <w:rFonts w:ascii="Calibri" w:hAnsi="Calibri"/>
                <w:color w:val="000000"/>
                <w:sz w:val="24"/>
              </w:rPr>
              <w:t>0.267 ✓</w:t>
            </w:r>
          </w:p>
        </w:tc>
        <w:tc>
          <w:tcPr>
            <w:tcW w:type="dxa" w:w="2880"/>
          </w:tcPr>
          <w:p>
            <w:r>
              <w:rPr>
                <w:rFonts w:ascii="Calibri" w:hAnsi="Calibri"/>
                <w:color w:val="000000"/>
                <w:sz w:val="24"/>
              </w:rPr>
              <w:t>0.006</w:t>
            </w:r>
          </w:p>
        </w:tc>
      </w:tr>
    </w:tbl>
    <w:p/>
    <w:p>
      <w:r>
        <w:rPr>
          <w:rFonts w:ascii="Calibri" w:hAnsi="Calibri"/>
          <w:color w:val="000000"/>
          <w:sz w:val="24"/>
        </w:rPr>
        <w:t>All mean equations are well-specified (LB on z insignificant for all). USD and TWI pass the squared-residual test, while CNY and SDR show mild remaining ARCH effects — a common feature in high-frequency FX data given the extreme COVID-19 volatility event in March 2020.</w:t>
      </w:r>
    </w:p>
    <w:p>
      <w:r>
        <w:rPr>
          <w:rFonts w:ascii="Calibri" w:hAnsi="Calibri"/>
          <w:color w:val="000000"/>
          <w:sz w:val="24"/>
        </w:rPr>
        <w:t>The combined ACF/PACF/Ljung-Box diagnostic figure for squared standardised residuals z² (lags 1–20) is shown below:</w:t>
      </w:r>
    </w:p>
    <w:p>
      <w:pPr>
        <w:jc w:val="center"/>
      </w:pPr>
      <w:r>
        <w:drawing>
          <wp:inline xmlns:a="http://schemas.openxmlformats.org/drawingml/2006/main" xmlns:pic="http://schemas.openxmlformats.org/drawingml/2006/picture">
            <wp:extent cx="5852160" cy="5201920"/>
            <wp:docPr id="3" name="Picture 3"/>
            <wp:cNvGraphicFramePr>
              <a:graphicFrameLocks noChangeAspect="1"/>
            </wp:cNvGraphicFramePr>
            <a:graphic>
              <a:graphicData uri="http://schemas.openxmlformats.org/drawingml/2006/picture">
                <pic:pic>
                  <pic:nvPicPr>
                    <pic:cNvPr id="0" name="fig6_sq_resid_diagnostics.png"/>
                    <pic:cNvPicPr/>
                  </pic:nvPicPr>
                  <pic:blipFill>
                    <a:blip r:embed="rId11"/>
                    <a:stretch>
                      <a:fillRect/>
                    </a:stretch>
                  </pic:blipFill>
                  <pic:spPr>
                    <a:xfrm>
                      <a:off x="0" y="0"/>
                      <a:ext cx="5852160" cy="52019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4" name="Picture 4"/>
            <wp:cNvGraphicFramePr>
              <a:graphicFrameLocks noChangeAspect="1"/>
            </wp:cNvGraphicFramePr>
            <a:graphic>
              <a:graphicData uri="http://schemas.openxmlformats.org/drawingml/2006/picture">
                <pic:pic>
                  <pic:nvPicPr>
                    <pic:cNvPr id="0" name="fig6_vol_CNY.png"/>
                    <pic:cNvPicPr/>
                  </pic:nvPicPr>
                  <pic:blipFill>
                    <a:blip r:embed="rId12"/>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6_vol_USD.png"/>
                    <pic:cNvPicPr/>
                  </pic:nvPicPr>
                  <pic:blipFill>
                    <a:blip r:embed="rId13"/>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6_vol_TWI.png"/>
                    <pic:cNvPicPr/>
                  </pic:nvPicPr>
                  <pic:blipFill>
                    <a:blip r:embed="rId14"/>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7" name="Picture 7"/>
            <wp:cNvGraphicFramePr>
              <a:graphicFrameLocks noChangeAspect="1"/>
            </wp:cNvGraphicFramePr>
            <a:graphic>
              <a:graphicData uri="http://schemas.openxmlformats.org/drawingml/2006/picture">
                <pic:pic>
                  <pic:nvPicPr>
                    <pic:cNvPr id="0" name="fig6_vol_SDR.png"/>
                    <pic:cNvPicPr/>
                  </pic:nvPicPr>
                  <pic:blipFill>
                    <a:blip r:embed="rId15"/>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conditional volatility plots show the COVID-19 spike in March 2020 as the dominant event across all currencies, with elevated but lower volatility around 2022–2023. TWI shows the most contained spike, consistent with its lower sample variance.</w:t>
      </w:r>
    </w:p>
    <w:p>
      <w:r>
        <w:br w:type="page"/>
      </w:r>
    </w:p>
    <w:p>
      <w:pPr>
        <w:pStyle w:val="Heading2"/>
      </w:pPr>
      <w:r>
        <w:t>Question 7</w:t>
      </w:r>
    </w:p>
    <w:p>
      <w:pPr>
        <w:pStyle w:val="Heading3"/>
      </w:pPr>
      <w:r>
        <w:t>Unconditional Variance: Model vs Sample</w:t>
      </w:r>
    </w:p>
    <w:p>
      <w:r>
        <w:rPr>
          <w:rFonts w:ascii="Calibri" w:hAnsi="Calibri"/>
          <w:color w:val="000000"/>
          <w:sz w:val="24"/>
        </w:rPr>
        <w:t xml:space="preserve">For a standard sGARCH model with ARCH orders </w:t>
      </w:r>
      <m:oMath>
        <m:r>
          <m:t>α</m:t>
        </m:r>
        <m:r>
          <m:t>₁</m:t>
        </m:r>
      </m:oMath>
      <w:r>
        <w:rPr>
          <w:rFonts w:ascii="Calibri" w:hAnsi="Calibri"/>
          <w:color w:val="000000"/>
          <w:sz w:val="24"/>
        </w:rPr>
        <w:t xml:space="preserve">, …, </w:t>
      </w:r>
      <m:oMath>
        <m:r>
          <m:t>α</m:t>
        </m:r>
      </m:oMath>
      <w:r>
        <w:rPr>
          <w:rFonts w:ascii="Calibri" w:hAnsi="Calibri"/>
          <w:color w:val="000000"/>
          <w:sz w:val="24"/>
        </w:rPr>
        <w:t xml:space="preserve">ₚ and GARCH orders </w:t>
      </w:r>
      <m:oMath>
        <m:r>
          <m:t>β</m:t>
        </m:r>
        <m:r>
          <m:t>₁</m:t>
        </m:r>
      </m:oMath>
      <w:r>
        <w:rPr>
          <w:rFonts w:ascii="Calibri" w:hAnsi="Calibri"/>
          <w:color w:val="000000"/>
          <w:sz w:val="24"/>
        </w:rPr>
        <w:t xml:space="preserve">, …, </w:t>
      </w:r>
      <m:oMath>
        <m:r>
          <m:t>β</m:t>
        </m:r>
      </m:oMath>
      <w:r>
        <w:rPr>
          <w:rFonts w:ascii="Calibri" w:hAnsi="Calibri"/>
          <w:color w:val="000000"/>
          <w:sz w:val="24"/>
        </w:rPr>
        <w:t>q the unconditional variance (assuming covariance stationarity) is:</w:t>
      </w:r>
    </w:p>
    <w:p>
      <m:oMath>
        <m:r>
          <m:t>σ</m:t>
        </m:r>
        <m:r>
          <m:t>²</m:t>
        </m:r>
      </m:oMath>
      <w:r>
        <w:rPr>
          <w:rFonts w:ascii="Calibri" w:hAnsi="Calibri"/>
          <w:color w:val="000000"/>
          <w:sz w:val="24"/>
        </w:rPr>
        <w:t xml:space="preserve"> = </w:t>
      </w:r>
      <m:oMath>
        <m:r>
          <m:t>ω</m:t>
        </m:r>
      </m:oMath>
      <w:r>
        <w:rPr>
          <w:rFonts w:ascii="Calibri" w:hAnsi="Calibri"/>
          <w:color w:val="000000"/>
          <w:sz w:val="24"/>
        </w:rPr>
        <w:t xml:space="preserve"> / (1 −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w:t>
      </w:r>
    </w:p>
    <w:p>
      <w:r>
        <w:rPr>
          <w:rFonts w:ascii="Calibri" w:hAnsi="Calibri"/>
          <w:color w:val="000000"/>
          <w:sz w:val="24"/>
        </w:rPr>
        <w:t xml:space="preserve">This requires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 xml:space="preserve"> &lt; 1, which holds for all four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m:oMath>
              <m:r>
                <m:t>σ</m:t>
              </m:r>
              <m:r>
                <m:t>²</m:t>
              </m:r>
            </m:oMath>
            <w:r>
              <w:rPr>
                <w:rFonts w:ascii="Calibri" w:hAnsi="Calibri"/>
                <w:b/>
                <w:color w:val="000000"/>
                <w:sz w:val="24"/>
              </w:rPr>
              <w:t>_model</w:t>
            </w:r>
          </w:p>
        </w:tc>
        <w:tc>
          <w:tcPr>
            <w:tcW w:type="dxa" w:w="1728"/>
          </w:tcPr>
          <w:p>
            <m:oMath>
              <m:r>
                <m:t>σ</m:t>
              </m:r>
              <m:r>
                <m:t>²</m:t>
              </m:r>
            </m:oMath>
            <w:r>
              <w:rPr>
                <w:rFonts w:ascii="Calibri" w:hAnsi="Calibri"/>
                <w:b/>
                <w:color w:val="000000"/>
                <w:sz w:val="24"/>
              </w:rPr>
              <w:t>_sample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0.9054</w:t>
            </w:r>
          </w:p>
        </w:tc>
        <w:tc>
          <w:tcPr>
            <w:tcW w:type="dxa" w:w="1728"/>
          </w:tcPr>
          <w:p>
            <w:r>
              <w:rPr>
                <w:rFonts w:ascii="Calibri" w:hAnsi="Calibri"/>
                <w:color w:val="000000"/>
                <w:sz w:val="24"/>
              </w:rPr>
              <w:t>0.3081</w:t>
            </w:r>
          </w:p>
        </w:tc>
        <w:tc>
          <w:tcPr>
            <w:tcW w:type="dxa" w:w="1728"/>
          </w:tcPr>
          <w:p>
            <w:r>
              <w:rPr>
                <w:rFonts w:ascii="Calibri" w:hAnsi="Calibri"/>
                <w:color w:val="000000"/>
                <w:sz w:val="24"/>
              </w:rPr>
              <w:t>0.3369</w:t>
            </w:r>
          </w:p>
        </w:tc>
        <w:tc>
          <w:tcPr>
            <w:tcW w:type="dxa" w:w="1728"/>
          </w:tcPr>
          <w:p>
            <w:r>
              <w:rPr>
                <w:rFonts w:ascii="Calibri" w:hAnsi="Calibri"/>
                <w:color w:val="000000"/>
                <w:sz w:val="24"/>
              </w:rPr>
              <w:t>0.9146</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0.9623</w:t>
            </w:r>
          </w:p>
        </w:tc>
        <w:tc>
          <w:tcPr>
            <w:tcW w:type="dxa" w:w="1728"/>
          </w:tcPr>
          <w:p>
            <w:r>
              <w:rPr>
                <w:rFonts w:ascii="Calibri" w:hAnsi="Calibri"/>
                <w:color w:val="000000"/>
                <w:sz w:val="24"/>
              </w:rPr>
              <w:t>0.4474</w:t>
            </w:r>
          </w:p>
        </w:tc>
        <w:tc>
          <w:tcPr>
            <w:tcW w:type="dxa" w:w="1728"/>
          </w:tcPr>
          <w:p>
            <w:r>
              <w:rPr>
                <w:rFonts w:ascii="Calibri" w:hAnsi="Calibri"/>
                <w:color w:val="000000"/>
                <w:sz w:val="24"/>
              </w:rPr>
              <w:t>0.4492</w:t>
            </w:r>
          </w:p>
        </w:tc>
        <w:tc>
          <w:tcPr>
            <w:tcW w:type="dxa" w:w="1728"/>
          </w:tcPr>
          <w:p>
            <w:r>
              <w:rPr>
                <w:rFonts w:ascii="Calibri" w:hAnsi="Calibri"/>
                <w:color w:val="000000"/>
                <w:sz w:val="24"/>
              </w:rPr>
              <w:t>0.9960</w:t>
            </w:r>
          </w:p>
        </w:tc>
      </w:tr>
    </w:tbl>
    <w:p/>
    <w:p>
      <w:r>
        <w:rPr>
          <w:rFonts w:ascii="Calibri" w:hAnsi="Calibri"/>
          <w:color w:val="000000"/>
          <w:sz w:val="24"/>
        </w:rPr>
        <w:t>Since persistence &lt; 1 for all currencies, the unconditional variance is well-defined — none of the series exhibit IGARCH behaviour.</w:t>
      </w:r>
    </w:p>
    <w:p>
      <w:r>
        <w:rPr>
          <w:rFonts w:ascii="Calibri" w:hAnsi="Calibri"/>
          <w:color w:val="000000"/>
          <w:sz w:val="24"/>
        </w:rPr>
        <w:t>For CNY, TWI, and SDR the model variance sits close to or below the sample variance. CNY (ratio = 0.91) and TWI (ratio = 0.89) sit slightly below their sample variances because the March 2020 COVID-19 spike inflates the sample average but is treated as a temporary deviation by the GARCH model. SDR has a ratio of 0.996 — the GARCH long-run variance almost exactly matches the sample, indicating the model cleanly captures the unconditional volatility level. USD's model variance slightly exceeds its sample variance (ratio = 1.08), suggesting the GARCH long-run level is marginally above the in-sample average. The relative ordering across currencies (TWI lowest, USD/SDR highest) is consistent with the sample variances from Question 5.</w:t>
      </w:r>
    </w:p>
    <w:p>
      <w:r>
        <w:br w:type="page"/>
      </w:r>
    </w:p>
    <w:p>
      <w:pPr>
        <w:pStyle w:val="Heading2"/>
      </w:pPr>
      <w:r>
        <w:t>Question 8</w:t>
      </w:r>
    </w:p>
    <w:p>
      <w:pPr>
        <w:pStyle w:val="Heading3"/>
      </w:pPr>
      <w:r>
        <w:t>Probability of Return Below 0.01%</w:t>
      </w:r>
    </w:p>
    <w:p>
      <w:r>
        <w:rPr>
          <w:rFonts w:ascii="Calibri" w:hAnsi="Calibri"/>
          <w:color w:val="000000"/>
          <w:sz w:val="24"/>
        </w:rPr>
        <w:t>Using the fitted sGARCH models, two-step ahead forecasts of conditional mean and standard deviation are computed from the last observation (12 January 2026). Under the Normal distribution assumed for the errors, the probability is:</w:t>
      </w:r>
    </w:p>
    <w:p>
      <w:r>
        <w:rPr>
          <w:rFonts w:ascii="Calibri" w:hAnsi="Calibri"/>
          <w:color w:val="000000"/>
          <w:sz w:val="24"/>
        </w:rPr>
        <w:t xml:space="preserve">P(e_{j,t} &lt; 0.01) = </w:t>
      </w:r>
      <m:oMath>
        <m:r>
          <m:t>Φ</m:t>
        </m:r>
      </m:oMath>
      <w:r>
        <w:rPr>
          <w:rFonts w:ascii="Calibri" w:hAnsi="Calibri"/>
          <w:color w:val="000000"/>
          <w:sz w:val="24"/>
        </w:rPr>
        <w:t xml:space="preserve">((0.01 − </w:t>
      </w:r>
      <m:oMath>
        <m:r>
          <m:t>μ</m:t>
        </m:r>
      </m:oMath>
      <w:r>
        <w:rPr>
          <w:rFonts w:ascii="Calibri" w:hAnsi="Calibri"/>
          <w:color w:val="000000"/>
          <w:sz w:val="24"/>
        </w:rPr>
        <w:t xml:space="preserve">_{T+h}) / </w:t>
      </w:r>
      <m:oMath>
        <m:r>
          <m:t>σ</m:t>
        </m:r>
      </m:oMath>
      <w:r>
        <w:rPr>
          <w:rFonts w:ascii="Calibri" w:hAnsi="Calibri"/>
          <w:color w:val="000000"/>
          <w:sz w:val="24"/>
        </w:rPr>
        <w:t>_{T+h})</w:t>
      </w:r>
    </w:p>
    <w:p>
      <w:r>
        <w:rPr>
          <w:rFonts w:ascii="Calibri" w:hAnsi="Calibri"/>
          <w:color w:val="000000"/>
          <w:sz w:val="24"/>
        </w:rPr>
        <w:t xml:space="preserve">where </w:t>
      </w:r>
      <m:oMath>
        <m:r>
          <m:t>Φ</m:t>
        </m:r>
      </m:oMath>
      <w:r>
        <w:rPr>
          <w:rFonts w:ascii="Calibri" w:hAnsi="Calibri"/>
          <w:color w:val="000000"/>
          <w:sz w:val="24"/>
        </w:rPr>
        <w:t xml:space="preserve"> is the standard Normal CDF.</w:t>
      </w:r>
    </w:p>
    <w:p>
      <w:r>
        <w:rPr>
          <w:rFonts w:ascii="Calibri" w:hAnsi="Calibri"/>
          <w:b/>
          <w:color w:val="000000"/>
          <w:sz w:val="24"/>
        </w:rPr>
        <w:t>Results: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alibri" w:hAnsi="Calibri"/>
                <w:b/>
                <w:color w:val="000000"/>
                <w:sz w:val="24"/>
              </w:rPr>
              <w:t>Currency</w:t>
            </w:r>
          </w:p>
        </w:tc>
        <w:tc>
          <w:tcPr>
            <w:tcW w:type="dxa" w:w="1234"/>
          </w:tcPr>
          <w:p>
            <m:oMath>
              <m:r>
                <m:t>μ</m:t>
              </m:r>
            </m:oMath>
            <w:r>
              <w:rPr>
                <w:rFonts w:ascii="Calibri" w:hAnsi="Calibri"/>
                <w:b/>
                <w:color w:val="000000"/>
                <w:sz w:val="24"/>
              </w:rPr>
              <w:t>_{T+1}</w:t>
            </w:r>
          </w:p>
        </w:tc>
        <w:tc>
          <w:tcPr>
            <w:tcW w:type="dxa" w:w="1234"/>
          </w:tcPr>
          <w:p>
            <m:oMath>
              <m:r>
                <m:t>σ</m:t>
              </m:r>
            </m:oMath>
            <w:r>
              <w:rPr>
                <w:rFonts w:ascii="Calibri" w:hAnsi="Calibri"/>
                <w:b/>
                <w:color w:val="000000"/>
                <w:sz w:val="24"/>
              </w:rPr>
              <w:t>_{T+1}</w:t>
            </w:r>
          </w:p>
        </w:tc>
        <w:tc>
          <w:tcPr>
            <w:tcW w:type="dxa" w:w="1234"/>
          </w:tcPr>
          <w:p>
            <w:r>
              <w:rPr>
                <w:rFonts w:ascii="Calibri" w:hAnsi="Calibri"/>
                <w:b/>
                <w:color w:val="000000"/>
                <w:sz w:val="24"/>
              </w:rPr>
              <w:t>P(13/01)</w:t>
            </w:r>
          </w:p>
        </w:tc>
        <w:tc>
          <w:tcPr>
            <w:tcW w:type="dxa" w:w="1234"/>
          </w:tcPr>
          <w:p>
            <m:oMath>
              <m:r>
                <m:t>μ</m:t>
              </m:r>
            </m:oMath>
            <w:r>
              <w:rPr>
                <w:rFonts w:ascii="Calibri" w:hAnsi="Calibri"/>
                <w:b/>
                <w:color w:val="000000"/>
                <w:sz w:val="24"/>
              </w:rPr>
              <w:t>_{T+2}</w:t>
            </w:r>
          </w:p>
        </w:tc>
        <w:tc>
          <w:tcPr>
            <w:tcW w:type="dxa" w:w="1234"/>
          </w:tcPr>
          <w:p>
            <m:oMath>
              <m:r>
                <m:t>σ</m:t>
              </m:r>
            </m:oMath>
            <w:r>
              <w:rPr>
                <w:rFonts w:ascii="Calibri" w:hAnsi="Calibri"/>
                <w:b/>
                <w:color w:val="000000"/>
                <w:sz w:val="24"/>
              </w:rPr>
              <w:t>_{T+2}</w:t>
            </w:r>
          </w:p>
        </w:tc>
        <w:tc>
          <w:tcPr>
            <w:tcW w:type="dxa" w:w="1234"/>
          </w:tcPr>
          <w:p>
            <w:r>
              <w:rPr>
                <w:rFonts w:ascii="Calibri" w:hAnsi="Calibri"/>
                <w:b/>
                <w:color w:val="000000"/>
                <w:sz w:val="24"/>
              </w:rPr>
              <w:t>P(14/01)</w:t>
            </w:r>
          </w:p>
        </w:tc>
      </w:tr>
      <w:tr>
        <w:tc>
          <w:tcPr>
            <w:tcW w:type="dxa" w:w="1234"/>
          </w:tcPr>
          <w:p>
            <w:r>
              <w:rPr>
                <w:rFonts w:ascii="Calibri" w:hAnsi="Calibri"/>
                <w:color w:val="000000"/>
                <w:sz w:val="24"/>
              </w:rPr>
              <w:t>CNY</w:t>
            </w:r>
          </w:p>
        </w:tc>
        <w:tc>
          <w:tcPr>
            <w:tcW w:type="dxa" w:w="1234"/>
          </w:tcPr>
          <w:p>
            <w:r>
              <w:rPr>
                <w:rFonts w:ascii="Calibri" w:hAnsi="Calibri"/>
                <w:color w:val="000000"/>
                <w:sz w:val="24"/>
              </w:rPr>
              <w:t>−0.0121</w:t>
            </w:r>
          </w:p>
        </w:tc>
        <w:tc>
          <w:tcPr>
            <w:tcW w:type="dxa" w:w="1234"/>
          </w:tcPr>
          <w:p>
            <w:r>
              <w:rPr>
                <w:rFonts w:ascii="Calibri" w:hAnsi="Calibri"/>
                <w:color w:val="000000"/>
                <w:sz w:val="24"/>
              </w:rPr>
              <w:t>0.4946</w:t>
            </w:r>
          </w:p>
        </w:tc>
        <w:tc>
          <w:tcPr>
            <w:tcW w:type="dxa" w:w="1234"/>
          </w:tcPr>
          <w:p>
            <w:r>
              <w:rPr>
                <w:rFonts w:ascii="Calibri" w:hAnsi="Calibri"/>
                <w:color w:val="000000"/>
                <w:sz w:val="24"/>
              </w:rPr>
              <w:t>0.5178</w:t>
            </w:r>
          </w:p>
        </w:tc>
        <w:tc>
          <w:tcPr>
            <w:tcW w:type="dxa" w:w="1234"/>
          </w:tcPr>
          <w:p>
            <w:r>
              <w:rPr>
                <w:rFonts w:ascii="Calibri" w:hAnsi="Calibri"/>
                <w:color w:val="000000"/>
                <w:sz w:val="24"/>
              </w:rPr>
              <w:t>−0.0118</w:t>
            </w:r>
          </w:p>
        </w:tc>
        <w:tc>
          <w:tcPr>
            <w:tcW w:type="dxa" w:w="1234"/>
          </w:tcPr>
          <w:p>
            <w:r>
              <w:rPr>
                <w:rFonts w:ascii="Calibri" w:hAnsi="Calibri"/>
                <w:color w:val="000000"/>
                <w:sz w:val="24"/>
              </w:rPr>
              <w:t>0.5004</w:t>
            </w:r>
          </w:p>
        </w:tc>
        <w:tc>
          <w:tcPr>
            <w:tcW w:type="dxa" w:w="1234"/>
          </w:tcPr>
          <w:p>
            <w:r>
              <w:rPr>
                <w:rFonts w:ascii="Calibri" w:hAnsi="Calibri"/>
                <w:color w:val="000000"/>
                <w:sz w:val="24"/>
              </w:rPr>
              <w:t>0.5174</w:t>
            </w:r>
          </w:p>
        </w:tc>
      </w:tr>
      <w:tr>
        <w:tc>
          <w:tcPr>
            <w:tcW w:type="dxa" w:w="1234"/>
          </w:tcPr>
          <w:p>
            <w:r>
              <w:rPr>
                <w:rFonts w:ascii="Calibri" w:hAnsi="Calibri"/>
                <w:color w:val="000000"/>
                <w:sz w:val="24"/>
              </w:rPr>
              <w:t>USD</w:t>
            </w:r>
          </w:p>
        </w:tc>
        <w:tc>
          <w:tcPr>
            <w:tcW w:type="dxa" w:w="1234"/>
          </w:tcPr>
          <w:p>
            <w:r>
              <w:rPr>
                <w:rFonts w:ascii="Calibri" w:hAnsi="Calibri"/>
                <w:color w:val="000000"/>
                <w:sz w:val="24"/>
              </w:rPr>
              <w:t>−0.0025</w:t>
            </w:r>
          </w:p>
        </w:tc>
        <w:tc>
          <w:tcPr>
            <w:tcW w:type="dxa" w:w="1234"/>
          </w:tcPr>
          <w:p>
            <w:r>
              <w:rPr>
                <w:rFonts w:ascii="Calibri" w:hAnsi="Calibri"/>
                <w:color w:val="000000"/>
                <w:sz w:val="24"/>
              </w:rPr>
              <w:t>0.4931</w:t>
            </w:r>
          </w:p>
        </w:tc>
        <w:tc>
          <w:tcPr>
            <w:tcW w:type="dxa" w:w="1234"/>
          </w:tcPr>
          <w:p>
            <w:r>
              <w:rPr>
                <w:rFonts w:ascii="Calibri" w:hAnsi="Calibri"/>
                <w:color w:val="000000"/>
                <w:sz w:val="24"/>
              </w:rPr>
              <w:t>0.5101</w:t>
            </w:r>
          </w:p>
        </w:tc>
        <w:tc>
          <w:tcPr>
            <w:tcW w:type="dxa" w:w="1234"/>
          </w:tcPr>
          <w:p>
            <w:r>
              <w:rPr>
                <w:rFonts w:ascii="Calibri" w:hAnsi="Calibri"/>
                <w:color w:val="000000"/>
                <w:sz w:val="24"/>
              </w:rPr>
              <w:t>−0.0023</w:t>
            </w:r>
          </w:p>
        </w:tc>
        <w:tc>
          <w:tcPr>
            <w:tcW w:type="dxa" w:w="1234"/>
          </w:tcPr>
          <w:p>
            <w:r>
              <w:rPr>
                <w:rFonts w:ascii="Calibri" w:hAnsi="Calibri"/>
                <w:color w:val="000000"/>
                <w:sz w:val="24"/>
              </w:rPr>
              <w:t>0.4844</w:t>
            </w:r>
          </w:p>
        </w:tc>
        <w:tc>
          <w:tcPr>
            <w:tcW w:type="dxa" w:w="1234"/>
          </w:tcPr>
          <w:p>
            <w:r>
              <w:rPr>
                <w:rFonts w:ascii="Calibri" w:hAnsi="Calibri"/>
                <w:color w:val="000000"/>
                <w:sz w:val="24"/>
              </w:rPr>
              <w:t>0.5101</w:t>
            </w:r>
          </w:p>
        </w:tc>
      </w:tr>
      <w:tr>
        <w:tc>
          <w:tcPr>
            <w:tcW w:type="dxa" w:w="1234"/>
          </w:tcPr>
          <w:p>
            <w:r>
              <w:rPr>
                <w:rFonts w:ascii="Calibri" w:hAnsi="Calibri"/>
                <w:color w:val="000000"/>
                <w:sz w:val="24"/>
              </w:rPr>
              <w:t>TWI</w:t>
            </w:r>
          </w:p>
        </w:tc>
        <w:tc>
          <w:tcPr>
            <w:tcW w:type="dxa" w:w="1234"/>
          </w:tcPr>
          <w:p>
            <w:r>
              <w:rPr>
                <w:rFonts w:ascii="Calibri" w:hAnsi="Calibri"/>
                <w:color w:val="000000"/>
                <w:sz w:val="24"/>
              </w:rPr>
              <w:t>−0.0543</w:t>
            </w:r>
          </w:p>
        </w:tc>
        <w:tc>
          <w:tcPr>
            <w:tcW w:type="dxa" w:w="1234"/>
          </w:tcPr>
          <w:p>
            <w:r>
              <w:rPr>
                <w:rFonts w:ascii="Calibri" w:hAnsi="Calibri"/>
                <w:color w:val="000000"/>
                <w:sz w:val="24"/>
              </w:rPr>
              <w:t>0.4005</w:t>
            </w:r>
          </w:p>
        </w:tc>
        <w:tc>
          <w:tcPr>
            <w:tcW w:type="dxa" w:w="1234"/>
          </w:tcPr>
          <w:p>
            <w:r>
              <w:rPr>
                <w:rFonts w:ascii="Calibri" w:hAnsi="Calibri"/>
                <w:color w:val="000000"/>
                <w:sz w:val="24"/>
              </w:rPr>
              <w:t>0.5638</w:t>
            </w:r>
          </w:p>
        </w:tc>
        <w:tc>
          <w:tcPr>
            <w:tcW w:type="dxa" w:w="1234"/>
          </w:tcPr>
          <w:p>
            <w:r>
              <w:rPr>
                <w:rFonts w:ascii="Calibri" w:hAnsi="Calibri"/>
                <w:color w:val="000000"/>
                <w:sz w:val="24"/>
              </w:rPr>
              <w:t>−0.0014</w:t>
            </w:r>
          </w:p>
        </w:tc>
        <w:tc>
          <w:tcPr>
            <w:tcW w:type="dxa" w:w="1234"/>
          </w:tcPr>
          <w:p>
            <w:r>
              <w:rPr>
                <w:rFonts w:ascii="Calibri" w:hAnsi="Calibri"/>
                <w:color w:val="000000"/>
                <w:sz w:val="24"/>
              </w:rPr>
              <w:t>0.4075</w:t>
            </w:r>
          </w:p>
        </w:tc>
        <w:tc>
          <w:tcPr>
            <w:tcW w:type="dxa" w:w="1234"/>
          </w:tcPr>
          <w:p>
            <w:r>
              <w:rPr>
                <w:rFonts w:ascii="Calibri" w:hAnsi="Calibri"/>
                <w:color w:val="000000"/>
                <w:sz w:val="24"/>
              </w:rPr>
              <w:t>0.5111</w:t>
            </w:r>
          </w:p>
        </w:tc>
      </w:tr>
      <w:tr>
        <w:tc>
          <w:tcPr>
            <w:tcW w:type="dxa" w:w="1234"/>
          </w:tcPr>
          <w:p>
            <w:r>
              <w:rPr>
                <w:rFonts w:ascii="Calibri" w:hAnsi="Calibri"/>
                <w:color w:val="000000"/>
                <w:sz w:val="24"/>
              </w:rPr>
              <w:t>SDR</w:t>
            </w:r>
          </w:p>
        </w:tc>
        <w:tc>
          <w:tcPr>
            <w:tcW w:type="dxa" w:w="1234"/>
          </w:tcPr>
          <w:p>
            <w:r>
              <w:rPr>
                <w:rFonts w:ascii="Calibri" w:hAnsi="Calibri"/>
                <w:color w:val="000000"/>
                <w:sz w:val="24"/>
              </w:rPr>
              <w:t>−0.0505</w:t>
            </w:r>
          </w:p>
        </w:tc>
        <w:tc>
          <w:tcPr>
            <w:tcW w:type="dxa" w:w="1234"/>
          </w:tcPr>
          <w:p>
            <w:r>
              <w:rPr>
                <w:rFonts w:ascii="Calibri" w:hAnsi="Calibri"/>
                <w:color w:val="000000"/>
                <w:sz w:val="24"/>
              </w:rPr>
              <w:t>0.4792</w:t>
            </w:r>
          </w:p>
        </w:tc>
        <w:tc>
          <w:tcPr>
            <w:tcW w:type="dxa" w:w="1234"/>
          </w:tcPr>
          <w:p>
            <w:r>
              <w:rPr>
                <w:rFonts w:ascii="Calibri" w:hAnsi="Calibri"/>
                <w:color w:val="000000"/>
                <w:sz w:val="24"/>
              </w:rPr>
              <w:t>0.5503</w:t>
            </w:r>
          </w:p>
        </w:tc>
        <w:tc>
          <w:tcPr>
            <w:tcW w:type="dxa" w:w="1234"/>
          </w:tcPr>
          <w:p>
            <w:r>
              <w:rPr>
                <w:rFonts w:ascii="Calibri" w:hAnsi="Calibri"/>
                <w:color w:val="000000"/>
                <w:sz w:val="24"/>
              </w:rPr>
              <w:t>−0.0332</w:t>
            </w:r>
          </w:p>
        </w:tc>
        <w:tc>
          <w:tcPr>
            <w:tcW w:type="dxa" w:w="1234"/>
          </w:tcPr>
          <w:p>
            <w:r>
              <w:rPr>
                <w:rFonts w:ascii="Calibri" w:hAnsi="Calibri"/>
                <w:color w:val="000000"/>
                <w:sz w:val="24"/>
              </w:rPr>
              <w:t>0.4797</w:t>
            </w:r>
          </w:p>
        </w:tc>
        <w:tc>
          <w:tcPr>
            <w:tcW w:type="dxa" w:w="1234"/>
          </w:tcPr>
          <w:p>
            <w:r>
              <w:rPr>
                <w:rFonts w:ascii="Calibri" w:hAnsi="Calibri"/>
                <w:color w:val="000000"/>
                <w:sz w:val="24"/>
              </w:rPr>
              <w:t>0.5359</w:t>
            </w:r>
          </w:p>
        </w:tc>
      </w:tr>
    </w:tbl>
    <w:p/>
    <w:p>
      <w:r>
        <w:rPr>
          <w:rFonts w:ascii="Calibri" w:hAnsi="Calibri"/>
          <w:color w:val="000000"/>
          <w:sz w:val="24"/>
        </w:rPr>
        <w:t>All probabilities are slightly above 0.50 because mean returns are slightly negative — the AUD has depreciated modestly on average over the sample, so there is a marginally higher chance any given day's return falls below the 0.01% threshold.</w:t>
      </w:r>
    </w:p>
    <w:p>
      <w:r>
        <w:rPr>
          <w:rFonts w:ascii="Calibri" w:hAnsi="Calibri"/>
          <w:color w:val="000000"/>
          <w:sz w:val="24"/>
        </w:rPr>
        <w:t xml:space="preserve">For a foreign currency investor, a higher P(e &lt; 0.01%) means a higher chance of earning essentially zero or negative returns — more downside risk. The preferred currency is the one with the </w:t>
      </w:r>
      <w:r>
        <w:rPr>
          <w:rFonts w:ascii="Calibri" w:hAnsi="Calibri"/>
          <w:b/>
          <w:color w:val="000000"/>
          <w:sz w:val="24"/>
        </w:rPr>
        <w:t>lowest</w:t>
      </w:r>
      <w:r>
        <w:rPr>
          <w:rFonts w:ascii="Calibri" w:hAnsi="Calibri"/>
          <w:color w:val="000000"/>
          <w:sz w:val="24"/>
        </w:rPr>
        <w:t xml:space="preserve"> probability.</w:t>
      </w:r>
    </w:p>
    <w:p>
      <w:r>
        <w:rPr>
          <w:rFonts w:ascii="Calibri" w:hAnsi="Calibri"/>
          <w:color w:val="000000"/>
          <w:sz w:val="24"/>
        </w:rPr>
        <w:t xml:space="preserve">On </w:t>
      </w:r>
      <w:r>
        <w:rPr>
          <w:rFonts w:ascii="Calibri" w:hAnsi="Calibri"/>
          <w:b/>
          <w:color w:val="000000"/>
          <w:sz w:val="24"/>
        </w:rPr>
        <w:t>13 January</w:t>
      </w:r>
      <w:r>
        <w:rPr>
          <w:rFonts w:ascii="Calibri" w:hAnsi="Calibri"/>
          <w:color w:val="000000"/>
          <w:sz w:val="24"/>
        </w:rPr>
        <w:t xml:space="preserve">, the safest investment is </w:t>
      </w:r>
      <w:r>
        <w:rPr>
          <w:rFonts w:ascii="Calibri" w:hAnsi="Calibri"/>
          <w:b/>
          <w:color w:val="000000"/>
          <w:sz w:val="24"/>
        </w:rPr>
        <w:t>USD</w:t>
      </w:r>
      <w:r>
        <w:rPr>
          <w:rFonts w:ascii="Calibri" w:hAnsi="Calibri"/>
          <w:color w:val="000000"/>
          <w:sz w:val="24"/>
        </w:rPr>
        <w:t xml:space="preserve"> (P = 0.5101), followed by CNY (0.5178), SDR (0.5503), and TWI (0.5638). Both SDR and TWI show elevated downside risk on this date: TWI's T+1 conditional mean is −0.0543% (driven by ARMA(2,2) momentum amplifying the most recent negative return) and SDR's mean is −0.0505%, both pushing significant probability mass below the threshold despite moderate unconditional volatility.</w:t>
      </w:r>
    </w:p>
    <w:p>
      <w:r>
        <w:rPr>
          <w:rFonts w:ascii="Calibri" w:hAnsi="Calibri"/>
          <w:color w:val="000000"/>
          <w:sz w:val="24"/>
        </w:rPr>
        <w:t xml:space="preserve">On </w:t>
      </w:r>
      <w:r>
        <w:rPr>
          <w:rFonts w:ascii="Calibri" w:hAnsi="Calibri"/>
          <w:b/>
          <w:color w:val="000000"/>
          <w:sz w:val="24"/>
        </w:rPr>
        <w:t>14 January</w:t>
      </w:r>
      <w:r>
        <w:rPr>
          <w:rFonts w:ascii="Calibri" w:hAnsi="Calibri"/>
          <w:color w:val="000000"/>
          <w:sz w:val="24"/>
        </w:rPr>
        <w:t xml:space="preserve">, the ranking shifts as the ARMA mean equations partially revert. TWI (0.5111) drops sharply to near-USD levels and becomes second-safest, while </w:t>
      </w:r>
      <w:r>
        <w:rPr>
          <w:rFonts w:ascii="Calibri" w:hAnsi="Calibri"/>
          <w:b/>
          <w:color w:val="000000"/>
          <w:sz w:val="24"/>
        </w:rPr>
        <w:t>USD</w:t>
      </w:r>
      <w:r>
        <w:rPr>
          <w:rFonts w:ascii="Calibri" w:hAnsi="Calibri"/>
          <w:color w:val="000000"/>
          <w:sz w:val="24"/>
        </w:rPr>
        <w:t xml:space="preserve"> (0.5101) remains the safest. CNY (0.5174) stays stable. SDR (0.5359), however, remains notably elevated — its ARMA(2,2) mean equation reverts more slowly, maintaining a conditional mean of −0.0332% at T+2, making it the riskiest currency on the second day.</w:t>
      </w:r>
    </w:p>
    <w:p>
      <w:r>
        <w:rPr>
          <w:rFonts w:ascii="Calibri" w:hAnsi="Calibri"/>
          <w:color w:val="000000"/>
          <w:sz w:val="24"/>
        </w:rPr>
        <w:t>This illustrates how short-run ARMA dynamics can dominate the 1-step forecast but the degree of washout by the 2-step horizon varies by currency: TWI reverts almost completely, while SDR retains meaningful downside skew.</w:t>
      </w:r>
    </w:p>
    <w:p>
      <w:r>
        <w:rPr>
          <w:rFonts w:ascii="Calibri" w:hAnsi="Calibri"/>
          <w:color w:val="000000"/>
          <w:sz w:val="24"/>
        </w:rPr>
        <w:t xml:space="preserve">In practice, a risk manager would favour </w:t>
      </w:r>
      <w:r>
        <w:rPr>
          <w:rFonts w:ascii="Calibri" w:hAnsi="Calibri"/>
          <w:b/>
          <w:color w:val="000000"/>
          <w:sz w:val="24"/>
        </w:rPr>
        <w:t>USD</w:t>
      </w:r>
      <w:r>
        <w:rPr>
          <w:rFonts w:ascii="Calibri" w:hAnsi="Calibri"/>
          <w:color w:val="000000"/>
          <w:sz w:val="24"/>
        </w:rPr>
        <w:t xml:space="preserve"> given its consistently low and stable downside probability across both horizons. This is consistent with USD/AUD having a near-zero conditional mean (close to random-walk behaviour) and moderate volatility — making it the most predictably neutral investment over a 2-day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2026-04-15T05:24:49Z</dcterms:created>
  <dcterms:modified xsi:type="dcterms:W3CDTF">2026-04-15T05:24:49Z</dcterms:modified>
  <cp:category/>
</cp:coreProperties>
</file>