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0000"/>
          <w:sz w:val="24"/>
        </w:rPr>
        <w:t>ECON3350 Research Report: Michael Nguyen (s4884533)</w:t>
      </w:r>
    </w:p>
    <w:p>
      <w:r>
        <w:br w:type="page"/>
      </w:r>
    </w:p>
    <w:p>
      <w:pPr>
        <w:pStyle w:val="Heading2"/>
      </w:pPr>
      <w:r>
        <w:t>Question 1</w:t>
      </w:r>
    </w:p>
    <w:p>
      <w:pPr>
        <w:pStyle w:val="Heading3"/>
      </w:pPr>
      <w:r>
        <w:t>1(a) Exploratory Plots and Series Properties</w:t>
      </w:r>
    </w:p>
    <w:p>
      <w:pPr>
        <w:jc w:val="center"/>
      </w:pPr>
      <w:r>
        <w:drawing>
          <wp:inline xmlns:a="http://schemas.openxmlformats.org/drawingml/2006/main" xmlns:pic="http://schemas.openxmlformats.org/drawingml/2006/picture">
            <wp:extent cx="5852160" cy="1950720"/>
            <wp:docPr id="1" name="Picture 1"/>
            <wp:cNvGraphicFramePr>
              <a:graphicFrameLocks noChangeAspect="1"/>
            </wp:cNvGraphicFramePr>
            <a:graphic>
              <a:graphicData uri="http://schemas.openxmlformats.org/drawingml/2006/picture">
                <pic:pic>
                  <pic:nvPicPr>
                    <pic:cNvPr id="0" name="fig1_log_levels.png"/>
                    <pic:cNvPicPr/>
                  </pic:nvPicPr>
                  <pic:blipFill>
                    <a:blip r:embed="rId9"/>
                    <a:stretch>
                      <a:fillRect/>
                    </a:stretch>
                  </pic:blipFill>
                  <pic:spPr>
                    <a:xfrm>
                      <a:off x="0" y="0"/>
                      <a:ext cx="5852160" cy="1950720"/>
                    </a:xfrm>
                    <a:prstGeom prst="rect"/>
                  </pic:spPr>
                </pic:pic>
              </a:graphicData>
            </a:graphic>
          </wp:inline>
        </w:drawing>
      </w:r>
    </w:p>
    <w:p>
      <w:pPr>
        <w:jc w:val="center"/>
      </w:pPr>
      <w:r>
        <w:rPr>
          <w:rFonts w:ascii="Calibri" w:hAnsi="Calibri"/>
          <w:color w:val="000000"/>
          <w:sz w:val="24"/>
        </w:rPr>
        <w:t>Figure 1</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fig2_log_diffs.png"/>
                    <pic:cNvPicPr/>
                  </pic:nvPicPr>
                  <pic:blipFill>
                    <a:blip r:embed="rId10"/>
                    <a:stretch>
                      <a:fillRect/>
                    </a:stretch>
                  </pic:blipFill>
                  <pic:spPr>
                    <a:xfrm>
                      <a:off x="0" y="0"/>
                      <a:ext cx="5852160" cy="2926080"/>
                    </a:xfrm>
                    <a:prstGeom prst="rect"/>
                  </pic:spPr>
                </pic:pic>
              </a:graphicData>
            </a:graphic>
          </wp:inline>
        </w:drawing>
      </w:r>
    </w:p>
    <w:p>
      <w:pPr>
        <w:jc w:val="center"/>
      </w:pPr>
      <w:r>
        <w:rPr>
          <w:rFonts w:ascii="Calibri" w:hAnsi="Calibri"/>
          <w:color w:val="000000"/>
          <w:sz w:val="24"/>
        </w:rPr>
        <w:t>Figure 2</w:t>
      </w:r>
    </w:p>
    <w:p>
      <w:r>
        <w:rPr>
          <w:rFonts w:ascii="Calibri" w:hAnsi="Calibri"/>
          <w:color w:val="000000"/>
          <w:sz w:val="24"/>
        </w:rPr>
        <w:t>The sample covers the USA from 1959Q1 to 2023Q4, giving 260 quarterly observations. The four series are the log price level, log real GDP per capita, log real consumption, and the nominal 3-month T-bill rate:</w:t>
      </w:r>
    </w:p>
    <w:p>
      <w:pPr>
        <w:jc w:val="center"/>
      </w:pPr>
      <m:oMath>
        <m:sSub>
          <m:e>
            <m:r>
              <m:t>p</m:t>
            </m:r>
          </m:e>
          <m:sub>
            <m:r>
              <m:t>t</m:t>
            </m:r>
          </m:sub>
        </m:sSub>
        <m:r>
          <m:t> = </m:t>
        </m:r>
        <m:r>
          <m:t>log</m:t>
        </m:r>
        <m:r>
          <m:t>(</m:t>
        </m:r>
        <m:sSub>
          <m:e>
            <m:r>
              <m:t>P</m:t>
            </m:r>
          </m:e>
          <m:sub>
            <m:r>
              <m:t>t</m:t>
            </m:r>
          </m:sub>
        </m:sSub>
        <m:r>
          <m:t>), </m:t>
        </m:r>
        <m:sSub>
          <m:e>
            <m:r>
              <m:t>y</m:t>
            </m:r>
          </m:e>
          <m:sub>
            <m:r>
              <m:t>t</m:t>
            </m:r>
          </m:sub>
        </m:sSub>
        <m:r>
          <m:t> = </m:t>
        </m:r>
        <m:r>
          <m:t>log</m:t>
        </m:r>
        <m:r>
          <m:t>(</m:t>
        </m:r>
        <m:sSub>
          <m:e>
            <m:r>
              <m:t>Y</m:t>
            </m:r>
          </m:e>
          <m:sub>
            <m:r>
              <m:t>t</m:t>
            </m:r>
          </m:sub>
        </m:sSub>
        <m:r>
          <m:t>), </m:t>
        </m:r>
        <m:sSub>
          <m:e>
            <m:r>
              <m:t>c</m:t>
            </m:r>
          </m:e>
          <m:sub>
            <m:r>
              <m:t>t</m:t>
            </m:r>
          </m:sub>
        </m:sSub>
        <m:r>
          <m:t> = </m:t>
        </m:r>
        <m:r>
          <m:t>log</m:t>
        </m:r>
        <m:r>
          <m:t>(</m:t>
        </m:r>
        <m:sSub>
          <m:e>
            <m:r>
              <m:t>C</m:t>
            </m:r>
          </m:e>
          <m:sub>
            <m:r>
              <m:t>t</m:t>
            </m:r>
          </m:sub>
        </m:sSub>
        <m:r>
          <m:t>), </m:t>
        </m:r>
        <m:sSub>
          <m:e>
            <m:r>
              <m:t>r</m:t>
            </m:r>
          </m:e>
          <m:sub>
            <m:r>
              <m:t>t</m:t>
            </m:r>
          </m:sub>
        </m:sSub>
      </m:oMath>
    </w:p>
    <w:p>
      <w:r>
        <w:rPr>
          <w:rFonts w:ascii="Calibri" w:hAnsi="Calibri"/>
          <w:color w:val="000000"/>
          <w:sz w:val="24"/>
        </w:rPr>
        <w:t xml:space="preserve">The main feature of the level plots is that </w:t>
      </w:r>
      <m:oMath>
        <m:sSub>
          <m:e>
            <m:r>
              <m:t>p</m:t>
            </m:r>
          </m:e>
          <m:sub>
            <m:r>
              <m:t>t</m:t>
            </m:r>
          </m:sub>
        </m:sSub>
      </m:oMath>
      <w:r>
        <w:rPr>
          <w:rFonts w:ascii="Calibri" w:hAnsi="Calibri"/>
          <w:color w:val="000000"/>
          <w:sz w:val="24"/>
        </w:rPr>
        <w:t xml:space="preserve">, </w:t>
      </w:r>
      <m:oMath>
        <m:sSub>
          <m:e>
            <m:r>
              <m:t>y</m:t>
            </m:r>
          </m:e>
          <m:sub>
            <m:r>
              <m:t>t</m:t>
            </m:r>
          </m:sub>
        </m:sSub>
      </m:oMath>
      <w:r>
        <w:rPr>
          <w:rFonts w:ascii="Calibri" w:hAnsi="Calibri"/>
          <w:color w:val="000000"/>
          <w:sz w:val="24"/>
        </w:rPr>
        <w:t xml:space="preserve">, and </w:t>
      </w:r>
      <m:oMath>
        <m:sSub>
          <m:e>
            <m:r>
              <m:t>c</m:t>
            </m:r>
          </m:e>
          <m:sub>
            <m:r>
              <m:t>t</m:t>
            </m:r>
          </m:sub>
        </m:sSub>
      </m:oMath>
      <w:r>
        <w:rPr>
          <w:rFonts w:ascii="Calibri" w:hAnsi="Calibri"/>
          <w:color w:val="000000"/>
          <w:sz w:val="24"/>
        </w:rPr>
        <w:t xml:space="preserve"> all trend upward over the sample. Their means are not constant, so they do not look covariance stationary in levels. </w:t>
      </w:r>
      <m:oMath>
        <m:sSub>
          <m:e>
            <m:r>
              <m:t>y</m:t>
            </m:r>
          </m:e>
          <m:sub>
            <m:r>
              <m:t>t</m:t>
            </m:r>
          </m:sub>
        </m:sSub>
      </m:oMath>
      <w:r>
        <w:rPr>
          <w:rFonts w:ascii="Calibri" w:hAnsi="Calibri"/>
          <w:color w:val="000000"/>
          <w:sz w:val="24"/>
        </w:rPr>
        <w:t xml:space="preserve"> and </w:t>
      </w:r>
      <m:oMath>
        <m:sSub>
          <m:e>
            <m:r>
              <m:t>c</m:t>
            </m:r>
          </m:e>
          <m:sub>
            <m:r>
              <m:t>t</m:t>
            </m:r>
          </m:sub>
        </m:sSub>
      </m:oMath>
      <w:r>
        <w:rPr>
          <w:rFonts w:ascii="Calibri" w:hAnsi="Calibri"/>
          <w:color w:val="000000"/>
          <w:sz w:val="24"/>
        </w:rPr>
        <w:t xml:space="preserve"> track each other closely, which is consistent with output and consumption sharing a common long-run growth path. </w:t>
      </w:r>
      <m:oMath>
        <m:sSub>
          <m:e>
            <m:r>
              <m:t>p</m:t>
            </m:r>
          </m:e>
          <m:sub>
            <m:r>
              <m:t>t</m:t>
            </m:r>
          </m:sub>
        </m:sSub>
      </m:oMath>
      <w:r>
        <w:rPr>
          <w:rFonts w:ascii="Calibri" w:hAnsi="Calibri"/>
          <w:color w:val="000000"/>
          <w:sz w:val="24"/>
        </w:rPr>
        <w:t xml:space="preserve"> also trends upward but rises more steeply, especially during the high-inflation period of the 1970s and early 1980s.</w:t>
      </w:r>
    </w:p>
    <w:p>
      <w:r>
        <w:rPr>
          <w:rFonts w:ascii="Calibri" w:hAnsi="Calibri"/>
          <w:color w:val="000000"/>
          <w:sz w:val="24"/>
        </w:rPr>
        <w:t xml:space="preserve">Once differenced, the upward drift disappears. </w:t>
      </w:r>
      <m:oMath>
        <m:r>
          <m:t>Δ</m:t>
        </m:r>
        <m:sSub>
          <m:e>
            <m:r>
              <m:t>p</m:t>
            </m:r>
          </m:e>
          <m:sub>
            <m:r>
              <m:t>t</m:t>
            </m:r>
          </m:sub>
        </m:sSub>
      </m:oMath>
      <w:r>
        <w:rPr>
          <w:rFonts w:ascii="Calibri" w:hAnsi="Calibri"/>
          <w:color w:val="000000"/>
          <w:sz w:val="24"/>
        </w:rPr>
        <w:t xml:space="preserve">, </w:t>
      </w:r>
      <m:oMath>
        <m:r>
          <m:t>Δ</m:t>
        </m:r>
        <m:sSub>
          <m:e>
            <m:r>
              <m:t>y</m:t>
            </m:r>
          </m:e>
          <m:sub>
            <m:r>
              <m:t>t</m:t>
            </m:r>
          </m:sub>
        </m:sSub>
      </m:oMath>
      <w:r>
        <w:rPr>
          <w:rFonts w:ascii="Calibri" w:hAnsi="Calibri"/>
          <w:color w:val="000000"/>
          <w:sz w:val="24"/>
        </w:rPr>
        <w:t xml:space="preserve">, and </w:t>
      </w:r>
      <m:oMath>
        <m:r>
          <m:t>Δ</m:t>
        </m:r>
        <m:sSub>
          <m:e>
            <m:r>
              <m:t>c</m:t>
            </m:r>
          </m:e>
          <m:sub>
            <m:r>
              <m:t>t</m:t>
            </m:r>
          </m:sub>
        </m:sSub>
      </m:oMath>
      <w:r>
        <w:rPr>
          <w:rFonts w:ascii="Calibri" w:hAnsi="Calibri"/>
          <w:color w:val="000000"/>
          <w:sz w:val="24"/>
        </w:rPr>
        <w:t xml:space="preserve"> fluctuate around fairly stable means instead of drifting upward. </w:t>
      </w:r>
      <m:oMath>
        <m:r>
          <m:t>Δ</m:t>
        </m:r>
        <m:sSub>
          <m:e>
            <m:r>
              <m:t>p</m:t>
            </m:r>
          </m:e>
          <m:sub>
            <m:r>
              <m:t>t</m:t>
            </m:r>
          </m:sub>
        </m:sSub>
      </m:oMath>
      <w:r>
        <w:rPr>
          <w:rFonts w:ascii="Calibri" w:hAnsi="Calibri"/>
          <w:color w:val="000000"/>
          <w:sz w:val="24"/>
        </w:rPr>
        <w:t xml:space="preserve"> is the most variable of the three differenced series, while </w:t>
      </w:r>
      <m:oMath>
        <m:r>
          <m:t>Δ</m:t>
        </m:r>
        <m:sSub>
          <m:e>
            <m:r>
              <m:t>y</m:t>
            </m:r>
          </m:e>
          <m:sub>
            <m:r>
              <m:t>t</m:t>
            </m:r>
          </m:sub>
        </m:sSub>
      </m:oMath>
      <w:r>
        <w:rPr>
          <w:rFonts w:ascii="Calibri" w:hAnsi="Calibri"/>
          <w:color w:val="000000"/>
          <w:sz w:val="24"/>
        </w:rPr>
        <w:t xml:space="preserve"> and </w:t>
      </w:r>
      <m:oMath>
        <m:r>
          <m:t>Δ</m:t>
        </m:r>
        <m:sSub>
          <m:e>
            <m:r>
              <m:t>c</m:t>
            </m:r>
          </m:e>
          <m:sub>
            <m:r>
              <m:t>t</m:t>
            </m:r>
          </m:sub>
        </m:sSub>
      </m:oMath>
      <w:r>
        <w:rPr>
          <w:rFonts w:ascii="Calibri" w:hAnsi="Calibri"/>
          <w:color w:val="000000"/>
          <w:sz w:val="24"/>
        </w:rPr>
        <w:t xml:space="preserve"> are less volatile and move more closely together. Output and consumption growth both record large negative observations around the Global Financial Crisis and in 2020, but return to stable averages outside those episodes. Overall, the differenced plots are more consistent with difference-stationary processes than trend-stationary ones.</w:t>
      </w:r>
    </w:p>
    <w:p>
      <m:oMath>
        <m:sSub>
          <m:e>
            <m:r>
              <m:t>r</m:t>
            </m:r>
          </m:e>
          <m:sub>
            <m:r>
              <m:t>t</m:t>
            </m:r>
          </m:sub>
        </m:sSub>
      </m:oMath>
      <w:r>
        <w:rPr>
          <w:rFonts w:ascii="Calibri" w:hAnsi="Calibri"/>
          <w:color w:val="000000"/>
          <w:sz w:val="24"/>
        </w:rPr>
        <w:t xml:space="preserve"> has a different main property. It does not follow a steady upward trend. Instead, it moves through long persistent regimes: rising into the late 1970s and early 1980s, declining over later decades, sitting close to zero through much of the 2010s, and then rising again after 2021. The dominant feature is persistence, possibly with regime change, not deterministic trend growth. </w:t>
      </w:r>
      <m:oMath>
        <m:sSub>
          <m:e>
            <m:r>
              <m:t>r</m:t>
            </m:r>
          </m:e>
          <m:sub>
            <m:r>
              <m:t>t</m:t>
            </m:r>
          </m:sub>
        </m:sSub>
      </m:oMath>
      <w:r>
        <w:rPr>
          <w:rFonts w:ascii="Calibri" w:hAnsi="Calibri"/>
          <w:color w:val="000000"/>
          <w:sz w:val="24"/>
        </w:rPr>
        <w:t xml:space="preserve"> should therefore not be treated the same way as the log-level macro variables.</w:t>
      </w:r>
    </w:p>
    <w:p>
      <w:pPr>
        <w:pStyle w:val="Heading3"/>
      </w:pPr>
      <w:r>
        <w:t>1(b)(i) Trend Regressions on Log Levels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Series</w:t>
            </w:r>
          </w:p>
        </w:tc>
        <w:tc>
          <w:tcPr>
            <w:tcW w:type="dxa" w:w="1728"/>
          </w:tcPr>
          <w:p>
            <w:r>
              <w:rPr>
                <w:rFonts w:ascii="Calibri" w:hAnsi="Calibri"/>
                <w:b/>
                <w:color w:val="000000"/>
                <w:sz w:val="24"/>
              </w:rPr>
              <w:t>Intercept</w:t>
            </w:r>
          </w:p>
        </w:tc>
        <w:tc>
          <w:tcPr>
            <w:tcW w:type="dxa" w:w="1728"/>
          </w:tcPr>
          <w:p>
            <w:r>
              <w:rPr>
                <w:rFonts w:ascii="Calibri" w:hAnsi="Calibri"/>
                <w:b/>
                <w:color w:val="000000"/>
                <w:sz w:val="24"/>
              </w:rPr>
              <w:t>Trend (</w:t>
            </w:r>
            <m:oMath>
              <m:r>
                <m:t>δ</m:t>
              </m:r>
              <m:r>
                <m:t>̂</m:t>
              </m:r>
            </m:oMath>
            <w:r>
              <w:rPr>
                <w:rFonts w:ascii="Calibri" w:hAnsi="Calibri"/>
                <w:b/>
                <w:color w:val="000000"/>
                <w:sz w:val="24"/>
              </w:rPr>
              <w:t>)</w:t>
            </w:r>
          </w:p>
        </w:tc>
        <w:tc>
          <w:tcPr>
            <w:tcW w:type="dxa" w:w="1728"/>
          </w:tcPr>
          <w:p>
            <w:r>
              <w:rPr>
                <w:rFonts w:ascii="Calibri" w:hAnsi="Calibri"/>
                <w:b/>
                <w:color w:val="000000"/>
                <w:sz w:val="24"/>
              </w:rPr>
              <w:t>SE(Trend)</w:t>
            </w:r>
          </w:p>
        </w:tc>
        <w:tc>
          <w:tcPr>
            <w:tcW w:type="dxa" w:w="1728"/>
          </w:tcPr>
          <w:p>
            <m:oMath>
              <m:r>
                <m:t>R</m:t>
              </m:r>
              <m:r>
                <m:t>²</m:t>
              </m:r>
            </m:oMath>
          </w:p>
        </w:tc>
      </w:tr>
      <w:tr>
        <w:tc>
          <w:tcPr>
            <w:tcW w:type="dxa" w:w="1728"/>
          </w:tcPr>
          <w:p>
            <m:oMath>
              <m:sSub>
                <m:e>
                  <m:r>
                    <m:t>p</m:t>
                  </m:r>
                </m:e>
                <m:sub>
                  <m:r>
                    <m:t>t</m:t>
                  </m:r>
                </m:sub>
              </m:sSub>
            </m:oMath>
          </w:p>
        </w:tc>
        <w:tc>
          <w:tcPr>
            <w:tcW w:type="dxa" w:w="1728"/>
          </w:tcPr>
          <w:p>
            <w:r>
              <w:rPr>
                <w:rFonts w:ascii="Calibri" w:hAnsi="Calibri"/>
                <w:color w:val="000000"/>
                <w:sz w:val="24"/>
              </w:rPr>
              <w:t>0.270678</w:t>
            </w:r>
          </w:p>
        </w:tc>
        <w:tc>
          <w:tcPr>
            <w:tcW w:type="dxa" w:w="1728"/>
          </w:tcPr>
          <w:p>
            <w:r>
              <w:rPr>
                <w:rFonts w:ascii="Calibri" w:hAnsi="Calibri"/>
                <w:color w:val="000000"/>
                <w:sz w:val="24"/>
              </w:rPr>
              <w:t>0.010125</w:t>
            </w:r>
          </w:p>
        </w:tc>
        <w:tc>
          <w:tcPr>
            <w:tcW w:type="dxa" w:w="1728"/>
          </w:tcPr>
          <w:p>
            <w:r>
              <w:rPr>
                <w:rFonts w:ascii="Calibri" w:hAnsi="Calibri"/>
                <w:color w:val="000000"/>
                <w:sz w:val="24"/>
              </w:rPr>
              <w:t>0.000147</w:t>
            </w:r>
          </w:p>
        </w:tc>
        <w:tc>
          <w:tcPr>
            <w:tcW w:type="dxa" w:w="1728"/>
          </w:tcPr>
          <w:p>
            <w:r>
              <w:rPr>
                <w:rFonts w:ascii="Calibri" w:hAnsi="Calibri"/>
                <w:color w:val="000000"/>
                <w:sz w:val="24"/>
              </w:rPr>
              <w:t>0.9487</w:t>
            </w:r>
          </w:p>
        </w:tc>
      </w:tr>
      <w:tr>
        <w:tc>
          <w:tcPr>
            <w:tcW w:type="dxa" w:w="1728"/>
          </w:tcPr>
          <w:p>
            <m:oMath>
              <m:sSub>
                <m:e>
                  <m:r>
                    <m:t>y</m:t>
                  </m:r>
                </m:e>
                <m:sub>
                  <m:r>
                    <m:t>t</m:t>
                  </m:r>
                </m:sub>
              </m:sSub>
            </m:oMath>
          </w:p>
        </w:tc>
        <w:tc>
          <w:tcPr>
            <w:tcW w:type="dxa" w:w="1728"/>
          </w:tcPr>
          <w:p>
            <w:r>
              <w:rPr>
                <w:rFonts w:ascii="Calibri" w:hAnsi="Calibri"/>
                <w:color w:val="000000"/>
                <w:sz w:val="24"/>
              </w:rPr>
              <w:t>9.944853</w:t>
            </w:r>
          </w:p>
        </w:tc>
        <w:tc>
          <w:tcPr>
            <w:tcW w:type="dxa" w:w="1728"/>
          </w:tcPr>
          <w:p>
            <w:r>
              <w:rPr>
                <w:rFonts w:ascii="Calibri" w:hAnsi="Calibri"/>
                <w:color w:val="000000"/>
                <w:sz w:val="24"/>
              </w:rPr>
              <w:t>0.004757</w:t>
            </w:r>
          </w:p>
        </w:tc>
        <w:tc>
          <w:tcPr>
            <w:tcW w:type="dxa" w:w="1728"/>
          </w:tcPr>
          <w:p>
            <w:r>
              <w:rPr>
                <w:rFonts w:ascii="Calibri" w:hAnsi="Calibri"/>
                <w:color w:val="000000"/>
                <w:sz w:val="24"/>
              </w:rPr>
              <w:t>0.000042</w:t>
            </w:r>
          </w:p>
        </w:tc>
        <w:tc>
          <w:tcPr>
            <w:tcW w:type="dxa" w:w="1728"/>
          </w:tcPr>
          <w:p>
            <w:r>
              <w:rPr>
                <w:rFonts w:ascii="Calibri" w:hAnsi="Calibri"/>
                <w:color w:val="000000"/>
                <w:sz w:val="24"/>
              </w:rPr>
              <w:t>0.9799</w:t>
            </w:r>
          </w:p>
        </w:tc>
      </w:tr>
      <w:tr>
        <w:tc>
          <w:tcPr>
            <w:tcW w:type="dxa" w:w="1728"/>
          </w:tcPr>
          <w:p>
            <m:oMath>
              <m:sSub>
                <m:e>
                  <m:r>
                    <m:t>c</m:t>
                  </m:r>
                </m:e>
                <m:sub>
                  <m:r>
                    <m:t>t</m:t>
                  </m:r>
                </m:sub>
              </m:sSub>
            </m:oMath>
          </w:p>
        </w:tc>
        <w:tc>
          <w:tcPr>
            <w:tcW w:type="dxa" w:w="1728"/>
          </w:tcPr>
          <w:p>
            <w:r>
              <w:rPr>
                <w:rFonts w:ascii="Calibri" w:hAnsi="Calibri"/>
                <w:color w:val="000000"/>
                <w:sz w:val="24"/>
              </w:rPr>
              <w:t>9.429001</w:t>
            </w:r>
          </w:p>
        </w:tc>
        <w:tc>
          <w:tcPr>
            <w:tcW w:type="dxa" w:w="1728"/>
          </w:tcPr>
          <w:p>
            <w:r>
              <w:rPr>
                <w:rFonts w:ascii="Calibri" w:hAnsi="Calibri"/>
                <w:color w:val="000000"/>
                <w:sz w:val="24"/>
              </w:rPr>
              <w:t>0.005305</w:t>
            </w:r>
          </w:p>
        </w:tc>
        <w:tc>
          <w:tcPr>
            <w:tcW w:type="dxa" w:w="1728"/>
          </w:tcPr>
          <w:p>
            <w:r>
              <w:rPr>
                <w:rFonts w:ascii="Calibri" w:hAnsi="Calibri"/>
                <w:color w:val="000000"/>
                <w:sz w:val="24"/>
              </w:rPr>
              <w:t>0.000043</w:t>
            </w:r>
          </w:p>
        </w:tc>
        <w:tc>
          <w:tcPr>
            <w:tcW w:type="dxa" w:w="1728"/>
          </w:tcPr>
          <w:p>
            <w:r>
              <w:rPr>
                <w:rFonts w:ascii="Calibri" w:hAnsi="Calibri"/>
                <w:color w:val="000000"/>
                <w:sz w:val="24"/>
              </w:rPr>
              <w:t>0.9834</w:t>
            </w:r>
          </w:p>
        </w:tc>
      </w:tr>
    </w:tbl>
    <w:p/>
    <w:p>
      <w:r>
        <w:rPr>
          <w:rFonts w:ascii="Calibri" w:hAnsi="Calibri"/>
          <w:color w:val="000000"/>
          <w:sz w:val="24"/>
        </w:rPr>
        <w:t>The fitted trend regression follows the form used in the question:</w:t>
      </w:r>
    </w:p>
    <w:p>
      <w:pPr>
        <w:jc w:val="center"/>
      </w:pPr>
      <m:oMath>
        <m:sSub>
          <m:e>
            <m:r>
              <m:t>x</m:t>
            </m:r>
          </m:e>
          <m:sub>
            <m:r>
              <m:t>t</m:t>
            </m:r>
          </m:sub>
        </m:sSub>
        <m:r>
          <m:t> = </m:t>
        </m:r>
        <m:r>
          <m:t>μ</m:t>
        </m:r>
        <m:r>
          <m:t> + </m:t>
        </m:r>
        <m:r>
          <m:t>δ</m:t>
        </m:r>
        <m:r>
          <m:t>t</m:t>
        </m:r>
        <m:r>
          <m:t> + ε_</m:t>
        </m:r>
        <m:r>
          <m:t>t</m:t>
        </m:r>
      </m:oMath>
    </w:p>
    <w:p>
      <w:r>
        <w:rPr>
          <w:rFonts w:ascii="Calibri" w:hAnsi="Calibri"/>
          <w:color w:val="000000"/>
          <w:sz w:val="24"/>
        </w:rPr>
        <w:t xml:space="preserve">where </w:t>
      </w:r>
      <m:oMath>
        <m:sSub>
          <m:e>
            <m:r>
              <m:t>x</m:t>
            </m:r>
          </m:e>
          <m:sub>
            <m:r>
              <m:t>t</m:t>
            </m:r>
          </m:sub>
        </m:sSub>
      </m:oMath>
      <w:r>
        <w:rPr>
          <w:rFonts w:ascii="Calibri" w:hAnsi="Calibri"/>
          <w:color w:val="000000"/>
          <w:sz w:val="24"/>
        </w:rPr>
        <w:t xml:space="preserve"> is </w:t>
      </w:r>
      <m:oMath>
        <m:sSub>
          <m:e>
            <m:r>
              <m:t>p</m:t>
            </m:r>
          </m:e>
          <m:sub>
            <m:r>
              <m:t>t</m:t>
            </m:r>
          </m:sub>
        </m:sSub>
      </m:oMath>
      <w:r>
        <w:rPr>
          <w:rFonts w:ascii="Calibri" w:hAnsi="Calibri"/>
          <w:color w:val="000000"/>
          <w:sz w:val="24"/>
        </w:rPr>
        <w:t xml:space="preserve">, </w:t>
      </w:r>
      <m:oMath>
        <m:sSub>
          <m:e>
            <m:r>
              <m:t>y</m:t>
            </m:r>
          </m:e>
          <m:sub>
            <m:r>
              <m:t>t</m:t>
            </m:r>
          </m:sub>
        </m:sSub>
      </m:oMath>
      <w:r>
        <w:rPr>
          <w:rFonts w:ascii="Calibri" w:hAnsi="Calibri"/>
          <w:color w:val="000000"/>
          <w:sz w:val="24"/>
        </w:rPr>
        <w:t xml:space="preserve">, or </w:t>
      </w:r>
      <m:oMath>
        <m:sSub>
          <m:e>
            <m:r>
              <m:t>c</m:t>
            </m:r>
          </m:e>
          <m:sub>
            <m:r>
              <m:t>t</m:t>
            </m:r>
          </m:sub>
        </m:sSub>
      </m:oMath>
      <w:r>
        <w:rPr>
          <w:rFonts w:ascii="Calibri" w:hAnsi="Calibri"/>
          <w:color w:val="000000"/>
          <w:sz w:val="24"/>
        </w:rPr>
        <w:t xml:space="preserve">. Each estimated trend coefficient </w:t>
      </w:r>
      <m:oMath>
        <m:r>
          <m:t>δ</m:t>
        </m:r>
        <m:r>
          <m:t>̂</m:t>
        </m:r>
      </m:oMath>
      <w:r>
        <w:rPr>
          <w:rFonts w:ascii="Calibri" w:hAnsi="Calibri"/>
          <w:color w:val="000000"/>
          <w:sz w:val="24"/>
        </w:rPr>
        <w:t xml:space="preserve"> represents the average quarterly increase in the log level over the sample. For </w:t>
      </w:r>
      <m:oMath>
        <m:sSub>
          <m:e>
            <m:r>
              <m:t>p</m:t>
            </m:r>
          </m:e>
          <m:sub>
            <m:r>
              <m:t>t</m:t>
            </m:r>
          </m:sub>
        </m:sSub>
      </m:oMath>
      <w:r>
        <w:rPr>
          <w:rFonts w:ascii="Calibri" w:hAnsi="Calibri"/>
          <w:color w:val="000000"/>
          <w:sz w:val="24"/>
        </w:rPr>
        <w:t xml:space="preserve">, </w:t>
      </w:r>
      <m:oMath>
        <m:r>
          <m:t>δ</m:t>
        </m:r>
        <m:r>
          <m:t>̂</m:t>
        </m:r>
      </m:oMath>
      <w:r>
        <w:rPr>
          <w:rFonts w:ascii="Calibri" w:hAnsi="Calibri"/>
          <w:color w:val="000000"/>
          <w:sz w:val="24"/>
        </w:rPr>
        <w:t xml:space="preserve"> = 0.010125 implies average quarterly price growth of about 1.01%. For </w:t>
      </w:r>
      <m:oMath>
        <m:sSub>
          <m:e>
            <m:r>
              <m:t>y</m:t>
            </m:r>
          </m:e>
          <m:sub>
            <m:r>
              <m:t>t</m:t>
            </m:r>
          </m:sub>
        </m:sSub>
      </m:oMath>
      <w:r>
        <w:rPr>
          <w:rFonts w:ascii="Calibri" w:hAnsi="Calibri"/>
          <w:color w:val="000000"/>
          <w:sz w:val="24"/>
        </w:rPr>
        <w:t xml:space="preserve"> and </w:t>
      </w:r>
      <m:oMath>
        <m:sSub>
          <m:e>
            <m:r>
              <m:t>c</m:t>
            </m:r>
          </m:e>
          <m:sub>
            <m:r>
              <m:t>t</m:t>
            </m:r>
          </m:sub>
        </m:sSub>
      </m:oMath>
      <w:r>
        <w:rPr>
          <w:rFonts w:ascii="Calibri" w:hAnsi="Calibri"/>
          <w:color w:val="000000"/>
          <w:sz w:val="24"/>
        </w:rPr>
        <w:t xml:space="preserve">, the estimates of 0.004757 and 0.005305 imply average quarterly real growth of about 0.48% and 0.53% respectively. The small standard errors show that the fitted trends are precisely estimated, and the </w:t>
      </w:r>
      <m:oMath>
        <m:r>
          <m:t>R</m:t>
        </m:r>
        <m:r>
          <m:t>²</m:t>
        </m:r>
      </m:oMath>
      <w:r>
        <w:rPr>
          <w:rFonts w:ascii="Calibri" w:hAnsi="Calibri"/>
          <w:color w:val="000000"/>
          <w:sz w:val="24"/>
        </w:rPr>
        <w:t xml:space="preserve"> values above 0.94 show that a linear trend summarises most of the long-run movement in each log level. This does not prove trend stationarity; it only reports the fitted deterministic trend requested in the question.</w:t>
      </w:r>
    </w:p>
    <w:p>
      <w:pPr>
        <w:pStyle w:val="Heading3"/>
      </w:pPr>
      <w:r>
        <w:t>1(b)(ii) Means of First Differences</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4"/>
              </w:rPr>
              <w:t>Series</w:t>
            </w:r>
          </w:p>
        </w:tc>
        <w:tc>
          <w:tcPr>
            <w:tcW w:type="dxa" w:w="4320"/>
          </w:tcPr>
          <w:p>
            <w:r>
              <w:rPr>
                <w:rFonts w:ascii="Calibri" w:hAnsi="Calibri"/>
                <w:b/>
                <w:color w:val="000000"/>
                <w:sz w:val="24"/>
              </w:rPr>
              <w:t>Mean (</w:t>
            </w:r>
            <m:oMath>
              <m:r>
                <m:t>μ</m:t>
              </m:r>
              <m:r>
                <m:t>̂</m:t>
              </m:r>
            </m:oMath>
            <w:r>
              <w:rPr>
                <w:rFonts w:ascii="Calibri" w:hAnsi="Calibri"/>
                <w:b/>
                <w:color w:val="000000"/>
                <w:sz w:val="24"/>
              </w:rPr>
              <w:t>)</w:t>
            </w:r>
          </w:p>
        </w:tc>
      </w:tr>
      <w:tr>
        <w:tc>
          <w:tcPr>
            <w:tcW w:type="dxa" w:w="4320"/>
          </w:tcPr>
          <w:p>
            <m:oMath>
              <m:r>
                <m:t>Δ</m:t>
              </m:r>
              <m:sSub>
                <m:e>
                  <m:r>
                    <m:t>p</m:t>
                  </m:r>
                </m:e>
                <m:sub>
                  <m:r>
                    <m:t>t</m:t>
                  </m:r>
                </m:sub>
              </m:sSub>
            </m:oMath>
          </w:p>
        </w:tc>
        <w:tc>
          <w:tcPr>
            <w:tcW w:type="dxa" w:w="4320"/>
          </w:tcPr>
          <w:p>
            <w:r>
              <w:rPr>
                <w:rFonts w:ascii="Calibri" w:hAnsi="Calibri"/>
                <w:color w:val="000000"/>
                <w:sz w:val="24"/>
              </w:rPr>
              <w:t>0.009310</w:t>
            </w:r>
          </w:p>
        </w:tc>
      </w:tr>
      <w:tr>
        <w:tc>
          <w:tcPr>
            <w:tcW w:type="dxa" w:w="4320"/>
          </w:tcPr>
          <w:p>
            <m:oMath>
              <m:r>
                <m:t>Δ</m:t>
              </m:r>
              <m:sSub>
                <m:e>
                  <m:r>
                    <m:t>y</m:t>
                  </m:r>
                </m:e>
                <m:sub>
                  <m:r>
                    <m:t>t</m:t>
                  </m:r>
                </m:sub>
              </m:sSub>
            </m:oMath>
          </w:p>
        </w:tc>
        <w:tc>
          <w:tcPr>
            <w:tcW w:type="dxa" w:w="4320"/>
          </w:tcPr>
          <w:p>
            <w:r>
              <w:rPr>
                <w:rFonts w:ascii="Calibri" w:hAnsi="Calibri"/>
                <w:color w:val="000000"/>
                <w:sz w:val="24"/>
              </w:rPr>
              <w:t>0.004919</w:t>
            </w:r>
          </w:p>
        </w:tc>
      </w:tr>
      <w:tr>
        <w:tc>
          <w:tcPr>
            <w:tcW w:type="dxa" w:w="4320"/>
          </w:tcPr>
          <w:p>
            <m:oMath>
              <m:r>
                <m:t>Δ</m:t>
              </m:r>
              <m:sSub>
                <m:e>
                  <m:r>
                    <m:t>c</m:t>
                  </m:r>
                </m:e>
                <m:sub>
                  <m:r>
                    <m:t>t</m:t>
                  </m:r>
                </m:sub>
              </m:sSub>
            </m:oMath>
          </w:p>
        </w:tc>
        <w:tc>
          <w:tcPr>
            <w:tcW w:type="dxa" w:w="4320"/>
          </w:tcPr>
          <w:p>
            <w:r>
              <w:rPr>
                <w:rFonts w:ascii="Calibri" w:hAnsi="Calibri"/>
                <w:color w:val="000000"/>
                <w:sz w:val="24"/>
              </w:rPr>
              <w:t>0.005379</w:t>
            </w:r>
          </w:p>
        </w:tc>
      </w:tr>
    </w:tbl>
    <w:p/>
    <w:p>
      <w:r>
        <w:rPr>
          <w:rFonts w:ascii="Calibri" w:hAnsi="Calibri"/>
          <w:color w:val="000000"/>
          <w:sz w:val="24"/>
        </w:rPr>
        <w:t xml:space="preserve">These means represent the average quarterly growth rate of each series. The mean of </w:t>
      </w:r>
      <m:oMath>
        <m:r>
          <m:t>Δ</m:t>
        </m:r>
        <m:sSub>
          <m:e>
            <m:r>
              <m:t>p</m:t>
            </m:r>
          </m:e>
          <m:sub>
            <m:r>
              <m:t>t</m:t>
            </m:r>
          </m:sub>
        </m:sSub>
      </m:oMath>
      <w:r>
        <w:rPr>
          <w:rFonts w:ascii="Calibri" w:hAnsi="Calibri"/>
          <w:color w:val="000000"/>
          <w:sz w:val="24"/>
        </w:rPr>
        <w:t xml:space="preserve"> at 0.009310 implies average quarterly inflation of about 0.93%. The means of </w:t>
      </w:r>
      <m:oMath>
        <m:r>
          <m:t>Δ</m:t>
        </m:r>
        <m:sSub>
          <m:e>
            <m:r>
              <m:t>y</m:t>
            </m:r>
          </m:e>
          <m:sub>
            <m:r>
              <m:t>t</m:t>
            </m:r>
          </m:sub>
        </m:sSub>
      </m:oMath>
      <w:r>
        <w:rPr>
          <w:rFonts w:ascii="Calibri" w:hAnsi="Calibri"/>
          <w:color w:val="000000"/>
          <w:sz w:val="24"/>
        </w:rPr>
        <w:t xml:space="preserve"> (0.004919) and </w:t>
      </w:r>
      <m:oMath>
        <m:r>
          <m:t>Δ</m:t>
        </m:r>
        <m:sSub>
          <m:e>
            <m:r>
              <m:t>c</m:t>
            </m:r>
          </m:e>
          <m:sub>
            <m:r>
              <m:t>t</m:t>
            </m:r>
          </m:sub>
        </m:sSub>
      </m:oMath>
      <w:r>
        <w:rPr>
          <w:rFonts w:ascii="Calibri" w:hAnsi="Calibri"/>
          <w:color w:val="000000"/>
          <w:sz w:val="24"/>
        </w:rPr>
        <w:t xml:space="preserve"> (0.005379) imply average quarterly real growth rates of about 0.49% and 0.54% respectively.</w:t>
      </w:r>
    </w:p>
    <w:p>
      <w:pPr>
        <w:pStyle w:val="Heading3"/>
      </w:pPr>
      <w:r>
        <w:t>1(b)(iii) Rationale and Comparison</w:t>
      </w:r>
    </w:p>
    <w:p>
      <w:r>
        <w:rPr>
          <w:rFonts w:ascii="Calibri" w:hAnsi="Calibri"/>
          <w:color w:val="000000"/>
          <w:sz w:val="24"/>
        </w:rPr>
        <w:t xml:space="preserve">The rationale for both estimations is to assess the nature of the trend in each log-level series. If the series follows a deterministic trend, then </w:t>
      </w:r>
      <m:oMath>
        <m:r>
          <m:t>δ</m:t>
        </m:r>
        <m:r>
          <m:t>̂</m:t>
        </m:r>
      </m:oMath>
      <w:r>
        <w:rPr>
          <w:rFonts w:ascii="Calibri" w:hAnsi="Calibri"/>
          <w:color w:val="000000"/>
          <w:sz w:val="24"/>
        </w:rPr>
        <w:t xml:space="preserve"> from the trend regression is the correct measure of average growth. If the series is difference-stationary with a stable drift, then </w:t>
      </w:r>
      <m:oMath>
        <m:r>
          <m:t>μ</m:t>
        </m:r>
        <m:r>
          <m:t>̂</m:t>
        </m:r>
      </m:oMath>
      <w:r>
        <w:rPr>
          <w:rFonts w:ascii="Calibri" w:hAnsi="Calibri"/>
          <w:color w:val="000000"/>
          <w:sz w:val="24"/>
        </w:rPr>
        <w:t xml:space="preserve"> from the first differences is the more appropriate measure. Comparing </w:t>
      </w:r>
      <m:oMath>
        <m:r>
          <m:t>δ</m:t>
        </m:r>
        <m:r>
          <m:t>̂</m:t>
        </m:r>
      </m:oMath>
      <w:r>
        <w:rPr>
          <w:rFonts w:ascii="Calibri" w:hAnsi="Calibri"/>
          <w:color w:val="000000"/>
          <w:sz w:val="24"/>
        </w:rPr>
        <w:t xml:space="preserve"> and </w:t>
      </w:r>
      <m:oMath>
        <m:r>
          <m:t>μ</m:t>
        </m:r>
        <m:r>
          <m:t>̂</m:t>
        </m:r>
      </m:oMath>
      <w:r>
        <w:rPr>
          <w:rFonts w:ascii="Calibri" w:hAnsi="Calibri"/>
          <w:color w:val="000000"/>
          <w:sz w:val="24"/>
        </w:rPr>
        <w:t xml:space="preserve"> therefore helps distinguish between these two characterisations.</w:t>
      </w:r>
    </w:p>
    <w:p>
      <w:r>
        <w:rPr>
          <w:rFonts w:ascii="Calibri" w:hAnsi="Calibri"/>
          <w:color w:val="000000"/>
          <w:sz w:val="24"/>
        </w:rPr>
        <w:t xml:space="preserve">For </w:t>
      </w:r>
      <m:oMath>
        <m:sSub>
          <m:e>
            <m:r>
              <m:t>y</m:t>
            </m:r>
          </m:e>
          <m:sub>
            <m:r>
              <m:t>t</m:t>
            </m:r>
          </m:sub>
        </m:sSub>
      </m:oMath>
      <w:r>
        <w:rPr>
          <w:rFonts w:ascii="Calibri" w:hAnsi="Calibri"/>
          <w:color w:val="000000"/>
          <w:sz w:val="24"/>
        </w:rPr>
        <w:t xml:space="preserve">, the trend coefficient is 0.004757 and the mean of </w:t>
      </w:r>
      <m:oMath>
        <m:r>
          <m:t>Δ</m:t>
        </m:r>
        <m:sSub>
          <m:e>
            <m:r>
              <m:t>y</m:t>
            </m:r>
          </m:e>
          <m:sub>
            <m:r>
              <m:t>t</m:t>
            </m:r>
          </m:sub>
        </m:sSub>
      </m:oMath>
      <w:r>
        <w:rPr>
          <w:rFonts w:ascii="Calibri" w:hAnsi="Calibri"/>
          <w:color w:val="000000"/>
          <w:sz w:val="24"/>
        </w:rPr>
        <w:t xml:space="preserve"> is 0.004919. For </w:t>
      </w:r>
      <m:oMath>
        <m:sSub>
          <m:e>
            <m:r>
              <m:t>c</m:t>
            </m:r>
          </m:e>
          <m:sub>
            <m:r>
              <m:t>t</m:t>
            </m:r>
          </m:sub>
        </m:sSub>
      </m:oMath>
      <w:r>
        <w:rPr>
          <w:rFonts w:ascii="Calibri" w:hAnsi="Calibri"/>
          <w:color w:val="000000"/>
          <w:sz w:val="24"/>
        </w:rPr>
        <w:t xml:space="preserve">, the corresponding values are 0.005305 and 0.005379. These are very close, so the deterministic trend estimate and the average-drift estimate tell almost the same growth story for output and consumption. For </w:t>
      </w:r>
      <m:oMath>
        <m:sSub>
          <m:e>
            <m:r>
              <m:t>p</m:t>
            </m:r>
          </m:e>
          <m:sub>
            <m:r>
              <m:t>t</m:t>
            </m:r>
          </m:sub>
        </m:sSub>
      </m:oMath>
      <w:r>
        <w:rPr>
          <w:rFonts w:ascii="Calibri" w:hAnsi="Calibri"/>
          <w:color w:val="000000"/>
          <w:sz w:val="24"/>
        </w:rPr>
        <w:t>, the gap is larger: 0.010125 versus 0.009310. This is because inflation does not follow one smooth linear path over the full sample. The high-inflation period of the 1970s and the later disinflation affect the fitted trend differently from the average of quarterly changes.</w:t>
      </w:r>
    </w:p>
    <w:p>
      <w:r>
        <w:rPr>
          <w:rFonts w:ascii="Calibri" w:hAnsi="Calibri"/>
          <w:color w:val="000000"/>
          <w:sz w:val="24"/>
        </w:rPr>
        <w:t xml:space="preserve">Overall, the close match for </w:t>
      </w:r>
      <m:oMath>
        <m:sSub>
          <m:e>
            <m:r>
              <m:t>y</m:t>
            </m:r>
          </m:e>
          <m:sub>
            <m:r>
              <m:t>t</m:t>
            </m:r>
          </m:sub>
        </m:sSub>
      </m:oMath>
      <w:r>
        <w:rPr>
          <w:rFonts w:ascii="Calibri" w:hAnsi="Calibri"/>
          <w:color w:val="000000"/>
          <w:sz w:val="24"/>
        </w:rPr>
        <w:t xml:space="preserve"> and </w:t>
      </w:r>
      <m:oMath>
        <m:sSub>
          <m:e>
            <m:r>
              <m:t>c</m:t>
            </m:r>
          </m:e>
          <m:sub>
            <m:r>
              <m:t>t</m:t>
            </m:r>
          </m:sub>
        </m:sSub>
      </m:oMath>
      <w:r>
        <w:rPr>
          <w:rFonts w:ascii="Calibri" w:hAnsi="Calibri"/>
          <w:color w:val="000000"/>
          <w:sz w:val="24"/>
        </w:rPr>
        <w:t xml:space="preserve"> is consistent with stable average drift in their log differences. The comparison is not a formal unit-root test, so it should be treated as descriptive evidence rather than a proof of difference stationarity. It supports working with the differenced series in the ARIMA exercises that follow.</w:t>
      </w:r>
    </w:p>
    <w:p>
      <w:r>
        <w:br w:type="page"/>
      </w:r>
    </w:p>
    <w:p>
      <w:pPr>
        <w:pStyle w:val="Heading2"/>
      </w:pPr>
      <w:r>
        <w:t>Question 2</w:t>
      </w:r>
    </w:p>
    <w:p>
      <w:pPr>
        <w:pStyle w:val="Heading3"/>
      </w:pPr>
      <w:r>
        <w:t>2(a) Model Selection</w:t>
      </w:r>
    </w:p>
    <w:p>
      <w:r>
        <w:rPr>
          <w:rFonts w:ascii="Calibri" w:hAnsi="Calibri"/>
          <w:color w:val="000000"/>
          <w:sz w:val="24"/>
        </w:rPr>
        <w:t xml:space="preserve">I estimated a broad set of non-differenced ARIMA(p,0,q) models for </w:t>
      </w:r>
      <m:oMath>
        <m:r>
          <m:t>Δ</m:t>
        </m:r>
        <m:sSub>
          <m:e>
            <m:r>
              <m:t>p</m:t>
            </m:r>
          </m:e>
          <m:sub>
            <m:r>
              <m:t>t</m:t>
            </m:r>
          </m:sub>
        </m:sSub>
      </m:oMath>
      <w:r>
        <w:rPr>
          <w:rFonts w:ascii="Calibri" w:hAnsi="Calibri"/>
          <w:color w:val="000000"/>
          <w:sz w:val="24"/>
        </w:rPr>
        <w:t xml:space="preserve"> and </w:t>
      </w:r>
      <m:oMath>
        <m:sSub>
          <m:e>
            <m:r>
              <m:t>r</m:t>
            </m:r>
          </m:e>
          <m:sub>
            <m:r>
              <m:t>t</m:t>
            </m:r>
          </m:sub>
        </m:sSub>
      </m:oMath>
      <w:r>
        <w:rPr>
          <w:rFonts w:ascii="Calibri" w:hAnsi="Calibri"/>
          <w:color w:val="000000"/>
          <w:sz w:val="24"/>
        </w:rPr>
        <w:t xml:space="preserve"> over 1959Q1–2023Q4, allowing </w:t>
      </w:r>
      <m:oMath>
        <m:r>
          <m:t>p</m:t>
        </m:r>
        <m:r>
          <m:t>, </m:t>
        </m:r>
        <m:r>
          <m:t>q</m:t>
        </m:r>
        <m:r>
          <m:t> = 0,...,10</m:t>
        </m:r>
      </m:oMath>
      <w:r>
        <w:rPr>
          <w:rFonts w:ascii="Calibri" w:hAnsi="Calibri"/>
          <w:color w:val="000000"/>
          <w:sz w:val="24"/>
        </w:rPr>
        <w:t xml:space="preserve">. This is appropriate because </w:t>
      </w:r>
      <m:oMath>
        <m:r>
          <m:t>Δ</m:t>
        </m:r>
        <m:sSub>
          <m:e>
            <m:r>
              <m:t>p</m:t>
            </m:r>
          </m:e>
          <m:sub>
            <m:r>
              <m:t>t</m:t>
            </m:r>
          </m:sub>
        </m:sSub>
      </m:oMath>
      <w:r>
        <w:rPr>
          <w:rFonts w:ascii="Calibri" w:hAnsi="Calibri"/>
          <w:color w:val="000000"/>
          <w:sz w:val="24"/>
        </w:rPr>
        <w:t xml:space="preserve"> is already the differenced log price level, so applying another difference would model the change in inflation rather than inflation itself. For </w:t>
      </w:r>
      <m:oMath>
        <m:sSub>
          <m:e>
            <m:r>
              <m:t>r</m:t>
            </m:r>
          </m:e>
          <m:sub>
            <m:r>
              <m:t>t</m:t>
            </m:r>
          </m:sub>
        </m:sSub>
      </m:oMath>
      <w:r>
        <w:rPr>
          <w:rFonts w:ascii="Calibri" w:hAnsi="Calibri"/>
          <w:color w:val="000000"/>
          <w:sz w:val="24"/>
        </w:rPr>
        <w:t>, I keep the level rate because the question asks for interest-rate models and the economic interpretation is persistence in the nominal rate, not the quarterly change in the rate.</w:t>
      </w:r>
    </w:p>
    <w:p>
      <w:r>
        <w:rPr>
          <w:rFonts w:ascii="Calibri" w:hAnsi="Calibri"/>
          <w:color w:val="000000"/>
          <w:sz w:val="24"/>
        </w:rPr>
        <w:t xml:space="preserve">Following the exemplar-style selection rule, the reported Q2 models use </w:t>
      </w:r>
      <m:oMath>
        <m:r>
          <m:t>constant</m:t>
        </m:r>
        <m:r>
          <m:t> = 0</m:t>
        </m:r>
      </m:oMath>
      <w:r>
        <w:rPr>
          <w:rFonts w:ascii="Calibri" w:hAnsi="Calibri"/>
          <w:color w:val="000000"/>
          <w:sz w:val="24"/>
        </w:rPr>
        <w:t xml:space="preserve"> and </w:t>
      </w:r>
      <m:oMath>
        <m:r>
          <m:t>trend</m:t>
        </m:r>
        <m:r>
          <m:t> = 0</m:t>
        </m:r>
      </m:oMath>
      <w:r>
        <w:rPr>
          <w:rFonts w:ascii="Calibri" w:hAnsi="Calibri"/>
          <w:color w:val="000000"/>
          <w:sz w:val="24"/>
        </w:rPr>
        <w:t>. This is a modelling restriction: it means I do not add a separate deterministic mean or deterministic time trend to the ARMA equation. It does not mean the raw sample mean is literally zero. I used this restriction to match the exemplar approach, then ranked candidates using AIC and BIC and checked residual adequacy using Ljung-Box tests at several lags, with the reported table using the lag-20 diagnostic because the selected ARMA orders are high.</w:t>
      </w:r>
    </w:p>
    <w:p>
      <w:r>
        <w:rPr>
          <w:rFonts w:ascii="Calibri" w:hAnsi="Calibri"/>
          <w:b/>
          <w:color w:val="000000"/>
          <w:sz w:val="24"/>
        </w:rPr>
        <w:t>Inflation</w:t>
      </w:r>
      <w:r>
        <w:rPr>
          <w:rFonts w:ascii="Calibri" w:hAnsi="Calibri"/>
          <w:color w:val="000000"/>
          <w:sz w:val="24"/>
        </w:rPr>
        <w:t xml:space="preserve"> (</w:t>
      </w:r>
      <m:oMath>
        <m:r>
          <m:t>Δ</m:t>
        </m:r>
        <m:sSub>
          <m:e>
            <m:r>
              <m:t>p</m:t>
            </m:r>
          </m:e>
          <m:sub>
            <m:r>
              <m:t>t</m:t>
            </m:r>
          </m:sub>
        </m:sSub>
      </m:oMath>
      <w:r>
        <w:rPr>
          <w:rFonts w:ascii="Calibri" w:hAnsi="Calibri"/>
          <w:color w:val="000000"/>
          <w:sz w:val="24"/>
        </w:rPr>
        <w:t xml:space="preserve">): The exploratory plots support treating </w:t>
      </w:r>
      <m:oMath>
        <m:r>
          <m:t>Δ</m:t>
        </m:r>
        <m:sSub>
          <m:e>
            <m:r>
              <m:t>p</m:t>
            </m:r>
          </m:e>
          <m:sub>
            <m:r>
              <m:t>t</m:t>
            </m:r>
          </m:sub>
        </m:sSub>
      </m:oMath>
      <w:r>
        <w:rPr>
          <w:rFonts w:ascii="Calibri" w:hAnsi="Calibri"/>
          <w:color w:val="000000"/>
          <w:sz w:val="24"/>
        </w:rPr>
        <w:t xml:space="preserve"> as stationary, so </w:t>
      </w:r>
      <m:oMath>
        <m:r>
          <m:t>d</m:t>
        </m:r>
        <m:r>
          <m:t> = 0</m:t>
        </m:r>
      </m:oMath>
      <w:r>
        <w:rPr>
          <w:rFonts w:ascii="Calibri" w:hAnsi="Calibri"/>
          <w:color w:val="000000"/>
          <w:sz w:val="24"/>
        </w:rPr>
        <w:t xml:space="preserve"> throughout. Under the no-constant/no-trend selection rule, the three selected inflation models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4"/>
              </w:rPr>
              <w:t>Inflation model</w:t>
            </w:r>
          </w:p>
        </w:tc>
        <w:tc>
          <w:tcPr>
            <w:tcW w:type="dxa" w:w="2160"/>
          </w:tcPr>
          <w:p>
            <w:r>
              <w:rPr>
                <w:rFonts w:ascii="Calibri" w:hAnsi="Calibri"/>
                <w:b/>
                <w:color w:val="000000"/>
                <w:sz w:val="24"/>
              </w:rPr>
              <w:t>AIC</w:t>
            </w:r>
          </w:p>
        </w:tc>
        <w:tc>
          <w:tcPr>
            <w:tcW w:type="dxa" w:w="2160"/>
          </w:tcPr>
          <w:p>
            <w:r>
              <w:rPr>
                <w:rFonts w:ascii="Calibri" w:hAnsi="Calibri"/>
                <w:b/>
                <w:color w:val="000000"/>
                <w:sz w:val="24"/>
              </w:rPr>
              <w:t>BIC</w:t>
            </w:r>
          </w:p>
        </w:tc>
        <w:tc>
          <w:tcPr>
            <w:tcW w:type="dxa" w:w="2160"/>
          </w:tcPr>
          <w:p>
            <w:r>
              <w:rPr>
                <w:rFonts w:ascii="Calibri" w:hAnsi="Calibri"/>
                <w:b/>
                <w:color w:val="000000"/>
                <w:sz w:val="24"/>
              </w:rPr>
              <w:t>Ljung-Box p-value</w:t>
            </w:r>
          </w:p>
        </w:tc>
      </w:tr>
      <w:tr>
        <w:tc>
          <w:tcPr>
            <w:tcW w:type="dxa" w:w="2160"/>
          </w:tcPr>
          <w:p>
            <w:r>
              <w:rPr>
                <w:rFonts w:ascii="Calibri" w:hAnsi="Calibri"/>
                <w:color w:val="000000"/>
                <w:sz w:val="24"/>
              </w:rPr>
              <w:t>ARIMA(2,0,10)</w:t>
            </w:r>
          </w:p>
        </w:tc>
        <w:tc>
          <w:tcPr>
            <w:tcW w:type="dxa" w:w="2160"/>
          </w:tcPr>
          <w:p>
            <w:r>
              <w:rPr>
                <w:rFonts w:ascii="Calibri" w:hAnsi="Calibri"/>
                <w:color w:val="000000"/>
                <w:sz w:val="24"/>
              </w:rPr>
              <w:t>−2682.73</w:t>
            </w:r>
          </w:p>
        </w:tc>
        <w:tc>
          <w:tcPr>
            <w:tcW w:type="dxa" w:w="2160"/>
          </w:tcPr>
          <w:p>
            <w:r>
              <w:rPr>
                <w:rFonts w:ascii="Calibri" w:hAnsi="Calibri"/>
                <w:color w:val="000000"/>
                <w:sz w:val="24"/>
              </w:rPr>
              <w:t>−2636.49</w:t>
            </w:r>
          </w:p>
        </w:tc>
        <w:tc>
          <w:tcPr>
            <w:tcW w:type="dxa" w:w="2160"/>
          </w:tcPr>
          <w:p>
            <w:r>
              <w:rPr>
                <w:rFonts w:ascii="Calibri" w:hAnsi="Calibri"/>
                <w:color w:val="000000"/>
                <w:sz w:val="24"/>
              </w:rPr>
              <w:t>0.2476</w:t>
            </w:r>
          </w:p>
        </w:tc>
      </w:tr>
      <w:tr>
        <w:tc>
          <w:tcPr>
            <w:tcW w:type="dxa" w:w="2160"/>
          </w:tcPr>
          <w:p>
            <w:r>
              <w:rPr>
                <w:rFonts w:ascii="Calibri" w:hAnsi="Calibri"/>
                <w:color w:val="000000"/>
                <w:sz w:val="24"/>
              </w:rPr>
              <w:t>ARIMA(4,0,9)</w:t>
            </w:r>
          </w:p>
        </w:tc>
        <w:tc>
          <w:tcPr>
            <w:tcW w:type="dxa" w:w="2160"/>
          </w:tcPr>
          <w:p>
            <w:r>
              <w:rPr>
                <w:rFonts w:ascii="Calibri" w:hAnsi="Calibri"/>
                <w:color w:val="000000"/>
                <w:sz w:val="24"/>
              </w:rPr>
              <w:t>−2681.30</w:t>
            </w:r>
          </w:p>
        </w:tc>
        <w:tc>
          <w:tcPr>
            <w:tcW w:type="dxa" w:w="2160"/>
          </w:tcPr>
          <w:p>
            <w:r>
              <w:rPr>
                <w:rFonts w:ascii="Calibri" w:hAnsi="Calibri"/>
                <w:color w:val="000000"/>
                <w:sz w:val="24"/>
              </w:rPr>
              <w:t>−2631.50</w:t>
            </w:r>
          </w:p>
        </w:tc>
        <w:tc>
          <w:tcPr>
            <w:tcW w:type="dxa" w:w="2160"/>
          </w:tcPr>
          <w:p>
            <w:r>
              <w:rPr>
                <w:rFonts w:ascii="Calibri" w:hAnsi="Calibri"/>
                <w:color w:val="000000"/>
                <w:sz w:val="24"/>
              </w:rPr>
              <w:t>0.2691</w:t>
            </w:r>
          </w:p>
        </w:tc>
      </w:tr>
      <w:tr>
        <w:tc>
          <w:tcPr>
            <w:tcW w:type="dxa" w:w="2160"/>
          </w:tcPr>
          <w:p>
            <w:r>
              <w:rPr>
                <w:rFonts w:ascii="Calibri" w:hAnsi="Calibri"/>
                <w:color w:val="000000"/>
                <w:sz w:val="24"/>
              </w:rPr>
              <w:t>ARIMA(2,0,9)</w:t>
            </w:r>
          </w:p>
        </w:tc>
        <w:tc>
          <w:tcPr>
            <w:tcW w:type="dxa" w:w="2160"/>
          </w:tcPr>
          <w:p>
            <w:r>
              <w:rPr>
                <w:rFonts w:ascii="Calibri" w:hAnsi="Calibri"/>
                <w:color w:val="000000"/>
                <w:sz w:val="24"/>
              </w:rPr>
              <w:t>−2681.68</w:t>
            </w:r>
          </w:p>
        </w:tc>
        <w:tc>
          <w:tcPr>
            <w:tcW w:type="dxa" w:w="2160"/>
          </w:tcPr>
          <w:p>
            <w:r>
              <w:rPr>
                <w:rFonts w:ascii="Calibri" w:hAnsi="Calibri"/>
                <w:color w:val="000000"/>
                <w:sz w:val="24"/>
              </w:rPr>
              <w:t>−2639.00</w:t>
            </w:r>
          </w:p>
        </w:tc>
        <w:tc>
          <w:tcPr>
            <w:tcW w:type="dxa" w:w="2160"/>
          </w:tcPr>
          <w:p>
            <w:r>
              <w:rPr>
                <w:rFonts w:ascii="Calibri" w:hAnsi="Calibri"/>
                <w:color w:val="000000"/>
                <w:sz w:val="24"/>
              </w:rPr>
              <w:t>0.2222</w:t>
            </w:r>
          </w:p>
        </w:tc>
      </w:tr>
    </w:tbl>
    <w:p/>
    <w:p>
      <w:r>
        <w:rPr>
          <w:rFonts w:ascii="Calibri" w:hAnsi="Calibri"/>
          <w:color w:val="000000"/>
          <w:sz w:val="24"/>
        </w:rPr>
        <w:t>All three models pass the Ljung-Box residual check, so there is no evidence of important remaining residual autocorrelation at the 5% level. They are relatively high-order ARMA specifications, so they are less parsimonious than some lower-order alternatives, but they are retained because they are in the strongest AIC/BIC candidate set under the no-constant/no-trend restriction and their diagnostics are acceptable.</w:t>
      </w:r>
    </w:p>
    <w:p>
      <w:r>
        <w:rPr>
          <w:rFonts w:ascii="Calibri" w:hAnsi="Calibri"/>
          <w:b/>
          <w:color w:val="000000"/>
          <w:sz w:val="24"/>
        </w:rPr>
        <w:t>Interest rates</w:t>
      </w:r>
      <w:r>
        <w:rPr>
          <w:rFonts w:ascii="Calibri" w:hAnsi="Calibri"/>
          <w:color w:val="000000"/>
          <w:sz w:val="24"/>
        </w:rPr>
        <w:t xml:space="preserve"> (</w:t>
      </w:r>
      <m:oMath>
        <m:sSub>
          <m:e>
            <m:r>
              <m:t>r</m:t>
            </m:r>
          </m:e>
          <m:sub>
            <m:r>
              <m:t>t</m:t>
            </m:r>
          </m:sub>
        </m:sSub>
      </m:oMath>
      <w:r>
        <w:rPr>
          <w:rFonts w:ascii="Calibri" w:hAnsi="Calibri"/>
          <w:color w:val="000000"/>
          <w:sz w:val="24"/>
        </w:rPr>
        <w:t xml:space="preserve">): The plot for </w:t>
      </w:r>
      <m:oMath>
        <m:sSub>
          <m:e>
            <m:r>
              <m:t>r</m:t>
            </m:r>
          </m:e>
          <m:sub>
            <m:r>
              <m:t>t</m:t>
            </m:r>
          </m:sub>
        </m:sSub>
      </m:oMath>
      <w:r>
        <w:rPr>
          <w:rFonts w:ascii="Calibri" w:hAnsi="Calibri"/>
          <w:color w:val="000000"/>
          <w:sz w:val="24"/>
        </w:rPr>
        <w:t xml:space="preserve"> shows long swings and slow adjustment rather than simple deterministic trend growth. I use non-differenced level models because the aim here is to model persistence in the nominal interest rate itself. Differencing would change the dependent variable to </w:t>
      </w:r>
      <m:oMath>
        <m:r>
          <m:t>Δ</m:t>
        </m:r>
        <m:sSub>
          <m:e>
            <m:r>
              <m:t>r</m:t>
            </m:r>
          </m:e>
          <m:sub>
            <m:r>
              <m:t>t</m:t>
            </m:r>
          </m:sub>
        </m:sSub>
      </m:oMath>
      <w:r>
        <w:rPr>
          <w:rFonts w:ascii="Calibri" w:hAnsi="Calibri"/>
          <w:color w:val="000000"/>
          <w:sz w:val="24"/>
        </w:rPr>
        <w:t>, which is a different object and would not give direct interpretation for the level rate. Under the same no-constant/no-trend rule, the selected interest-rate models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Interest rate model</w:t>
            </w:r>
          </w:p>
        </w:tc>
        <w:tc>
          <w:tcPr>
            <w:tcW w:type="dxa" w:w="1728"/>
          </w:tcPr>
          <w:p>
            <w:r>
              <w:rPr>
                <w:rFonts w:ascii="Calibri" w:hAnsi="Calibri"/>
                <w:b/>
                <w:color w:val="000000"/>
                <w:sz w:val="24"/>
              </w:rPr>
              <w:t>AIC</w:t>
            </w:r>
          </w:p>
        </w:tc>
        <w:tc>
          <w:tcPr>
            <w:tcW w:type="dxa" w:w="1728"/>
          </w:tcPr>
          <w:p>
            <w:r>
              <w:rPr>
                <w:rFonts w:ascii="Calibri" w:hAnsi="Calibri"/>
                <w:b/>
                <w:color w:val="000000"/>
                <w:sz w:val="24"/>
              </w:rPr>
              <w:t>BIC</w:t>
            </w:r>
          </w:p>
        </w:tc>
        <w:tc>
          <w:tcPr>
            <w:tcW w:type="dxa" w:w="1728"/>
          </w:tcPr>
          <w:p>
            <w:r>
              <w:rPr>
                <w:rFonts w:ascii="Calibri" w:hAnsi="Calibri"/>
                <w:b/>
                <w:color w:val="000000"/>
                <w:sz w:val="24"/>
              </w:rPr>
              <w:t>Ljung-Box p-value</w:t>
            </w:r>
          </w:p>
        </w:tc>
        <w:tc>
          <w:tcPr>
            <w:tcW w:type="dxa" w:w="1728"/>
          </w:tcPr>
          <w:p>
            <w:r>
              <w:rPr>
                <w:rFonts w:ascii="Calibri" w:hAnsi="Calibri"/>
                <w:b/>
                <w:color w:val="000000"/>
                <w:sz w:val="24"/>
              </w:rPr>
              <w:t>Selected</w:t>
            </w:r>
          </w:p>
        </w:tc>
      </w:tr>
      <w:tr>
        <w:tc>
          <w:tcPr>
            <w:tcW w:type="dxa" w:w="1728"/>
          </w:tcPr>
          <w:p>
            <w:r>
              <w:rPr>
                <w:rFonts w:ascii="Calibri" w:hAnsi="Calibri"/>
                <w:color w:val="000000"/>
                <w:sz w:val="24"/>
              </w:rPr>
              <w:t>ARIMA(8,0,5)</w:t>
            </w:r>
          </w:p>
        </w:tc>
        <w:tc>
          <w:tcPr>
            <w:tcW w:type="dxa" w:w="1728"/>
          </w:tcPr>
          <w:p>
            <w:r>
              <w:rPr>
                <w:rFonts w:ascii="Calibri" w:hAnsi="Calibri"/>
                <w:color w:val="000000"/>
                <w:sz w:val="24"/>
              </w:rPr>
              <w:t>480.08</w:t>
            </w:r>
          </w:p>
        </w:tc>
        <w:tc>
          <w:tcPr>
            <w:tcW w:type="dxa" w:w="1728"/>
          </w:tcPr>
          <w:p>
            <w:r>
              <w:rPr>
                <w:rFonts w:ascii="Calibri" w:hAnsi="Calibri"/>
                <w:color w:val="000000"/>
                <w:sz w:val="24"/>
              </w:rPr>
              <w:t>529.93</w:t>
            </w:r>
          </w:p>
        </w:tc>
        <w:tc>
          <w:tcPr>
            <w:tcW w:type="dxa" w:w="1728"/>
          </w:tcPr>
          <w:p>
            <w:r>
              <w:rPr>
                <w:rFonts w:ascii="Calibri" w:hAnsi="Calibri"/>
                <w:color w:val="000000"/>
                <w:sz w:val="24"/>
              </w:rPr>
              <w:t>0.9371</w:t>
            </w:r>
          </w:p>
        </w:tc>
        <w:tc>
          <w:tcPr>
            <w:tcW w:type="dxa" w:w="1728"/>
          </w:tcPr>
          <w:p>
            <w:r>
              <w:rPr>
                <w:rFonts w:ascii="Calibri" w:hAnsi="Calibri"/>
                <w:color w:val="000000"/>
                <w:sz w:val="24"/>
              </w:rPr>
              <w:t>Best AIC under this rule</w:t>
            </w:r>
          </w:p>
        </w:tc>
      </w:tr>
      <w:tr>
        <w:tc>
          <w:tcPr>
            <w:tcW w:type="dxa" w:w="1728"/>
          </w:tcPr>
          <w:p>
            <w:r>
              <w:rPr>
                <w:rFonts w:ascii="Calibri" w:hAnsi="Calibri"/>
                <w:color w:val="000000"/>
                <w:sz w:val="24"/>
              </w:rPr>
              <w:t>ARIMA(8,0,6)</w:t>
            </w:r>
          </w:p>
        </w:tc>
        <w:tc>
          <w:tcPr>
            <w:tcW w:type="dxa" w:w="1728"/>
          </w:tcPr>
          <w:p>
            <w:r>
              <w:rPr>
                <w:rFonts w:ascii="Calibri" w:hAnsi="Calibri"/>
                <w:color w:val="000000"/>
                <w:sz w:val="24"/>
              </w:rPr>
              <w:t>480.52</w:t>
            </w:r>
          </w:p>
        </w:tc>
        <w:tc>
          <w:tcPr>
            <w:tcW w:type="dxa" w:w="1728"/>
          </w:tcPr>
          <w:p>
            <w:r>
              <w:rPr>
                <w:rFonts w:ascii="Calibri" w:hAnsi="Calibri"/>
                <w:color w:val="000000"/>
                <w:sz w:val="24"/>
              </w:rPr>
              <w:t>533.93</w:t>
            </w:r>
          </w:p>
        </w:tc>
        <w:tc>
          <w:tcPr>
            <w:tcW w:type="dxa" w:w="1728"/>
          </w:tcPr>
          <w:p>
            <w:r>
              <w:rPr>
                <w:rFonts w:ascii="Calibri" w:hAnsi="Calibri"/>
                <w:color w:val="000000"/>
                <w:sz w:val="24"/>
              </w:rPr>
              <w:t>0.7934</w:t>
            </w:r>
          </w:p>
        </w:tc>
        <w:tc>
          <w:tcPr>
            <w:tcW w:type="dxa" w:w="1728"/>
          </w:tcPr>
          <w:p>
            <w:r>
              <w:rPr>
                <w:rFonts w:ascii="Calibri" w:hAnsi="Calibri"/>
                <w:color w:val="000000"/>
                <w:sz w:val="24"/>
              </w:rPr>
              <w:t>Adequate high-order model</w:t>
            </w:r>
          </w:p>
        </w:tc>
      </w:tr>
      <w:tr>
        <w:tc>
          <w:tcPr>
            <w:tcW w:type="dxa" w:w="1728"/>
          </w:tcPr>
          <w:p>
            <w:r>
              <w:rPr>
                <w:rFonts w:ascii="Calibri" w:hAnsi="Calibri"/>
                <w:color w:val="000000"/>
                <w:sz w:val="24"/>
              </w:rPr>
              <w:t>ARIMA(8,0,2)</w:t>
            </w:r>
          </w:p>
        </w:tc>
        <w:tc>
          <w:tcPr>
            <w:tcW w:type="dxa" w:w="1728"/>
          </w:tcPr>
          <w:p>
            <w:r>
              <w:rPr>
                <w:rFonts w:ascii="Calibri" w:hAnsi="Calibri"/>
                <w:color w:val="000000"/>
                <w:sz w:val="24"/>
              </w:rPr>
              <w:t>481.07</w:t>
            </w:r>
          </w:p>
        </w:tc>
        <w:tc>
          <w:tcPr>
            <w:tcW w:type="dxa" w:w="1728"/>
          </w:tcPr>
          <w:p>
            <w:r>
              <w:rPr>
                <w:rFonts w:ascii="Calibri" w:hAnsi="Calibri"/>
                <w:color w:val="000000"/>
                <w:sz w:val="24"/>
              </w:rPr>
              <w:t>520.24</w:t>
            </w:r>
          </w:p>
        </w:tc>
        <w:tc>
          <w:tcPr>
            <w:tcW w:type="dxa" w:w="1728"/>
          </w:tcPr>
          <w:p>
            <w:r>
              <w:rPr>
                <w:rFonts w:ascii="Calibri" w:hAnsi="Calibri"/>
                <w:color w:val="000000"/>
                <w:sz w:val="24"/>
              </w:rPr>
              <w:t>0.5228</w:t>
            </w:r>
          </w:p>
        </w:tc>
        <w:tc>
          <w:tcPr>
            <w:tcW w:type="dxa" w:w="1728"/>
          </w:tcPr>
          <w:p>
            <w:r>
              <w:rPr>
                <w:rFonts w:ascii="Calibri" w:hAnsi="Calibri"/>
                <w:color w:val="000000"/>
                <w:sz w:val="24"/>
              </w:rPr>
              <w:t>Best BIC among the three</w:t>
            </w:r>
          </w:p>
        </w:tc>
      </w:tr>
    </w:tbl>
    <w:p/>
    <w:p>
      <w:r>
        <w:rPr>
          <w:rFonts w:ascii="Calibri" w:hAnsi="Calibri"/>
          <w:color w:val="000000"/>
          <w:sz w:val="24"/>
        </w:rPr>
        <w:t xml:space="preserve">All three models pass the Ljung-Box residual check. ARIMA(8,0,5) has the lowest AIC among the selected interest-rate specifications, while ARIMA(8,0,2) is more parsimonious and has the lowest BIC among the three. Since part (b) asks only for inflation forecasts, the </w:t>
      </w:r>
      <m:oMath>
        <m:sSub>
          <m:e>
            <m:r>
              <m:t>r</m:t>
            </m:r>
          </m:e>
          <m:sub>
            <m:r>
              <m:t>t</m:t>
            </m:r>
          </m:sub>
        </m:sSub>
      </m:oMath>
      <w:r>
        <w:rPr>
          <w:rFonts w:ascii="Calibri" w:hAnsi="Calibri"/>
          <w:color w:val="000000"/>
          <w:sz w:val="24"/>
        </w:rPr>
        <w:t xml:space="preserve"> models are included to complete the selection exercise rather than to generate a separate forecast.</w:t>
      </w:r>
    </w:p>
    <w:p>
      <w:pPr>
        <w:pStyle w:val="Heading3"/>
      </w:pPr>
      <w:r>
        <w:t>2(b) Inflation Forecasts for 2024–2025</w:t>
      </w:r>
    </w:p>
    <w:p>
      <w:pPr>
        <w:jc w:val="center"/>
      </w:pPr>
      <w:r>
        <w:drawing>
          <wp:inline xmlns:a="http://schemas.openxmlformats.org/drawingml/2006/main" xmlns:pic="http://schemas.openxmlformats.org/drawingml/2006/picture">
            <wp:extent cx="5852160" cy="2377440"/>
            <wp:docPr id="3" name="Picture 3"/>
            <wp:cNvGraphicFramePr>
              <a:graphicFrameLocks noChangeAspect="1"/>
            </wp:cNvGraphicFramePr>
            <a:graphic>
              <a:graphicData uri="http://schemas.openxmlformats.org/drawingml/2006/picture">
                <pic:pic>
                  <pic:nvPicPr>
                    <pic:cNvPr id="0" name="fig2a_forecast.png"/>
                    <pic:cNvPicPr/>
                  </pic:nvPicPr>
                  <pic:blipFill>
                    <a:blip r:embed="rId11"/>
                    <a:stretch>
                      <a:fillRect/>
                    </a:stretch>
                  </pic:blipFill>
                  <pic:spPr>
                    <a:xfrm>
                      <a:off x="0" y="0"/>
                      <a:ext cx="5852160" cy="2377440"/>
                    </a:xfrm>
                    <a:prstGeom prst="rect"/>
                  </pic:spPr>
                </pic:pic>
              </a:graphicData>
            </a:graphic>
          </wp:inline>
        </w:drawing>
      </w:r>
    </w:p>
    <w:p>
      <w:pPr>
        <w:jc w:val="center"/>
      </w:pPr>
      <w:r>
        <w:rPr>
          <w:rFonts w:ascii="Calibri" w:hAnsi="Calibri"/>
          <w:color w:val="000000"/>
          <w:sz w:val="24"/>
        </w:rPr>
        <w:t>Figure 3</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b/>
                <w:color w:val="000000"/>
                <w:sz w:val="24"/>
              </w:rPr>
              <w:t>Quarter</w:t>
            </w:r>
          </w:p>
        </w:tc>
        <w:tc>
          <w:tcPr>
            <w:tcW w:type="dxa" w:w="1080"/>
          </w:tcPr>
          <w:p>
            <w:r>
              <w:rPr>
                <w:rFonts w:ascii="Calibri" w:hAnsi="Calibri"/>
                <w:b/>
                <w:color w:val="000000"/>
                <w:sz w:val="24"/>
              </w:rPr>
              <w:t>ARIMA(2,0,10)</w:t>
            </w:r>
          </w:p>
        </w:tc>
        <w:tc>
          <w:tcPr>
            <w:tcW w:type="dxa" w:w="1080"/>
          </w:tcPr>
          <w:p>
            <w:r>
              <w:rPr>
                <w:rFonts w:ascii="Calibri" w:hAnsi="Calibri"/>
                <w:b/>
                <w:color w:val="000000"/>
                <w:sz w:val="24"/>
              </w:rPr>
              <w:t>ARIMA(4,0,9)</w:t>
            </w:r>
          </w:p>
        </w:tc>
        <w:tc>
          <w:tcPr>
            <w:tcW w:type="dxa" w:w="1080"/>
          </w:tcPr>
          <w:p>
            <w:r>
              <w:rPr>
                <w:rFonts w:ascii="Calibri" w:hAnsi="Calibri"/>
                <w:b/>
                <w:color w:val="000000"/>
                <w:sz w:val="24"/>
              </w:rPr>
              <w:t>ARIMA(2,0,9)</w:t>
            </w:r>
          </w:p>
        </w:tc>
        <w:tc>
          <w:tcPr>
            <w:tcW w:type="dxa" w:w="1080"/>
          </w:tcPr>
          <w:p>
            <w:r>
              <w:rPr>
                <w:rFonts w:ascii="Calibri" w:hAnsi="Calibri"/>
                <w:b/>
                <w:color w:val="000000"/>
                <w:sz w:val="24"/>
              </w:rPr>
              <w:t>68% CI Lower</w:t>
            </w:r>
          </w:p>
        </w:tc>
        <w:tc>
          <w:tcPr>
            <w:tcW w:type="dxa" w:w="1080"/>
          </w:tcPr>
          <w:p>
            <w:r>
              <w:rPr>
                <w:rFonts w:ascii="Calibri" w:hAnsi="Calibri"/>
                <w:b/>
                <w:color w:val="000000"/>
                <w:sz w:val="24"/>
              </w:rPr>
              <w:t>68% CI Upper</w:t>
            </w:r>
          </w:p>
        </w:tc>
        <w:tc>
          <w:tcPr>
            <w:tcW w:type="dxa" w:w="1080"/>
          </w:tcPr>
          <w:p>
            <w:r>
              <w:rPr>
                <w:rFonts w:ascii="Calibri" w:hAnsi="Calibri"/>
                <w:b/>
                <w:color w:val="000000"/>
                <w:sz w:val="24"/>
              </w:rPr>
              <w:t>95% CI Lower</w:t>
            </w:r>
          </w:p>
        </w:tc>
        <w:tc>
          <w:tcPr>
            <w:tcW w:type="dxa" w:w="1080"/>
          </w:tcPr>
          <w:p>
            <w:r>
              <w:rPr>
                <w:rFonts w:ascii="Calibri" w:hAnsi="Calibri"/>
                <w:b/>
                <w:color w:val="000000"/>
                <w:sz w:val="24"/>
              </w:rPr>
              <w:t>95% CI Upper</w:t>
            </w:r>
          </w:p>
        </w:tc>
      </w:tr>
      <w:tr>
        <w:tc>
          <w:tcPr>
            <w:tcW w:type="dxa" w:w="1080"/>
          </w:tcPr>
          <w:p>
            <w:r>
              <w:rPr>
                <w:rFonts w:ascii="Calibri" w:hAnsi="Calibri"/>
                <w:color w:val="000000"/>
                <w:sz w:val="24"/>
              </w:rPr>
              <w:t>2024Q1</w:t>
            </w:r>
          </w:p>
        </w:tc>
        <w:tc>
          <w:tcPr>
            <w:tcW w:type="dxa" w:w="1080"/>
          </w:tcPr>
          <w:p>
            <w:r>
              <w:rPr>
                <w:rFonts w:ascii="Calibri" w:hAnsi="Calibri"/>
                <w:color w:val="000000"/>
                <w:sz w:val="24"/>
              </w:rPr>
              <w:t>0.007979</w:t>
            </w:r>
          </w:p>
        </w:tc>
        <w:tc>
          <w:tcPr>
            <w:tcW w:type="dxa" w:w="1080"/>
          </w:tcPr>
          <w:p>
            <w:r>
              <w:rPr>
                <w:rFonts w:ascii="Calibri" w:hAnsi="Calibri"/>
                <w:color w:val="000000"/>
                <w:sz w:val="24"/>
              </w:rPr>
              <w:t>0.008012</w:t>
            </w:r>
          </w:p>
        </w:tc>
        <w:tc>
          <w:tcPr>
            <w:tcW w:type="dxa" w:w="1080"/>
          </w:tcPr>
          <w:p>
            <w:r>
              <w:rPr>
                <w:rFonts w:ascii="Calibri" w:hAnsi="Calibri"/>
                <w:color w:val="000000"/>
                <w:sz w:val="24"/>
              </w:rPr>
              <w:t>0.008083</w:t>
            </w:r>
          </w:p>
        </w:tc>
        <w:tc>
          <w:tcPr>
            <w:tcW w:type="dxa" w:w="1080"/>
          </w:tcPr>
          <w:p>
            <w:r>
              <w:rPr>
                <w:rFonts w:ascii="Calibri" w:hAnsi="Calibri"/>
                <w:color w:val="000000"/>
                <w:sz w:val="24"/>
              </w:rPr>
              <w:t>0.006696</w:t>
            </w:r>
          </w:p>
        </w:tc>
        <w:tc>
          <w:tcPr>
            <w:tcW w:type="dxa" w:w="1080"/>
          </w:tcPr>
          <w:p>
            <w:r>
              <w:rPr>
                <w:rFonts w:ascii="Calibri" w:hAnsi="Calibri"/>
                <w:color w:val="000000"/>
                <w:sz w:val="24"/>
              </w:rPr>
              <w:t>0.009262</w:t>
            </w:r>
          </w:p>
        </w:tc>
        <w:tc>
          <w:tcPr>
            <w:tcW w:type="dxa" w:w="1080"/>
          </w:tcPr>
          <w:p>
            <w:r>
              <w:rPr>
                <w:rFonts w:ascii="Calibri" w:hAnsi="Calibri"/>
                <w:color w:val="000000"/>
                <w:sz w:val="24"/>
              </w:rPr>
              <w:t>0.005450</w:t>
            </w:r>
          </w:p>
        </w:tc>
        <w:tc>
          <w:tcPr>
            <w:tcW w:type="dxa" w:w="1080"/>
          </w:tcPr>
          <w:p>
            <w:r>
              <w:rPr>
                <w:rFonts w:ascii="Calibri" w:hAnsi="Calibri"/>
                <w:color w:val="000000"/>
                <w:sz w:val="24"/>
              </w:rPr>
              <w:t>0.010508</w:t>
            </w:r>
          </w:p>
        </w:tc>
      </w:tr>
      <w:tr>
        <w:tc>
          <w:tcPr>
            <w:tcW w:type="dxa" w:w="1080"/>
          </w:tcPr>
          <w:p>
            <w:r>
              <w:rPr>
                <w:rFonts w:ascii="Calibri" w:hAnsi="Calibri"/>
                <w:color w:val="000000"/>
                <w:sz w:val="24"/>
              </w:rPr>
              <w:t>2024Q2</w:t>
            </w:r>
          </w:p>
        </w:tc>
        <w:tc>
          <w:tcPr>
            <w:tcW w:type="dxa" w:w="1080"/>
          </w:tcPr>
          <w:p>
            <w:r>
              <w:rPr>
                <w:rFonts w:ascii="Calibri" w:hAnsi="Calibri"/>
                <w:color w:val="000000"/>
                <w:sz w:val="24"/>
              </w:rPr>
              <w:t>0.006826</w:t>
            </w:r>
          </w:p>
        </w:tc>
        <w:tc>
          <w:tcPr>
            <w:tcW w:type="dxa" w:w="1080"/>
          </w:tcPr>
          <w:p>
            <w:r>
              <w:rPr>
                <w:rFonts w:ascii="Calibri" w:hAnsi="Calibri"/>
                <w:color w:val="000000"/>
                <w:sz w:val="24"/>
              </w:rPr>
              <w:t>0.006823</w:t>
            </w:r>
          </w:p>
        </w:tc>
        <w:tc>
          <w:tcPr>
            <w:tcW w:type="dxa" w:w="1080"/>
          </w:tcPr>
          <w:p>
            <w:r>
              <w:rPr>
                <w:rFonts w:ascii="Calibri" w:hAnsi="Calibri"/>
                <w:color w:val="000000"/>
                <w:sz w:val="24"/>
              </w:rPr>
              <w:t>0.007218</w:t>
            </w:r>
          </w:p>
        </w:tc>
        <w:tc>
          <w:tcPr>
            <w:tcW w:type="dxa" w:w="1080"/>
          </w:tcPr>
          <w:p>
            <w:r>
              <w:rPr>
                <w:rFonts w:ascii="Calibri" w:hAnsi="Calibri"/>
                <w:color w:val="000000"/>
                <w:sz w:val="24"/>
              </w:rPr>
              <w:t>0.004498</w:t>
            </w:r>
          </w:p>
        </w:tc>
        <w:tc>
          <w:tcPr>
            <w:tcW w:type="dxa" w:w="1080"/>
          </w:tcPr>
          <w:p>
            <w:r>
              <w:rPr>
                <w:rFonts w:ascii="Calibri" w:hAnsi="Calibri"/>
                <w:color w:val="000000"/>
                <w:sz w:val="24"/>
              </w:rPr>
              <w:t>0.009154</w:t>
            </w:r>
          </w:p>
        </w:tc>
        <w:tc>
          <w:tcPr>
            <w:tcW w:type="dxa" w:w="1080"/>
          </w:tcPr>
          <w:p>
            <w:r>
              <w:rPr>
                <w:rFonts w:ascii="Calibri" w:hAnsi="Calibri"/>
                <w:color w:val="000000"/>
                <w:sz w:val="24"/>
              </w:rPr>
              <w:t>0.002237</w:t>
            </w:r>
          </w:p>
        </w:tc>
        <w:tc>
          <w:tcPr>
            <w:tcW w:type="dxa" w:w="1080"/>
          </w:tcPr>
          <w:p>
            <w:r>
              <w:rPr>
                <w:rFonts w:ascii="Calibri" w:hAnsi="Calibri"/>
                <w:color w:val="000000"/>
                <w:sz w:val="24"/>
              </w:rPr>
              <w:t>0.011414</w:t>
            </w:r>
          </w:p>
        </w:tc>
      </w:tr>
      <w:tr>
        <w:tc>
          <w:tcPr>
            <w:tcW w:type="dxa" w:w="1080"/>
          </w:tcPr>
          <w:p>
            <w:r>
              <w:rPr>
                <w:rFonts w:ascii="Calibri" w:hAnsi="Calibri"/>
                <w:color w:val="000000"/>
                <w:sz w:val="24"/>
              </w:rPr>
              <w:t>2024Q3</w:t>
            </w:r>
          </w:p>
        </w:tc>
        <w:tc>
          <w:tcPr>
            <w:tcW w:type="dxa" w:w="1080"/>
          </w:tcPr>
          <w:p>
            <w:r>
              <w:rPr>
                <w:rFonts w:ascii="Calibri" w:hAnsi="Calibri"/>
                <w:color w:val="000000"/>
                <w:sz w:val="24"/>
              </w:rPr>
              <w:t>0.006560</w:t>
            </w:r>
          </w:p>
        </w:tc>
        <w:tc>
          <w:tcPr>
            <w:tcW w:type="dxa" w:w="1080"/>
          </w:tcPr>
          <w:p>
            <w:r>
              <w:rPr>
                <w:rFonts w:ascii="Calibri" w:hAnsi="Calibri"/>
                <w:color w:val="000000"/>
                <w:sz w:val="24"/>
              </w:rPr>
              <w:t>0.006668</w:t>
            </w:r>
          </w:p>
        </w:tc>
        <w:tc>
          <w:tcPr>
            <w:tcW w:type="dxa" w:w="1080"/>
          </w:tcPr>
          <w:p>
            <w:r>
              <w:rPr>
                <w:rFonts w:ascii="Calibri" w:hAnsi="Calibri"/>
                <w:color w:val="000000"/>
                <w:sz w:val="24"/>
              </w:rPr>
              <w:t>0.007178</w:t>
            </w:r>
          </w:p>
        </w:tc>
        <w:tc>
          <w:tcPr>
            <w:tcW w:type="dxa" w:w="1080"/>
          </w:tcPr>
          <w:p>
            <w:r>
              <w:rPr>
                <w:rFonts w:ascii="Calibri" w:hAnsi="Calibri"/>
                <w:color w:val="000000"/>
                <w:sz w:val="24"/>
              </w:rPr>
              <w:t>0.003233</w:t>
            </w:r>
          </w:p>
        </w:tc>
        <w:tc>
          <w:tcPr>
            <w:tcW w:type="dxa" w:w="1080"/>
          </w:tcPr>
          <w:p>
            <w:r>
              <w:rPr>
                <w:rFonts w:ascii="Calibri" w:hAnsi="Calibri"/>
                <w:color w:val="000000"/>
                <w:sz w:val="24"/>
              </w:rPr>
              <w:t>0.009887</w:t>
            </w:r>
          </w:p>
        </w:tc>
        <w:tc>
          <w:tcPr>
            <w:tcW w:type="dxa" w:w="1080"/>
          </w:tcPr>
          <w:p>
            <w:r>
              <w:rPr>
                <w:rFonts w:ascii="Calibri" w:hAnsi="Calibri"/>
                <w:color w:val="000000"/>
                <w:sz w:val="24"/>
              </w:rPr>
              <w:t>0.000003</w:t>
            </w:r>
          </w:p>
        </w:tc>
        <w:tc>
          <w:tcPr>
            <w:tcW w:type="dxa" w:w="1080"/>
          </w:tcPr>
          <w:p>
            <w:r>
              <w:rPr>
                <w:rFonts w:ascii="Calibri" w:hAnsi="Calibri"/>
                <w:color w:val="000000"/>
                <w:sz w:val="24"/>
              </w:rPr>
              <w:t>0.013118</w:t>
            </w:r>
          </w:p>
        </w:tc>
      </w:tr>
      <w:tr>
        <w:tc>
          <w:tcPr>
            <w:tcW w:type="dxa" w:w="1080"/>
          </w:tcPr>
          <w:p>
            <w:r>
              <w:rPr>
                <w:rFonts w:ascii="Calibri" w:hAnsi="Calibri"/>
                <w:color w:val="000000"/>
                <w:sz w:val="24"/>
              </w:rPr>
              <w:t>2024Q4</w:t>
            </w:r>
          </w:p>
        </w:tc>
        <w:tc>
          <w:tcPr>
            <w:tcW w:type="dxa" w:w="1080"/>
          </w:tcPr>
          <w:p>
            <w:r>
              <w:rPr>
                <w:rFonts w:ascii="Calibri" w:hAnsi="Calibri"/>
                <w:color w:val="000000"/>
                <w:sz w:val="24"/>
              </w:rPr>
              <w:t>0.005810</w:t>
            </w:r>
          </w:p>
        </w:tc>
        <w:tc>
          <w:tcPr>
            <w:tcW w:type="dxa" w:w="1080"/>
          </w:tcPr>
          <w:p>
            <w:r>
              <w:rPr>
                <w:rFonts w:ascii="Calibri" w:hAnsi="Calibri"/>
                <w:color w:val="000000"/>
                <w:sz w:val="24"/>
              </w:rPr>
              <w:t>0.005938</w:t>
            </w:r>
          </w:p>
        </w:tc>
        <w:tc>
          <w:tcPr>
            <w:tcW w:type="dxa" w:w="1080"/>
          </w:tcPr>
          <w:p>
            <w:r>
              <w:rPr>
                <w:rFonts w:ascii="Calibri" w:hAnsi="Calibri"/>
                <w:color w:val="000000"/>
                <w:sz w:val="24"/>
              </w:rPr>
              <w:t>0.006231</w:t>
            </w:r>
          </w:p>
        </w:tc>
        <w:tc>
          <w:tcPr>
            <w:tcW w:type="dxa" w:w="1080"/>
          </w:tcPr>
          <w:p>
            <w:r>
              <w:rPr>
                <w:rFonts w:ascii="Calibri" w:hAnsi="Calibri"/>
                <w:color w:val="000000"/>
                <w:sz w:val="24"/>
              </w:rPr>
              <w:t>0.001318</w:t>
            </w:r>
          </w:p>
        </w:tc>
        <w:tc>
          <w:tcPr>
            <w:tcW w:type="dxa" w:w="1080"/>
          </w:tcPr>
          <w:p>
            <w:r>
              <w:rPr>
                <w:rFonts w:ascii="Calibri" w:hAnsi="Calibri"/>
                <w:color w:val="000000"/>
                <w:sz w:val="24"/>
              </w:rPr>
              <w:t>0.010301</w:t>
            </w:r>
          </w:p>
        </w:tc>
        <w:tc>
          <w:tcPr>
            <w:tcW w:type="dxa" w:w="1080"/>
          </w:tcPr>
          <w:p>
            <w:r>
              <w:rPr>
                <w:rFonts w:ascii="Calibri" w:hAnsi="Calibri"/>
                <w:color w:val="000000"/>
                <w:sz w:val="24"/>
              </w:rPr>
              <w:t>−0.003043</w:t>
            </w:r>
          </w:p>
        </w:tc>
        <w:tc>
          <w:tcPr>
            <w:tcW w:type="dxa" w:w="1080"/>
          </w:tcPr>
          <w:p>
            <w:r>
              <w:rPr>
                <w:rFonts w:ascii="Calibri" w:hAnsi="Calibri"/>
                <w:color w:val="000000"/>
                <w:sz w:val="24"/>
              </w:rPr>
              <w:t>0.014662</w:t>
            </w:r>
          </w:p>
        </w:tc>
      </w:tr>
      <w:tr>
        <w:tc>
          <w:tcPr>
            <w:tcW w:type="dxa" w:w="1080"/>
          </w:tcPr>
          <w:p>
            <w:r>
              <w:rPr>
                <w:rFonts w:ascii="Calibri" w:hAnsi="Calibri"/>
                <w:color w:val="000000"/>
                <w:sz w:val="24"/>
              </w:rPr>
              <w:t>2025Q1</w:t>
            </w:r>
          </w:p>
        </w:tc>
        <w:tc>
          <w:tcPr>
            <w:tcW w:type="dxa" w:w="1080"/>
          </w:tcPr>
          <w:p>
            <w:r>
              <w:rPr>
                <w:rFonts w:ascii="Calibri" w:hAnsi="Calibri"/>
                <w:color w:val="000000"/>
                <w:sz w:val="24"/>
              </w:rPr>
              <w:t>0.006044</w:t>
            </w:r>
          </w:p>
        </w:tc>
        <w:tc>
          <w:tcPr>
            <w:tcW w:type="dxa" w:w="1080"/>
          </w:tcPr>
          <w:p>
            <w:r>
              <w:rPr>
                <w:rFonts w:ascii="Calibri" w:hAnsi="Calibri"/>
                <w:color w:val="000000"/>
                <w:sz w:val="24"/>
              </w:rPr>
              <w:t>0.006499</w:t>
            </w:r>
          </w:p>
        </w:tc>
        <w:tc>
          <w:tcPr>
            <w:tcW w:type="dxa" w:w="1080"/>
          </w:tcPr>
          <w:p>
            <w:r>
              <w:rPr>
                <w:rFonts w:ascii="Calibri" w:hAnsi="Calibri"/>
                <w:color w:val="000000"/>
                <w:sz w:val="24"/>
              </w:rPr>
              <w:t>0.006550</w:t>
            </w:r>
          </w:p>
        </w:tc>
        <w:tc>
          <w:tcPr>
            <w:tcW w:type="dxa" w:w="1080"/>
          </w:tcPr>
          <w:p>
            <w:r>
              <w:rPr>
                <w:rFonts w:ascii="Calibri" w:hAnsi="Calibri"/>
                <w:color w:val="000000"/>
                <w:sz w:val="24"/>
              </w:rPr>
              <w:t>0.001045</w:t>
            </w:r>
          </w:p>
        </w:tc>
        <w:tc>
          <w:tcPr>
            <w:tcW w:type="dxa" w:w="1080"/>
          </w:tcPr>
          <w:p>
            <w:r>
              <w:rPr>
                <w:rFonts w:ascii="Calibri" w:hAnsi="Calibri"/>
                <w:color w:val="000000"/>
                <w:sz w:val="24"/>
              </w:rPr>
              <w:t>0.011043</w:t>
            </w:r>
          </w:p>
        </w:tc>
        <w:tc>
          <w:tcPr>
            <w:tcW w:type="dxa" w:w="1080"/>
          </w:tcPr>
          <w:p>
            <w:r>
              <w:rPr>
                <w:rFonts w:ascii="Calibri" w:hAnsi="Calibri"/>
                <w:color w:val="000000"/>
                <w:sz w:val="24"/>
              </w:rPr>
              <w:t>−0.003809</w:t>
            </w:r>
          </w:p>
        </w:tc>
        <w:tc>
          <w:tcPr>
            <w:tcW w:type="dxa" w:w="1080"/>
          </w:tcPr>
          <w:p>
            <w:r>
              <w:rPr>
                <w:rFonts w:ascii="Calibri" w:hAnsi="Calibri"/>
                <w:color w:val="000000"/>
                <w:sz w:val="24"/>
              </w:rPr>
              <w:t>0.015896</w:t>
            </w:r>
          </w:p>
        </w:tc>
      </w:tr>
      <w:tr>
        <w:tc>
          <w:tcPr>
            <w:tcW w:type="dxa" w:w="1080"/>
          </w:tcPr>
          <w:p>
            <w:r>
              <w:rPr>
                <w:rFonts w:ascii="Calibri" w:hAnsi="Calibri"/>
                <w:color w:val="000000"/>
                <w:sz w:val="24"/>
              </w:rPr>
              <w:t>2025Q2</w:t>
            </w:r>
          </w:p>
        </w:tc>
        <w:tc>
          <w:tcPr>
            <w:tcW w:type="dxa" w:w="1080"/>
          </w:tcPr>
          <w:p>
            <w:r>
              <w:rPr>
                <w:rFonts w:ascii="Calibri" w:hAnsi="Calibri"/>
                <w:color w:val="000000"/>
                <w:sz w:val="24"/>
              </w:rPr>
              <w:t>0.006890</w:t>
            </w:r>
          </w:p>
        </w:tc>
        <w:tc>
          <w:tcPr>
            <w:tcW w:type="dxa" w:w="1080"/>
          </w:tcPr>
          <w:p>
            <w:r>
              <w:rPr>
                <w:rFonts w:ascii="Calibri" w:hAnsi="Calibri"/>
                <w:color w:val="000000"/>
                <w:sz w:val="24"/>
              </w:rPr>
              <w:t>0.007412</w:t>
            </w:r>
          </w:p>
        </w:tc>
        <w:tc>
          <w:tcPr>
            <w:tcW w:type="dxa" w:w="1080"/>
          </w:tcPr>
          <w:p>
            <w:r>
              <w:rPr>
                <w:rFonts w:ascii="Calibri" w:hAnsi="Calibri"/>
                <w:color w:val="000000"/>
                <w:sz w:val="24"/>
              </w:rPr>
              <w:t>0.006822</w:t>
            </w:r>
          </w:p>
        </w:tc>
        <w:tc>
          <w:tcPr>
            <w:tcW w:type="dxa" w:w="1080"/>
          </w:tcPr>
          <w:p>
            <w:r>
              <w:rPr>
                <w:rFonts w:ascii="Calibri" w:hAnsi="Calibri"/>
                <w:color w:val="000000"/>
                <w:sz w:val="24"/>
              </w:rPr>
              <w:t>0.001476</w:t>
            </w:r>
          </w:p>
        </w:tc>
        <w:tc>
          <w:tcPr>
            <w:tcW w:type="dxa" w:w="1080"/>
          </w:tcPr>
          <w:p>
            <w:r>
              <w:rPr>
                <w:rFonts w:ascii="Calibri" w:hAnsi="Calibri"/>
                <w:color w:val="000000"/>
                <w:sz w:val="24"/>
              </w:rPr>
              <w:t>0.012304</w:t>
            </w:r>
          </w:p>
        </w:tc>
        <w:tc>
          <w:tcPr>
            <w:tcW w:type="dxa" w:w="1080"/>
          </w:tcPr>
          <w:p>
            <w:r>
              <w:rPr>
                <w:rFonts w:ascii="Calibri" w:hAnsi="Calibri"/>
                <w:color w:val="000000"/>
                <w:sz w:val="24"/>
              </w:rPr>
              <w:t>−0.003780</w:t>
            </w:r>
          </w:p>
        </w:tc>
        <w:tc>
          <w:tcPr>
            <w:tcW w:type="dxa" w:w="1080"/>
          </w:tcPr>
          <w:p>
            <w:r>
              <w:rPr>
                <w:rFonts w:ascii="Calibri" w:hAnsi="Calibri"/>
                <w:color w:val="000000"/>
                <w:sz w:val="24"/>
              </w:rPr>
              <w:t>0.017561</w:t>
            </w:r>
          </w:p>
        </w:tc>
      </w:tr>
      <w:tr>
        <w:tc>
          <w:tcPr>
            <w:tcW w:type="dxa" w:w="1080"/>
          </w:tcPr>
          <w:p>
            <w:r>
              <w:rPr>
                <w:rFonts w:ascii="Calibri" w:hAnsi="Calibri"/>
                <w:color w:val="000000"/>
                <w:sz w:val="24"/>
              </w:rPr>
              <w:t>2025Q3</w:t>
            </w:r>
          </w:p>
        </w:tc>
        <w:tc>
          <w:tcPr>
            <w:tcW w:type="dxa" w:w="1080"/>
          </w:tcPr>
          <w:p>
            <w:r>
              <w:rPr>
                <w:rFonts w:ascii="Calibri" w:hAnsi="Calibri"/>
                <w:color w:val="000000"/>
                <w:sz w:val="24"/>
              </w:rPr>
              <w:t>0.007372</w:t>
            </w:r>
          </w:p>
        </w:tc>
        <w:tc>
          <w:tcPr>
            <w:tcW w:type="dxa" w:w="1080"/>
          </w:tcPr>
          <w:p>
            <w:r>
              <w:rPr>
                <w:rFonts w:ascii="Calibri" w:hAnsi="Calibri"/>
                <w:color w:val="000000"/>
                <w:sz w:val="24"/>
              </w:rPr>
              <w:t>0.008069</w:t>
            </w:r>
          </w:p>
        </w:tc>
        <w:tc>
          <w:tcPr>
            <w:tcW w:type="dxa" w:w="1080"/>
          </w:tcPr>
          <w:p>
            <w:r>
              <w:rPr>
                <w:rFonts w:ascii="Calibri" w:hAnsi="Calibri"/>
                <w:color w:val="000000"/>
                <w:sz w:val="24"/>
              </w:rPr>
              <w:t>0.007111</w:t>
            </w:r>
          </w:p>
        </w:tc>
        <w:tc>
          <w:tcPr>
            <w:tcW w:type="dxa" w:w="1080"/>
          </w:tcPr>
          <w:p>
            <w:r>
              <w:rPr>
                <w:rFonts w:ascii="Calibri" w:hAnsi="Calibri"/>
                <w:color w:val="000000"/>
                <w:sz w:val="24"/>
              </w:rPr>
              <w:t>0.001519</w:t>
            </w:r>
          </w:p>
        </w:tc>
        <w:tc>
          <w:tcPr>
            <w:tcW w:type="dxa" w:w="1080"/>
          </w:tcPr>
          <w:p>
            <w:r>
              <w:rPr>
                <w:rFonts w:ascii="Calibri" w:hAnsi="Calibri"/>
                <w:color w:val="000000"/>
                <w:sz w:val="24"/>
              </w:rPr>
              <w:t>0.013225</w:t>
            </w:r>
          </w:p>
        </w:tc>
        <w:tc>
          <w:tcPr>
            <w:tcW w:type="dxa" w:w="1080"/>
          </w:tcPr>
          <w:p>
            <w:r>
              <w:rPr>
                <w:rFonts w:ascii="Calibri" w:hAnsi="Calibri"/>
                <w:color w:val="000000"/>
                <w:sz w:val="24"/>
              </w:rPr>
              <w:t>−0.004164</w:t>
            </w:r>
          </w:p>
        </w:tc>
        <w:tc>
          <w:tcPr>
            <w:tcW w:type="dxa" w:w="1080"/>
          </w:tcPr>
          <w:p>
            <w:r>
              <w:rPr>
                <w:rFonts w:ascii="Calibri" w:hAnsi="Calibri"/>
                <w:color w:val="000000"/>
                <w:sz w:val="24"/>
              </w:rPr>
              <w:t>0.018908</w:t>
            </w:r>
          </w:p>
        </w:tc>
      </w:tr>
      <w:tr>
        <w:tc>
          <w:tcPr>
            <w:tcW w:type="dxa" w:w="1080"/>
          </w:tcPr>
          <w:p>
            <w:r>
              <w:rPr>
                <w:rFonts w:ascii="Calibri" w:hAnsi="Calibri"/>
                <w:color w:val="000000"/>
                <w:sz w:val="24"/>
              </w:rPr>
              <w:t>2025Q4</w:t>
            </w:r>
          </w:p>
        </w:tc>
        <w:tc>
          <w:tcPr>
            <w:tcW w:type="dxa" w:w="1080"/>
          </w:tcPr>
          <w:p>
            <w:r>
              <w:rPr>
                <w:rFonts w:ascii="Calibri" w:hAnsi="Calibri"/>
                <w:color w:val="000000"/>
                <w:sz w:val="24"/>
              </w:rPr>
              <w:t>0.007710</w:t>
            </w:r>
          </w:p>
        </w:tc>
        <w:tc>
          <w:tcPr>
            <w:tcW w:type="dxa" w:w="1080"/>
          </w:tcPr>
          <w:p>
            <w:r>
              <w:rPr>
                <w:rFonts w:ascii="Calibri" w:hAnsi="Calibri"/>
                <w:color w:val="000000"/>
                <w:sz w:val="24"/>
              </w:rPr>
              <w:t>0.008331</w:t>
            </w:r>
          </w:p>
        </w:tc>
        <w:tc>
          <w:tcPr>
            <w:tcW w:type="dxa" w:w="1080"/>
          </w:tcPr>
          <w:p>
            <w:r>
              <w:rPr>
                <w:rFonts w:ascii="Calibri" w:hAnsi="Calibri"/>
                <w:color w:val="000000"/>
                <w:sz w:val="24"/>
              </w:rPr>
              <w:t>0.007326</w:t>
            </w:r>
          </w:p>
        </w:tc>
        <w:tc>
          <w:tcPr>
            <w:tcW w:type="dxa" w:w="1080"/>
          </w:tcPr>
          <w:p>
            <w:r>
              <w:rPr>
                <w:rFonts w:ascii="Calibri" w:hAnsi="Calibri"/>
                <w:color w:val="000000"/>
                <w:sz w:val="24"/>
              </w:rPr>
              <w:t>0.001534</w:t>
            </w:r>
          </w:p>
        </w:tc>
        <w:tc>
          <w:tcPr>
            <w:tcW w:type="dxa" w:w="1080"/>
          </w:tcPr>
          <w:p>
            <w:r>
              <w:rPr>
                <w:rFonts w:ascii="Calibri" w:hAnsi="Calibri"/>
                <w:color w:val="000000"/>
                <w:sz w:val="24"/>
              </w:rPr>
              <w:t>0.013886</w:t>
            </w:r>
          </w:p>
        </w:tc>
        <w:tc>
          <w:tcPr>
            <w:tcW w:type="dxa" w:w="1080"/>
          </w:tcPr>
          <w:p>
            <w:r>
              <w:rPr>
                <w:rFonts w:ascii="Calibri" w:hAnsi="Calibri"/>
                <w:color w:val="000000"/>
                <w:sz w:val="24"/>
              </w:rPr>
              <w:t>−0.004463</w:t>
            </w:r>
          </w:p>
        </w:tc>
        <w:tc>
          <w:tcPr>
            <w:tcW w:type="dxa" w:w="1080"/>
          </w:tcPr>
          <w:p>
            <w:r>
              <w:rPr>
                <w:rFonts w:ascii="Calibri" w:hAnsi="Calibri"/>
                <w:color w:val="000000"/>
                <w:sz w:val="24"/>
              </w:rPr>
              <w:t>0.019883</w:t>
            </w:r>
          </w:p>
        </w:tc>
      </w:tr>
    </w:tbl>
    <w:p/>
    <w:p>
      <w:r>
        <w:rPr>
          <w:rFonts w:ascii="Calibri" w:hAnsi="Calibri"/>
          <w:color w:val="000000"/>
          <w:sz w:val="24"/>
        </w:rPr>
        <w:t>The table reports quarterly log inflation rates. To interpret them as approximate quarterly percentages, multiply by 100. For example, a forecast of 0.007979 is about 0.80% quarterly inflation.</w:t>
      </w:r>
    </w:p>
    <w:p>
      <w:r>
        <w:rPr>
          <w:rFonts w:ascii="Calibri" w:hAnsi="Calibri"/>
          <w:color w:val="000000"/>
          <w:sz w:val="24"/>
        </w:rPr>
        <w:t xml:space="preserve">Figure 3 plots the recent observed values of </w:t>
      </w:r>
      <m:oMath>
        <m:r>
          <m:t>Δ</m:t>
        </m:r>
        <m:sSub>
          <m:e>
            <m:r>
              <m:t>p</m:t>
            </m:r>
          </m:e>
          <m:sub>
            <m:r>
              <m:t>t</m:t>
            </m:r>
          </m:sub>
        </m:sSub>
      </m:oMath>
      <w:r>
        <w:rPr>
          <w:rFonts w:ascii="Calibri" w:hAnsi="Calibri"/>
          <w:color w:val="000000"/>
          <w:sz w:val="24"/>
        </w:rPr>
        <w:t xml:space="preserve"> together with the three forecast paths, as required in Question 2(b). The shaded 68% and 95% forecast intervals are shown for ARIMA(2,0,10), the lowest-AIC inflation model in the selected set, because those intervals directly support the uncertainty discussion in Question 2(c). ARIMA(2,0,10) forecasts a lower near-term path than the other two models, falling to about 0.0058, or 0.58%, by 2024Q4 before gradually rising. ARIMA(4,0,9) and ARIMA(2,0,9) are similar early on but remain slightly higher through much of the horizon. The 95% interval for ARIMA(2,0,10) widens from 0.005450–0.010508 in 2024Q1, or about 0.55%–1.05%, to −0.004463–0.019883 by 2025Q4, or about −0.45%–1.99%, reflecting increasing uncertainty at longer horizons.</w:t>
      </w:r>
    </w:p>
    <w:p>
      <w:pPr>
        <w:pStyle w:val="Heading3"/>
      </w:pPr>
      <w:r>
        <w:t>2(c) Policy Use and Forecast Uncertainty</w:t>
      </w:r>
    </w:p>
    <w:p>
      <w:r>
        <w:rPr>
          <w:rFonts w:ascii="Calibri" w:hAnsi="Calibri"/>
          <w:color w:val="000000"/>
          <w:sz w:val="24"/>
        </w:rPr>
        <w:t>These inflation forecasts are useful for policy because policy decisions are forward looking. A central bank sets interest rates based on where inflation is expected to go, not only where it is today. Fiscal authorities also need expected inflation when thinking about real spending, tax revenue, and the real value of debt.</w:t>
      </w:r>
    </w:p>
    <w:p>
      <w:r>
        <w:rPr>
          <w:rFonts w:ascii="Calibri" w:hAnsi="Calibri"/>
          <w:color w:val="000000"/>
          <w:sz w:val="24"/>
        </w:rPr>
        <w:t>There are three main sources of uncertainty. The first is shock uncertainty: future innovations are unknown, so predictive intervals widen as the horizon increases. For ARIMA(2,0,10), the 95% interval widens from about 0.55%–1.05% in 2024Q1 to about −0.45%–1.99% by 2025Q4. The second is model uncertainty. The three adequate specifications do not produce the same forecast path, especially in the near term: in 2024Q4, ARIMA(2,0,10) forecasts 0.005810, or 0.58%, while ARIMA(2,0,9) forecasts 0.006231, or 0.62%. The reported bands measure uncertainty conditional on one model being correct, so the true uncertainty is wider than any single set of intervals implies. The third is parameter and regime uncertainty: the estimated coefficients may not remain stable if inflation dynamics change after a supply shock or policy shift.</w:t>
      </w:r>
    </w:p>
    <w:p>
      <w:r>
        <w:rPr>
          <w:rFonts w:ascii="Calibri" w:hAnsi="Calibri"/>
          <w:color w:val="000000"/>
          <w:sz w:val="24"/>
        </w:rPr>
        <w:t>These forecasts are therefore useful as a disciplined baseline, not as mechanical policy rules. The 68% and 95% bands summarise conditional forecast uncertainty, but policy makers should combine them with judgement about model choice, coefficient stability, and possible regime change.</w:t>
      </w:r>
    </w:p>
    <w:p>
      <w:r>
        <w:br w:type="page"/>
      </w:r>
    </w:p>
    <w:p>
      <w:pPr>
        <w:pStyle w:val="Heading2"/>
      </w:pPr>
      <w:r>
        <w:t>Question 3</w:t>
      </w:r>
    </w:p>
    <w:p>
      <w:pPr>
        <w:jc w:val="center"/>
      </w:pPr>
      <w:r>
        <w:drawing>
          <wp:inline xmlns:a="http://schemas.openxmlformats.org/drawingml/2006/main" xmlns:pic="http://schemas.openxmlformats.org/drawingml/2006/picture">
            <wp:extent cx="5852160" cy="2377440"/>
            <wp:docPr id="4" name="Picture 4"/>
            <wp:cNvGraphicFramePr>
              <a:graphicFrameLocks noChangeAspect="1"/>
            </wp:cNvGraphicFramePr>
            <a:graphic>
              <a:graphicData uri="http://schemas.openxmlformats.org/drawingml/2006/picture">
                <pic:pic>
                  <pic:nvPicPr>
                    <pic:cNvPr id="0" name="fig3_actual_vs_arima_2_0_10.png"/>
                    <pic:cNvPicPr/>
                  </pic:nvPicPr>
                  <pic:blipFill>
                    <a:blip r:embed="rId12"/>
                    <a:stretch>
                      <a:fillRect/>
                    </a:stretch>
                  </pic:blipFill>
                  <pic:spPr>
                    <a:xfrm>
                      <a:off x="0" y="0"/>
                      <a:ext cx="5852160" cy="2377440"/>
                    </a:xfrm>
                    <a:prstGeom prst="rect"/>
                  </pic:spPr>
                </pic:pic>
              </a:graphicData>
            </a:graphic>
          </wp:inline>
        </w:drawing>
      </w:r>
    </w:p>
    <w:p>
      <w:pPr>
        <w:jc w:val="center"/>
      </w:pPr>
      <w:r>
        <w:drawing>
          <wp:inline xmlns:a="http://schemas.openxmlformats.org/drawingml/2006/main" xmlns:pic="http://schemas.openxmlformats.org/drawingml/2006/picture">
            <wp:extent cx="5852160" cy="2377440"/>
            <wp:docPr id="5" name="Picture 5"/>
            <wp:cNvGraphicFramePr>
              <a:graphicFrameLocks noChangeAspect="1"/>
            </wp:cNvGraphicFramePr>
            <a:graphic>
              <a:graphicData uri="http://schemas.openxmlformats.org/drawingml/2006/picture">
                <pic:pic>
                  <pic:nvPicPr>
                    <pic:cNvPr id="0" name="fig3_actual_vs_arima_4_0_9.png"/>
                    <pic:cNvPicPr/>
                  </pic:nvPicPr>
                  <pic:blipFill>
                    <a:blip r:embed="rId13"/>
                    <a:stretch>
                      <a:fillRect/>
                    </a:stretch>
                  </pic:blipFill>
                  <pic:spPr>
                    <a:xfrm>
                      <a:off x="0" y="0"/>
                      <a:ext cx="5852160" cy="2377440"/>
                    </a:xfrm>
                    <a:prstGeom prst="rect"/>
                  </pic:spPr>
                </pic:pic>
              </a:graphicData>
            </a:graphic>
          </wp:inline>
        </w:drawing>
      </w:r>
    </w:p>
    <w:p>
      <w:pPr>
        <w:jc w:val="center"/>
      </w:pPr>
      <w:r>
        <w:drawing>
          <wp:inline xmlns:a="http://schemas.openxmlformats.org/drawingml/2006/main" xmlns:pic="http://schemas.openxmlformats.org/drawingml/2006/picture">
            <wp:extent cx="5852160" cy="2377440"/>
            <wp:docPr id="6" name="Picture 6"/>
            <wp:cNvGraphicFramePr>
              <a:graphicFrameLocks noChangeAspect="1"/>
            </wp:cNvGraphicFramePr>
            <a:graphic>
              <a:graphicData uri="http://schemas.openxmlformats.org/drawingml/2006/picture">
                <pic:pic>
                  <pic:nvPicPr>
                    <pic:cNvPr id="0" name="fig3_actual_vs_arima_2_0_9.png"/>
                    <pic:cNvPicPr/>
                  </pic:nvPicPr>
                  <pic:blipFill>
                    <a:blip r:embed="rId14"/>
                    <a:stretch>
                      <a:fillRect/>
                    </a:stretch>
                  </pic:blipFill>
                  <pic:spPr>
                    <a:xfrm>
                      <a:off x="0" y="0"/>
                      <a:ext cx="5852160" cy="2377440"/>
                    </a:xfrm>
                    <a:prstGeom prst="rect"/>
                  </pic:spPr>
                </pic:pic>
              </a:graphicData>
            </a:graphic>
          </wp:inline>
        </w:drawing>
      </w:r>
    </w:p>
    <w:p>
      <w:pPr>
        <w:jc w:val="center"/>
      </w:pPr>
      <w:r>
        <w:rPr>
          <w:rFonts w:ascii="Calibri" w:hAnsi="Calibri"/>
          <w:color w:val="000000"/>
          <w:sz w:val="24"/>
        </w:rPr>
        <w:t>Figures 4-6</w:t>
      </w:r>
    </w:p>
    <w:p>
      <w:r>
        <w:rPr>
          <w:rFonts w:ascii="Calibri" w:hAnsi="Calibri"/>
          <w:color w:val="000000"/>
          <w:sz w:val="24"/>
        </w:rPr>
        <w:t xml:space="preserve">Actual quarterly inflation for 2024Q1–2025Q3 is computed from the price-level data as </w:t>
      </w:r>
      <m:oMath>
        <m:r>
          <m:t>Δ</m:t>
        </m:r>
        <m:sSub>
          <m:e>
            <m:r>
              <m:t>p</m:t>
            </m:r>
          </m:e>
          <m:sub>
            <m:r>
              <m:t>t</m:t>
            </m:r>
          </m:sub>
        </m:sSub>
        <m:r>
          <m:t> = </m:t>
        </m:r>
        <m:r>
          <m:t>log</m:t>
        </m:r>
        <m:r>
          <m:t>(</m:t>
        </m:r>
        <m:sSub>
          <m:e>
            <m:r>
              <m:t>P</m:t>
            </m:r>
          </m:e>
          <m:sub>
            <m:r>
              <m:t>t</m:t>
            </m:r>
          </m:sub>
        </m:sSub>
        <m:r>
          <m:t>) − </m:t>
        </m:r>
        <m:r>
          <m:t>log</m:t>
        </m:r>
        <m:r>
          <m:t>(</m:t>
        </m:r>
        <m:sSub>
          <m:e>
            <m:r>
              <m:t>P</m:t>
            </m:r>
          </m:e>
          <m:sub>
            <m:r>
              <m:t>t−1</m:t>
            </m:r>
          </m:sub>
        </m:sSub>
        <m:r>
          <m:t>)</m:t>
        </m:r>
      </m:oMath>
      <w:r>
        <w:rPr>
          <w:rFonts w:ascii="Calibri" w:hAnsi="Calibri"/>
          <w:color w:val="000000"/>
          <w:sz w:val="24"/>
        </w:rPr>
        <w:t xml:space="preserve">, using </w:t>
      </w:r>
      <m:oMath>
        <m:sSub>
          <m:e>
            <m:r>
              <m:t>P</m:t>
            </m:r>
          </m:e>
          <m:sub>
            <m:r>
              <m:t>2023Q4</m:t>
            </m:r>
          </m:sub>
        </m:sSub>
      </m:oMath>
      <w:r>
        <w:rPr>
          <w:rFonts w:ascii="Calibri" w:hAnsi="Calibri"/>
          <w:color w:val="000000"/>
          <w:sz w:val="24"/>
        </w:rPr>
        <w:t xml:space="preserve"> as the last in-sample observation.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Quarter</w:t>
            </w:r>
          </w:p>
        </w:tc>
        <w:tc>
          <w:tcPr>
            <w:tcW w:type="dxa" w:w="1728"/>
          </w:tcPr>
          <w:p>
            <w:r>
              <w:rPr>
                <w:rFonts w:ascii="Calibri" w:hAnsi="Calibri"/>
                <w:b/>
                <w:color w:val="000000"/>
                <w:sz w:val="24"/>
              </w:rPr>
              <w:t xml:space="preserve">Actual </w:t>
            </w:r>
            <m:oMath>
              <m:r>
                <m:t>Δ</m:t>
              </m:r>
              <m:sSub>
                <m:e>
                  <m:r>
                    <m:t>p</m:t>
                  </m:r>
                </m:e>
                <m:sub>
                  <m:r>
                    <m:t>t</m:t>
                  </m:r>
                </m:sub>
              </m:sSub>
            </m:oMath>
          </w:p>
        </w:tc>
        <w:tc>
          <w:tcPr>
            <w:tcW w:type="dxa" w:w="1728"/>
          </w:tcPr>
          <w:p>
            <w:r>
              <w:rPr>
                <w:rFonts w:ascii="Calibri" w:hAnsi="Calibri"/>
                <w:b/>
                <w:color w:val="000000"/>
                <w:sz w:val="24"/>
              </w:rPr>
              <w:t>ARIMA(2,0,10)</w:t>
            </w:r>
          </w:p>
        </w:tc>
        <w:tc>
          <w:tcPr>
            <w:tcW w:type="dxa" w:w="1728"/>
          </w:tcPr>
          <w:p>
            <w:r>
              <w:rPr>
                <w:rFonts w:ascii="Calibri" w:hAnsi="Calibri"/>
                <w:b/>
                <w:color w:val="000000"/>
                <w:sz w:val="24"/>
              </w:rPr>
              <w:t>ARIMA(4,0,9)</w:t>
            </w:r>
          </w:p>
        </w:tc>
        <w:tc>
          <w:tcPr>
            <w:tcW w:type="dxa" w:w="1728"/>
          </w:tcPr>
          <w:p>
            <w:r>
              <w:rPr>
                <w:rFonts w:ascii="Calibri" w:hAnsi="Calibri"/>
                <w:b/>
                <w:color w:val="000000"/>
                <w:sz w:val="24"/>
              </w:rPr>
              <w:t>ARIMA(2,0,9)</w:t>
            </w:r>
          </w:p>
        </w:tc>
      </w:tr>
      <w:tr>
        <w:tc>
          <w:tcPr>
            <w:tcW w:type="dxa" w:w="1728"/>
          </w:tcPr>
          <w:p>
            <w:r>
              <w:rPr>
                <w:rFonts w:ascii="Calibri" w:hAnsi="Calibri"/>
                <w:color w:val="000000"/>
                <w:sz w:val="24"/>
              </w:rPr>
              <w:t>2024Q1</w:t>
            </w:r>
          </w:p>
        </w:tc>
        <w:tc>
          <w:tcPr>
            <w:tcW w:type="dxa" w:w="1728"/>
          </w:tcPr>
          <w:p>
            <w:r>
              <w:rPr>
                <w:rFonts w:ascii="Calibri" w:hAnsi="Calibri"/>
                <w:color w:val="000000"/>
                <w:sz w:val="24"/>
              </w:rPr>
              <w:t>0.007964</w:t>
            </w:r>
          </w:p>
        </w:tc>
        <w:tc>
          <w:tcPr>
            <w:tcW w:type="dxa" w:w="1728"/>
          </w:tcPr>
          <w:p>
            <w:r>
              <w:rPr>
                <w:rFonts w:ascii="Calibri" w:hAnsi="Calibri"/>
                <w:color w:val="000000"/>
                <w:sz w:val="24"/>
              </w:rPr>
              <w:t>0.007979</w:t>
            </w:r>
          </w:p>
        </w:tc>
        <w:tc>
          <w:tcPr>
            <w:tcW w:type="dxa" w:w="1728"/>
          </w:tcPr>
          <w:p>
            <w:r>
              <w:rPr>
                <w:rFonts w:ascii="Calibri" w:hAnsi="Calibri"/>
                <w:color w:val="000000"/>
                <w:sz w:val="24"/>
              </w:rPr>
              <w:t>0.008012</w:t>
            </w:r>
          </w:p>
        </w:tc>
        <w:tc>
          <w:tcPr>
            <w:tcW w:type="dxa" w:w="1728"/>
          </w:tcPr>
          <w:p>
            <w:r>
              <w:rPr>
                <w:rFonts w:ascii="Calibri" w:hAnsi="Calibri"/>
                <w:color w:val="000000"/>
                <w:sz w:val="24"/>
              </w:rPr>
              <w:t>0.008083</w:t>
            </w:r>
          </w:p>
        </w:tc>
      </w:tr>
      <w:tr>
        <w:tc>
          <w:tcPr>
            <w:tcW w:type="dxa" w:w="1728"/>
          </w:tcPr>
          <w:p>
            <w:r>
              <w:rPr>
                <w:rFonts w:ascii="Calibri" w:hAnsi="Calibri"/>
                <w:color w:val="000000"/>
                <w:sz w:val="24"/>
              </w:rPr>
              <w:t>2024Q2</w:t>
            </w:r>
          </w:p>
        </w:tc>
        <w:tc>
          <w:tcPr>
            <w:tcW w:type="dxa" w:w="1728"/>
          </w:tcPr>
          <w:p>
            <w:r>
              <w:rPr>
                <w:rFonts w:ascii="Calibri" w:hAnsi="Calibri"/>
                <w:color w:val="000000"/>
                <w:sz w:val="24"/>
              </w:rPr>
              <w:t>0.008313</w:t>
            </w:r>
          </w:p>
        </w:tc>
        <w:tc>
          <w:tcPr>
            <w:tcW w:type="dxa" w:w="1728"/>
          </w:tcPr>
          <w:p>
            <w:r>
              <w:rPr>
                <w:rFonts w:ascii="Calibri" w:hAnsi="Calibri"/>
                <w:color w:val="000000"/>
                <w:sz w:val="24"/>
              </w:rPr>
              <w:t>0.006826</w:t>
            </w:r>
          </w:p>
        </w:tc>
        <w:tc>
          <w:tcPr>
            <w:tcW w:type="dxa" w:w="1728"/>
          </w:tcPr>
          <w:p>
            <w:r>
              <w:rPr>
                <w:rFonts w:ascii="Calibri" w:hAnsi="Calibri"/>
                <w:color w:val="000000"/>
                <w:sz w:val="24"/>
              </w:rPr>
              <w:t>0.006823</w:t>
            </w:r>
          </w:p>
        </w:tc>
        <w:tc>
          <w:tcPr>
            <w:tcW w:type="dxa" w:w="1728"/>
          </w:tcPr>
          <w:p>
            <w:r>
              <w:rPr>
                <w:rFonts w:ascii="Calibri" w:hAnsi="Calibri"/>
                <w:color w:val="000000"/>
                <w:sz w:val="24"/>
              </w:rPr>
              <w:t>0.007218</w:t>
            </w:r>
          </w:p>
        </w:tc>
      </w:tr>
      <w:tr>
        <w:tc>
          <w:tcPr>
            <w:tcW w:type="dxa" w:w="1728"/>
          </w:tcPr>
          <w:p>
            <w:r>
              <w:rPr>
                <w:rFonts w:ascii="Calibri" w:hAnsi="Calibri"/>
                <w:color w:val="000000"/>
                <w:sz w:val="24"/>
              </w:rPr>
              <w:t>2024Q3</w:t>
            </w:r>
          </w:p>
        </w:tc>
        <w:tc>
          <w:tcPr>
            <w:tcW w:type="dxa" w:w="1728"/>
          </w:tcPr>
          <w:p>
            <w:r>
              <w:rPr>
                <w:rFonts w:ascii="Calibri" w:hAnsi="Calibri"/>
                <w:color w:val="000000"/>
                <w:sz w:val="24"/>
              </w:rPr>
              <w:t>0.007613</w:t>
            </w:r>
          </w:p>
        </w:tc>
        <w:tc>
          <w:tcPr>
            <w:tcW w:type="dxa" w:w="1728"/>
          </w:tcPr>
          <w:p>
            <w:r>
              <w:rPr>
                <w:rFonts w:ascii="Calibri" w:hAnsi="Calibri"/>
                <w:color w:val="000000"/>
                <w:sz w:val="24"/>
              </w:rPr>
              <w:t>0.006560</w:t>
            </w:r>
          </w:p>
        </w:tc>
        <w:tc>
          <w:tcPr>
            <w:tcW w:type="dxa" w:w="1728"/>
          </w:tcPr>
          <w:p>
            <w:r>
              <w:rPr>
                <w:rFonts w:ascii="Calibri" w:hAnsi="Calibri"/>
                <w:color w:val="000000"/>
                <w:sz w:val="24"/>
              </w:rPr>
              <w:t>0.006668</w:t>
            </w:r>
          </w:p>
        </w:tc>
        <w:tc>
          <w:tcPr>
            <w:tcW w:type="dxa" w:w="1728"/>
          </w:tcPr>
          <w:p>
            <w:r>
              <w:rPr>
                <w:rFonts w:ascii="Calibri" w:hAnsi="Calibri"/>
                <w:color w:val="000000"/>
                <w:sz w:val="24"/>
              </w:rPr>
              <w:t>0.007178</w:t>
            </w:r>
          </w:p>
        </w:tc>
      </w:tr>
      <w:tr>
        <w:tc>
          <w:tcPr>
            <w:tcW w:type="dxa" w:w="1728"/>
          </w:tcPr>
          <w:p>
            <w:r>
              <w:rPr>
                <w:rFonts w:ascii="Calibri" w:hAnsi="Calibri"/>
                <w:color w:val="000000"/>
                <w:sz w:val="24"/>
              </w:rPr>
              <w:t>2024Q4</w:t>
            </w:r>
          </w:p>
        </w:tc>
        <w:tc>
          <w:tcPr>
            <w:tcW w:type="dxa" w:w="1728"/>
          </w:tcPr>
          <w:p>
            <w:r>
              <w:rPr>
                <w:rFonts w:ascii="Calibri" w:hAnsi="Calibri"/>
                <w:color w:val="000000"/>
                <w:sz w:val="24"/>
              </w:rPr>
              <w:t>0.006339</w:t>
            </w:r>
          </w:p>
        </w:tc>
        <w:tc>
          <w:tcPr>
            <w:tcW w:type="dxa" w:w="1728"/>
          </w:tcPr>
          <w:p>
            <w:r>
              <w:rPr>
                <w:rFonts w:ascii="Calibri" w:hAnsi="Calibri"/>
                <w:color w:val="000000"/>
                <w:sz w:val="24"/>
              </w:rPr>
              <w:t>0.005810</w:t>
            </w:r>
          </w:p>
        </w:tc>
        <w:tc>
          <w:tcPr>
            <w:tcW w:type="dxa" w:w="1728"/>
          </w:tcPr>
          <w:p>
            <w:r>
              <w:rPr>
                <w:rFonts w:ascii="Calibri" w:hAnsi="Calibri"/>
                <w:color w:val="000000"/>
                <w:sz w:val="24"/>
              </w:rPr>
              <w:t>0.005938</w:t>
            </w:r>
          </w:p>
        </w:tc>
        <w:tc>
          <w:tcPr>
            <w:tcW w:type="dxa" w:w="1728"/>
          </w:tcPr>
          <w:p>
            <w:r>
              <w:rPr>
                <w:rFonts w:ascii="Calibri" w:hAnsi="Calibri"/>
                <w:color w:val="000000"/>
                <w:sz w:val="24"/>
              </w:rPr>
              <w:t>0.006231</w:t>
            </w:r>
          </w:p>
        </w:tc>
      </w:tr>
      <w:tr>
        <w:tc>
          <w:tcPr>
            <w:tcW w:type="dxa" w:w="1728"/>
          </w:tcPr>
          <w:p>
            <w:r>
              <w:rPr>
                <w:rFonts w:ascii="Calibri" w:hAnsi="Calibri"/>
                <w:color w:val="000000"/>
                <w:sz w:val="24"/>
              </w:rPr>
              <w:t>2025Q1</w:t>
            </w:r>
          </w:p>
        </w:tc>
        <w:tc>
          <w:tcPr>
            <w:tcW w:type="dxa" w:w="1728"/>
          </w:tcPr>
          <w:p>
            <w:r>
              <w:rPr>
                <w:rFonts w:ascii="Calibri" w:hAnsi="Calibri"/>
                <w:color w:val="000000"/>
                <w:sz w:val="24"/>
              </w:rPr>
              <w:t>0.007146</w:t>
            </w:r>
          </w:p>
        </w:tc>
        <w:tc>
          <w:tcPr>
            <w:tcW w:type="dxa" w:w="1728"/>
          </w:tcPr>
          <w:p>
            <w:r>
              <w:rPr>
                <w:rFonts w:ascii="Calibri" w:hAnsi="Calibri"/>
                <w:color w:val="000000"/>
                <w:sz w:val="24"/>
              </w:rPr>
              <w:t>0.006044</w:t>
            </w:r>
          </w:p>
        </w:tc>
        <w:tc>
          <w:tcPr>
            <w:tcW w:type="dxa" w:w="1728"/>
          </w:tcPr>
          <w:p>
            <w:r>
              <w:rPr>
                <w:rFonts w:ascii="Calibri" w:hAnsi="Calibri"/>
                <w:color w:val="000000"/>
                <w:sz w:val="24"/>
              </w:rPr>
              <w:t>0.006499</w:t>
            </w:r>
          </w:p>
        </w:tc>
        <w:tc>
          <w:tcPr>
            <w:tcW w:type="dxa" w:w="1728"/>
          </w:tcPr>
          <w:p>
            <w:r>
              <w:rPr>
                <w:rFonts w:ascii="Calibri" w:hAnsi="Calibri"/>
                <w:color w:val="000000"/>
                <w:sz w:val="24"/>
              </w:rPr>
              <w:t>0.006550</w:t>
            </w:r>
          </w:p>
        </w:tc>
      </w:tr>
      <w:tr>
        <w:tc>
          <w:tcPr>
            <w:tcW w:type="dxa" w:w="1728"/>
          </w:tcPr>
          <w:p>
            <w:r>
              <w:rPr>
                <w:rFonts w:ascii="Calibri" w:hAnsi="Calibri"/>
                <w:color w:val="000000"/>
                <w:sz w:val="24"/>
              </w:rPr>
              <w:t>2025Q2</w:t>
            </w:r>
          </w:p>
        </w:tc>
        <w:tc>
          <w:tcPr>
            <w:tcW w:type="dxa" w:w="1728"/>
          </w:tcPr>
          <w:p>
            <w:r>
              <w:rPr>
                <w:rFonts w:ascii="Calibri" w:hAnsi="Calibri"/>
                <w:color w:val="000000"/>
                <w:sz w:val="24"/>
              </w:rPr>
              <w:t>0.006288</w:t>
            </w:r>
          </w:p>
        </w:tc>
        <w:tc>
          <w:tcPr>
            <w:tcW w:type="dxa" w:w="1728"/>
          </w:tcPr>
          <w:p>
            <w:r>
              <w:rPr>
                <w:rFonts w:ascii="Calibri" w:hAnsi="Calibri"/>
                <w:color w:val="000000"/>
                <w:sz w:val="24"/>
              </w:rPr>
              <w:t>0.006890</w:t>
            </w:r>
          </w:p>
        </w:tc>
        <w:tc>
          <w:tcPr>
            <w:tcW w:type="dxa" w:w="1728"/>
          </w:tcPr>
          <w:p>
            <w:r>
              <w:rPr>
                <w:rFonts w:ascii="Calibri" w:hAnsi="Calibri"/>
                <w:color w:val="000000"/>
                <w:sz w:val="24"/>
              </w:rPr>
              <w:t>0.007412</w:t>
            </w:r>
          </w:p>
        </w:tc>
        <w:tc>
          <w:tcPr>
            <w:tcW w:type="dxa" w:w="1728"/>
          </w:tcPr>
          <w:p>
            <w:r>
              <w:rPr>
                <w:rFonts w:ascii="Calibri" w:hAnsi="Calibri"/>
                <w:color w:val="000000"/>
                <w:sz w:val="24"/>
              </w:rPr>
              <w:t>0.006822</w:t>
            </w:r>
          </w:p>
        </w:tc>
      </w:tr>
      <w:tr>
        <w:tc>
          <w:tcPr>
            <w:tcW w:type="dxa" w:w="1728"/>
          </w:tcPr>
          <w:p>
            <w:r>
              <w:rPr>
                <w:rFonts w:ascii="Calibri" w:hAnsi="Calibri"/>
                <w:color w:val="000000"/>
                <w:sz w:val="24"/>
              </w:rPr>
              <w:t>2025Q3</w:t>
            </w:r>
          </w:p>
        </w:tc>
        <w:tc>
          <w:tcPr>
            <w:tcW w:type="dxa" w:w="1728"/>
          </w:tcPr>
          <w:p>
            <w:r>
              <w:rPr>
                <w:rFonts w:ascii="Calibri" w:hAnsi="Calibri"/>
                <w:color w:val="000000"/>
                <w:sz w:val="24"/>
              </w:rPr>
              <w:t>0.006477</w:t>
            </w:r>
          </w:p>
        </w:tc>
        <w:tc>
          <w:tcPr>
            <w:tcW w:type="dxa" w:w="1728"/>
          </w:tcPr>
          <w:p>
            <w:r>
              <w:rPr>
                <w:rFonts w:ascii="Calibri" w:hAnsi="Calibri"/>
                <w:color w:val="000000"/>
                <w:sz w:val="24"/>
              </w:rPr>
              <w:t>0.007372</w:t>
            </w:r>
          </w:p>
        </w:tc>
        <w:tc>
          <w:tcPr>
            <w:tcW w:type="dxa" w:w="1728"/>
          </w:tcPr>
          <w:p>
            <w:r>
              <w:rPr>
                <w:rFonts w:ascii="Calibri" w:hAnsi="Calibri"/>
                <w:color w:val="000000"/>
                <w:sz w:val="24"/>
              </w:rPr>
              <w:t>0.008069</w:t>
            </w:r>
          </w:p>
        </w:tc>
        <w:tc>
          <w:tcPr>
            <w:tcW w:type="dxa" w:w="1728"/>
          </w:tcPr>
          <w:p>
            <w:r>
              <w:rPr>
                <w:rFonts w:ascii="Calibri" w:hAnsi="Calibri"/>
                <w:color w:val="000000"/>
                <w:sz w:val="24"/>
              </w:rPr>
              <w:t>0.007111</w:t>
            </w:r>
          </w:p>
        </w:tc>
      </w:tr>
    </w:tbl>
    <w:p/>
    <w:p>
      <w:r>
        <w:rPr>
          <w:rFonts w:ascii="Calibri" w:hAnsi="Calibri"/>
          <w:color w:val="000000"/>
          <w:sz w:val="24"/>
        </w:rPr>
        <w:t>Figures 4-6 and the table compare each forecast path with the realised outcomes. Each figure uses the same convention: the solid black line is the realised holdout inflation path, the dashed line is the model forecast, and the shaded regions show the model's 68% and 95% forecast intervals.</w:t>
      </w:r>
    </w:p>
    <w:p>
      <w:r>
        <w:rPr>
          <w:rFonts w:ascii="Calibri" w:hAnsi="Calibri"/>
          <w:color w:val="000000"/>
          <w:sz w:val="24"/>
        </w:rPr>
        <w:t>As in Question 2, the reported values are quarterly log inflation rates. Multiplying by 100 gives approximate quarterly percentages, so the 2024Q1 actual value of 0.007964 is about 0.80%.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4"/>
              </w:rPr>
              <w:t>Model</w:t>
            </w:r>
          </w:p>
        </w:tc>
        <w:tc>
          <w:tcPr>
            <w:tcW w:type="dxa" w:w="2160"/>
          </w:tcPr>
          <w:p>
            <w:r>
              <w:rPr>
                <w:rFonts w:ascii="Calibri" w:hAnsi="Calibri"/>
                <w:b/>
                <w:color w:val="000000"/>
                <w:sz w:val="24"/>
              </w:rPr>
              <w:t>MSFE</w:t>
            </w:r>
          </w:p>
        </w:tc>
        <w:tc>
          <w:tcPr>
            <w:tcW w:type="dxa" w:w="2160"/>
          </w:tcPr>
          <w:p>
            <w:r>
              <w:rPr>
                <w:rFonts w:ascii="Calibri" w:hAnsi="Calibri"/>
                <w:b/>
                <w:color w:val="000000"/>
                <w:sz w:val="24"/>
              </w:rPr>
              <w:t>RMSFE</w:t>
            </w:r>
          </w:p>
        </w:tc>
        <w:tc>
          <w:tcPr>
            <w:tcW w:type="dxa" w:w="2160"/>
          </w:tcPr>
          <w:p>
            <w:r>
              <w:rPr>
                <w:rFonts w:ascii="Calibri" w:hAnsi="Calibri"/>
                <w:b/>
                <w:color w:val="000000"/>
                <w:sz w:val="24"/>
              </w:rPr>
              <w:t>MAE</w:t>
            </w:r>
          </w:p>
        </w:tc>
      </w:tr>
      <w:tr>
        <w:tc>
          <w:tcPr>
            <w:tcW w:type="dxa" w:w="2160"/>
          </w:tcPr>
          <w:p>
            <w:r>
              <w:rPr>
                <w:rFonts w:ascii="Calibri" w:hAnsi="Calibri"/>
                <w:color w:val="000000"/>
                <w:sz w:val="24"/>
              </w:rPr>
              <w:t>ARIMA(2,0,10)</w:t>
            </w:r>
          </w:p>
        </w:tc>
        <w:tc>
          <w:tcPr>
            <w:tcW w:type="dxa" w:w="2160"/>
          </w:tcPr>
          <w:p>
            <w:r>
              <w:rPr>
                <w:rFonts w:ascii="Calibri" w:hAnsi="Calibri"/>
                <w:color w:val="000000"/>
                <w:sz w:val="24"/>
              </w:rPr>
              <w:t>8.5454e-07</w:t>
            </w:r>
          </w:p>
        </w:tc>
        <w:tc>
          <w:tcPr>
            <w:tcW w:type="dxa" w:w="2160"/>
          </w:tcPr>
          <w:p>
            <w:r>
              <w:rPr>
                <w:rFonts w:ascii="Calibri" w:hAnsi="Calibri"/>
                <w:color w:val="000000"/>
                <w:sz w:val="24"/>
              </w:rPr>
              <w:t>0.000924</w:t>
            </w:r>
          </w:p>
        </w:tc>
        <w:tc>
          <w:tcPr>
            <w:tcW w:type="dxa" w:w="2160"/>
          </w:tcPr>
          <w:p>
            <w:r>
              <w:rPr>
                <w:rFonts w:ascii="Calibri" w:hAnsi="Calibri"/>
                <w:color w:val="000000"/>
                <w:sz w:val="24"/>
              </w:rPr>
              <w:t>0.000812</w:t>
            </w:r>
          </w:p>
        </w:tc>
      </w:tr>
      <w:tr>
        <w:tc>
          <w:tcPr>
            <w:tcW w:type="dxa" w:w="2160"/>
          </w:tcPr>
          <w:p>
            <w:r>
              <w:rPr>
                <w:rFonts w:ascii="Calibri" w:hAnsi="Calibri"/>
                <w:color w:val="000000"/>
                <w:sz w:val="24"/>
              </w:rPr>
              <w:t>ARIMA(4,0,9)</w:t>
            </w:r>
          </w:p>
        </w:tc>
        <w:tc>
          <w:tcPr>
            <w:tcW w:type="dxa" w:w="2160"/>
          </w:tcPr>
          <w:p>
            <w:r>
              <w:rPr>
                <w:rFonts w:ascii="Calibri" w:hAnsi="Calibri"/>
                <w:color w:val="000000"/>
                <w:sz w:val="24"/>
              </w:rPr>
              <w:t>1.0708e-06</w:t>
            </w:r>
          </w:p>
        </w:tc>
        <w:tc>
          <w:tcPr>
            <w:tcW w:type="dxa" w:w="2160"/>
          </w:tcPr>
          <w:p>
            <w:r>
              <w:rPr>
                <w:rFonts w:ascii="Calibri" w:hAnsi="Calibri"/>
                <w:color w:val="000000"/>
                <w:sz w:val="24"/>
              </w:rPr>
              <w:t>0.001035</w:t>
            </w:r>
          </w:p>
        </w:tc>
        <w:tc>
          <w:tcPr>
            <w:tcW w:type="dxa" w:w="2160"/>
          </w:tcPr>
          <w:p>
            <w:r>
              <w:rPr>
                <w:rFonts w:ascii="Calibri" w:hAnsi="Calibri"/>
                <w:color w:val="000000"/>
                <w:sz w:val="24"/>
              </w:rPr>
              <w:t>0.000892</w:t>
            </w:r>
          </w:p>
        </w:tc>
      </w:tr>
      <w:tr>
        <w:tc>
          <w:tcPr>
            <w:tcW w:type="dxa" w:w="2160"/>
          </w:tcPr>
          <w:p>
            <w:r>
              <w:rPr>
                <w:rFonts w:ascii="Calibri" w:hAnsi="Calibri"/>
                <w:color w:val="000000"/>
                <w:sz w:val="24"/>
              </w:rPr>
              <w:t>ARIMA(2,0,9)</w:t>
            </w:r>
          </w:p>
        </w:tc>
        <w:tc>
          <w:tcPr>
            <w:tcW w:type="dxa" w:w="2160"/>
          </w:tcPr>
          <w:p>
            <w:r>
              <w:rPr>
                <w:rFonts w:ascii="Calibri" w:hAnsi="Calibri"/>
                <w:color w:val="000000"/>
                <w:sz w:val="24"/>
              </w:rPr>
              <w:t>3.5118e-07</w:t>
            </w:r>
          </w:p>
        </w:tc>
        <w:tc>
          <w:tcPr>
            <w:tcW w:type="dxa" w:w="2160"/>
          </w:tcPr>
          <w:p>
            <w:r>
              <w:rPr>
                <w:rFonts w:ascii="Calibri" w:hAnsi="Calibri"/>
                <w:color w:val="000000"/>
                <w:sz w:val="24"/>
              </w:rPr>
              <w:t>0.000593</w:t>
            </w:r>
          </w:p>
        </w:tc>
        <w:tc>
          <w:tcPr>
            <w:tcW w:type="dxa" w:w="2160"/>
          </w:tcPr>
          <w:p>
            <w:r>
              <w:rPr>
                <w:rFonts w:ascii="Calibri" w:hAnsi="Calibri"/>
                <w:color w:val="000000"/>
                <w:sz w:val="24"/>
              </w:rPr>
              <w:t>0.000503</w:t>
            </w:r>
          </w:p>
        </w:tc>
      </w:tr>
    </w:tbl>
    <w:p/>
    <w:p>
      <w:r>
        <w:rPr>
          <w:rFonts w:ascii="Calibri" w:hAnsi="Calibri"/>
          <w:color w:val="000000"/>
          <w:sz w:val="24"/>
        </w:rPr>
        <w:t>The forecast errors are smaller than under the earlier lower-order specifications. ARIMA(2,0,10) slightly under-predicts inflation in the middle of the holdout period but stays close overall. ARIMA(4,0,9) and ARIMA(2,0,9) slightly over-predict in the later quarters, but their errors remain modest.</w:t>
      </w:r>
    </w:p>
    <w:p>
      <w:r>
        <w:rPr>
          <w:rFonts w:ascii="Calibri" w:hAnsi="Calibri"/>
          <w:color w:val="000000"/>
          <w:sz w:val="24"/>
        </w:rPr>
        <w:t>The relative forecast performance ranks ARIMA(2,0,9) first, ARIMA(2,0,10) second, and ARIMA(4,0,9) third. ARIMA(2,0,9) has the lowest MSFE, RMSFE, and MAE, with an RMSFE of 0.000593, or about 0.059 percentage points of quarterly inflation. ARIMA(2,0,10) was the strongest in-sample model by AIC, but ARIMA(2,0,9) performs better out of sample. This shows why the forecast evaluation in Question 3 is not redundant: in-sample information criteria and holdout forecast performance need not rank models identically.</w:t>
      </w:r>
    </w:p>
    <w:p>
      <w:r>
        <w:rPr>
          <w:rFonts w:ascii="Calibri" w:hAnsi="Calibri"/>
          <w:color w:val="000000"/>
          <w:sz w:val="24"/>
        </w:rPr>
        <w:t>The errors suggest that the no-constant high-order ARMA models track the 2024–2025 inflation path reasonably well, but none is perfect. The best out-of-sample performance comes from the model whose forecasts are flexible enough to follow the lower realised inflation path without projecting too much persistence into the holdout period.</w:t>
      </w:r>
    </w:p>
    <w:p>
      <w:r>
        <w:br w:type="page"/>
      </w:r>
    </w:p>
    <w:p>
      <w:pPr>
        <w:pStyle w:val="Heading2"/>
      </w:pPr>
      <w:r>
        <w:t>Question 4</w:t>
      </w:r>
    </w:p>
    <w:p>
      <w:pPr>
        <w:pStyle w:val="Heading3"/>
      </w:pPr>
      <w:r>
        <w:t>4(a) Real Interest Rate</w:t>
      </w:r>
    </w:p>
    <w:p>
      <w:pPr>
        <w:jc w:val="center"/>
      </w:pPr>
      <w:r>
        <w:drawing>
          <wp:inline xmlns:a="http://schemas.openxmlformats.org/drawingml/2006/main" xmlns:pic="http://schemas.openxmlformats.org/drawingml/2006/picture">
            <wp:extent cx="5852160" cy="3316224"/>
            <wp:docPr id="7" name="Picture 7"/>
            <wp:cNvGraphicFramePr>
              <a:graphicFrameLocks noChangeAspect="1"/>
            </wp:cNvGraphicFramePr>
            <a:graphic>
              <a:graphicData uri="http://schemas.openxmlformats.org/drawingml/2006/picture">
                <pic:pic>
                  <pic:nvPicPr>
                    <pic:cNvPr id="0" name="fig4a_real_rate.png"/>
                    <pic:cNvPicPr/>
                  </pic:nvPicPr>
                  <pic:blipFill>
                    <a:blip r:embed="rId15"/>
                    <a:stretch>
                      <a:fillRect/>
                    </a:stretch>
                  </pic:blipFill>
                  <pic:spPr>
                    <a:xfrm>
                      <a:off x="0" y="0"/>
                      <a:ext cx="5852160" cy="3316224"/>
                    </a:xfrm>
                    <a:prstGeom prst="rect"/>
                  </pic:spPr>
                </pic:pic>
              </a:graphicData>
            </a:graphic>
          </wp:inline>
        </w:drawing>
      </w:r>
    </w:p>
    <w:p>
      <w:pPr>
        <w:jc w:val="center"/>
      </w:pPr>
      <w:r>
        <w:rPr>
          <w:rFonts w:ascii="Calibri" w:hAnsi="Calibri"/>
          <w:color w:val="000000"/>
          <w:sz w:val="24"/>
        </w:rPr>
        <w:t>Figure 7</w:t>
      </w:r>
    </w:p>
    <w:p>
      <w:r>
        <w:rPr>
          <w:rFonts w:ascii="Calibri" w:hAnsi="Calibri"/>
          <w:color w:val="000000"/>
          <w:sz w:val="24"/>
        </w:rPr>
        <w:t>The real interest rate proxy is defined as:</w:t>
      </w:r>
    </w:p>
    <w:p>
      <w:pPr>
        <w:jc w:val="center"/>
      </w:pPr>
      <m:oMath>
        <m:sSub>
          <m:e>
            <m:r>
              <m:t>rr</m:t>
            </m:r>
          </m:e>
          <m:sub>
            <m:r>
              <m:t>t</m:t>
            </m:r>
          </m:sub>
        </m:sSub>
        <m:r>
          <m:t> = </m:t>
        </m:r>
        <m:sSub>
          <m:e>
            <m:r>
              <m:t>r</m:t>
            </m:r>
          </m:e>
          <m:sub>
            <m:r>
              <m:t>t</m:t>
            </m:r>
          </m:sub>
        </m:sSub>
        <m:r>
          <m:t> − 100</m:t>
        </m:r>
        <m:r>
          <m:t>Δ</m:t>
        </m:r>
        <m:sSub>
          <m:e>
            <m:r>
              <m:t>p</m:t>
            </m:r>
          </m:e>
          <m:sub>
            <m:r>
              <m:t>t</m:t>
            </m:r>
          </m:sub>
        </m:sSub>
      </m:oMath>
    </w:p>
    <w:p>
      <w:r>
        <w:rPr>
          <w:rFonts w:ascii="Calibri" w:hAnsi="Calibri"/>
          <w:color w:val="000000"/>
          <w:sz w:val="24"/>
        </w:rPr>
        <w:t xml:space="preserve">Because </w:t>
      </w:r>
      <m:oMath>
        <m:sSub>
          <m:e>
            <m:r>
              <m:t>r</m:t>
            </m:r>
          </m:e>
          <m:sub>
            <m:r>
              <m:t>t</m:t>
            </m:r>
          </m:sub>
        </m:sSub>
      </m:oMath>
      <w:r>
        <w:rPr>
          <w:rFonts w:ascii="Calibri" w:hAnsi="Calibri"/>
          <w:color w:val="000000"/>
          <w:sz w:val="24"/>
        </w:rPr>
        <w:t xml:space="preserve"> is measured in percentage points and </w:t>
      </w:r>
      <m:oMath>
        <m:r>
          <m:t>Δ</m:t>
        </m:r>
        <m:sSub>
          <m:e>
            <m:r>
              <m:t>p</m:t>
            </m:r>
          </m:e>
          <m:sub>
            <m:r>
              <m:t>t</m:t>
            </m:r>
          </m:sub>
        </m:sSub>
      </m:oMath>
      <w:r>
        <w:rPr>
          <w:rFonts w:ascii="Calibri" w:hAnsi="Calibri"/>
          <w:color w:val="000000"/>
          <w:sz w:val="24"/>
        </w:rPr>
        <w:t xml:space="preserve"> is a log difference, I construct the plotted and modelled real-rate proxy as </w:t>
      </w:r>
      <m:oMath>
        <m:sSub>
          <m:e>
            <m:r>
              <m:t>r</m:t>
            </m:r>
          </m:e>
          <m:sub>
            <m:r>
              <m:t>t</m:t>
            </m:r>
          </m:sub>
        </m:sSub>
        <m:r>
          <m:t> − 100</m:t>
        </m:r>
        <m:r>
          <m:t>Δ</m:t>
        </m:r>
        <m:sSub>
          <m:e>
            <m:r>
              <m:t>p</m:t>
            </m:r>
          </m:e>
          <m:sub>
            <m:r>
              <m:t>t</m:t>
            </m:r>
          </m:sub>
        </m:sSub>
      </m:oMath>
      <w:r>
        <w:rPr>
          <w:rFonts w:ascii="Calibri" w:hAnsi="Calibri"/>
          <w:color w:val="000000"/>
          <w:sz w:val="24"/>
        </w:rPr>
        <w:t>. This follows the economic interpretation of the question and the exemplar approach: inflation must be put into percentage-point units before it is subtracted from the nominal rate. Its sample mean is about 3.42, with a minimum near −1.74 and a maximum of about 12.40.</w:t>
      </w:r>
    </w:p>
    <w:p>
      <w:r>
        <w:rPr>
          <w:rFonts w:ascii="Calibri" w:hAnsi="Calibri"/>
          <w:color w:val="000000"/>
          <w:sz w:val="24"/>
        </w:rPr>
        <w:t xml:space="preserve">Figure 7 plots </w:t>
      </w:r>
      <m:oMath>
        <m:sSub>
          <m:e>
            <m:r>
              <m:t>rr</m:t>
            </m:r>
          </m:e>
          <m:sub>
            <m:r>
              <m:t>t</m:t>
            </m:r>
          </m:sub>
        </m:sSub>
      </m:oMath>
      <w:r>
        <w:rPr>
          <w:rFonts w:ascii="Calibri" w:hAnsi="Calibri"/>
          <w:color w:val="000000"/>
          <w:sz w:val="24"/>
        </w:rPr>
        <w:t xml:space="preserve">, </w:t>
      </w:r>
      <m:oMath>
        <m:sSub>
          <m:e>
            <m:r>
              <m:t>r</m:t>
            </m:r>
          </m:e>
          <m:sub>
            <m:r>
              <m:t>t</m:t>
            </m:r>
          </m:sub>
        </m:sSub>
      </m:oMath>
      <w:r>
        <w:rPr>
          <w:rFonts w:ascii="Calibri" w:hAnsi="Calibri"/>
          <w:color w:val="000000"/>
          <w:sz w:val="24"/>
        </w:rPr>
        <w:t xml:space="preserve">, and </w:t>
      </w:r>
      <m:oMath>
        <m:r>
          <m:t>100</m:t>
        </m:r>
        <m:r>
          <m:t>Δ</m:t>
        </m:r>
        <m:sSub>
          <m:e>
            <m:r>
              <m:t>p</m:t>
            </m:r>
          </m:e>
          <m:sub>
            <m:r>
              <m:t>t</m:t>
            </m:r>
          </m:sub>
        </m:sSub>
      </m:oMath>
      <w:r>
        <w:rPr>
          <w:rFonts w:ascii="Calibri" w:hAnsi="Calibri"/>
          <w:color w:val="000000"/>
          <w:sz w:val="24"/>
        </w:rPr>
        <w:t xml:space="preserve">, followed by a standardised comparison. The real-rate series still inherits the low-frequency movement of the nominal rate, including the build-up into the early 1980s, the long decline afterwards, the near-zero regime through the 2010s, and the post-2021 increase. However, subtracting inflation now has a visible effect. During high-inflation periods, especially the 1970s and early 1980s, </w:t>
      </w:r>
      <m:oMath>
        <m:sSub>
          <m:e>
            <m:r>
              <m:t>rr</m:t>
            </m:r>
          </m:e>
          <m:sub>
            <m:r>
              <m:t>t</m:t>
            </m:r>
          </m:sub>
        </m:sSub>
      </m:oMath>
      <w:r>
        <w:rPr>
          <w:rFonts w:ascii="Calibri" w:hAnsi="Calibri"/>
          <w:color w:val="000000"/>
          <w:sz w:val="24"/>
        </w:rPr>
        <w:t xml:space="preserve"> sits below </w:t>
      </w:r>
      <m:oMath>
        <m:sSub>
          <m:e>
            <m:r>
              <m:t>r</m:t>
            </m:r>
          </m:e>
          <m:sub>
            <m:r>
              <m:t>t</m:t>
            </m:r>
          </m:sub>
        </m:sSub>
      </m:oMath>
      <w:r>
        <w:rPr>
          <w:rFonts w:ascii="Calibri" w:hAnsi="Calibri"/>
          <w:color w:val="000000"/>
          <w:sz w:val="24"/>
        </w:rPr>
        <w:t>; when inflation is low or negative, the gap narrows or reverses.</w:t>
      </w:r>
    </w:p>
    <w:p>
      <w:r>
        <w:rPr>
          <w:rFonts w:ascii="Calibri" w:hAnsi="Calibri"/>
          <w:color w:val="000000"/>
          <w:sz w:val="24"/>
        </w:rPr>
        <w:t xml:space="preserve">Compared with inflation, </w:t>
      </w:r>
      <m:oMath>
        <m:sSub>
          <m:e>
            <m:r>
              <m:t>rr</m:t>
            </m:r>
          </m:e>
          <m:sub>
            <m:r>
              <m:t>t</m:t>
            </m:r>
          </m:sub>
        </m:sSub>
      </m:oMath>
      <w:r>
        <w:rPr>
          <w:rFonts w:ascii="Calibri" w:hAnsi="Calibri"/>
          <w:color w:val="000000"/>
          <w:sz w:val="24"/>
        </w:rPr>
        <w:t xml:space="preserve"> is much less stable because it has larger and more persistent low-frequency swings. </w:t>
      </w:r>
      <m:oMath>
        <m:r>
          <m:t>100</m:t>
        </m:r>
        <m:r>
          <m:t>Δ</m:t>
        </m:r>
        <m:sSub>
          <m:e>
            <m:r>
              <m:t>p</m:t>
            </m:r>
          </m:e>
          <m:sub>
            <m:r>
              <m:t>t</m:t>
            </m:r>
          </m:sub>
        </m:sSub>
      </m:oMath>
      <w:r>
        <w:rPr>
          <w:rFonts w:ascii="Calibri" w:hAnsi="Calibri"/>
          <w:color w:val="000000"/>
          <w:sz w:val="24"/>
        </w:rPr>
        <w:t xml:space="preserve"> ranges from about −0.35 to 3.59 percentage points, whereas </w:t>
      </w:r>
      <m:oMath>
        <m:sSub>
          <m:e>
            <m:r>
              <m:t>rr</m:t>
            </m:r>
          </m:e>
          <m:sub>
            <m:r>
              <m:t>t</m:t>
            </m:r>
          </m:sub>
        </m:sSub>
      </m:oMath>
      <w:r>
        <w:rPr>
          <w:rFonts w:ascii="Calibri" w:hAnsi="Calibri"/>
          <w:color w:val="000000"/>
          <w:sz w:val="24"/>
        </w:rPr>
        <w:t xml:space="preserve"> ranges from about −1.74 to 12.40. Compared with the nominal rate, </w:t>
      </w:r>
      <m:oMath>
        <m:sSub>
          <m:e>
            <m:r>
              <m:t>rr</m:t>
            </m:r>
          </m:e>
          <m:sub>
            <m:r>
              <m:t>t</m:t>
            </m:r>
          </m:sub>
        </m:sSub>
      </m:oMath>
      <w:r>
        <w:rPr>
          <w:rFonts w:ascii="Calibri" w:hAnsi="Calibri"/>
          <w:color w:val="000000"/>
          <w:sz w:val="24"/>
        </w:rPr>
        <w:t xml:space="preserve"> is slightly more stable: its standard deviation is about 2.71, compared with about 3.14 for </w:t>
      </w:r>
      <m:oMath>
        <m:sSub>
          <m:e>
            <m:r>
              <m:t>r</m:t>
            </m:r>
          </m:e>
          <m:sub>
            <m:r>
              <m:t>t</m:t>
            </m:r>
          </m:sub>
        </m:sSub>
      </m:oMath>
      <w:r>
        <w:rPr>
          <w:rFonts w:ascii="Calibri" w:hAnsi="Calibri"/>
          <w:color w:val="000000"/>
          <w:sz w:val="24"/>
        </w:rPr>
        <w:t>. The evidence therefore suggests that the real rate is somewhat less volatile than the nominal rate after removing inflation, but still much less stable than inflation itself.</w:t>
      </w:r>
    </w:p>
    <w:p>
      <w:pPr>
        <w:pStyle w:val="Heading3"/>
      </w:pPr>
      <w:r>
        <w:t>4(b) Consumption Ratio</w:t>
      </w:r>
    </w:p>
    <w:p>
      <w:pPr>
        <w:jc w:val="center"/>
      </w:pPr>
      <w:r>
        <w:drawing>
          <wp:inline xmlns:a="http://schemas.openxmlformats.org/drawingml/2006/main" xmlns:pic="http://schemas.openxmlformats.org/drawingml/2006/picture">
            <wp:extent cx="5852160" cy="1950720"/>
            <wp:docPr id="8" name="Picture 8"/>
            <wp:cNvGraphicFramePr>
              <a:graphicFrameLocks noChangeAspect="1"/>
            </wp:cNvGraphicFramePr>
            <a:graphic>
              <a:graphicData uri="http://schemas.openxmlformats.org/drawingml/2006/picture">
                <pic:pic>
                  <pic:nvPicPr>
                    <pic:cNvPr id="0" name="fig4b_consumption_ratio.png"/>
                    <pic:cNvPicPr/>
                  </pic:nvPicPr>
                  <pic:blipFill>
                    <a:blip r:embed="rId16"/>
                    <a:stretch>
                      <a:fillRect/>
                    </a:stretch>
                  </pic:blipFill>
                  <pic:spPr>
                    <a:xfrm>
                      <a:off x="0" y="0"/>
                      <a:ext cx="5852160" cy="1950720"/>
                    </a:xfrm>
                    <a:prstGeom prst="rect"/>
                  </pic:spPr>
                </pic:pic>
              </a:graphicData>
            </a:graphic>
          </wp:inline>
        </w:drawing>
      </w:r>
    </w:p>
    <w:p>
      <w:pPr>
        <w:jc w:val="center"/>
      </w:pPr>
      <w:r>
        <w:rPr>
          <w:rFonts w:ascii="Calibri" w:hAnsi="Calibri"/>
          <w:color w:val="000000"/>
          <w:sz w:val="24"/>
        </w:rPr>
        <w:t>Figure 8</w:t>
      </w:r>
    </w:p>
    <w:p>
      <w:r>
        <w:rPr>
          <w:rFonts w:ascii="Calibri" w:hAnsi="Calibri"/>
          <w:color w:val="000000"/>
          <w:sz w:val="24"/>
        </w:rPr>
        <w:t>The consumption ratio is:</w:t>
      </w:r>
    </w:p>
    <w:p>
      <w:pPr>
        <w:jc w:val="center"/>
      </w:pPr>
      <m:oMath>
        <m:sSub>
          <m:e>
            <m:r>
              <m:t>cy</m:t>
            </m:r>
          </m:e>
          <m:sub>
            <m:r>
              <m:t>t</m:t>
            </m:r>
          </m:sub>
        </m:sSub>
        <m:r>
          <m:t> = </m:t>
        </m:r>
        <m:sSub>
          <m:e>
            <m:r>
              <m:t>C</m:t>
            </m:r>
          </m:e>
          <m:sub>
            <m:r>
              <m:t>t</m:t>
            </m:r>
          </m:sub>
        </m:sSub>
        <m:r>
          <m:t>/</m:t>
        </m:r>
        <m:sSub>
          <m:e>
            <m:r>
              <m:t>Y</m:t>
            </m:r>
          </m:e>
          <m:sub>
            <m:r>
              <m:t>t</m:t>
            </m:r>
          </m:sub>
        </m:sSub>
      </m:oMath>
    </w:p>
    <w:p>
      <w:r>
        <w:rPr>
          <w:rFonts w:ascii="Calibri" w:hAnsi="Calibri"/>
          <w:color w:val="000000"/>
          <w:sz w:val="24"/>
        </w:rPr>
        <w:t>The dominant feature of the plot is a long-run upward drift. The ratio rises from about 0.590 early in the sample to about 0.693 by 2023Q4, with relatively small short-run fluctuations around that path.</w:t>
      </w:r>
    </w:p>
    <w:p>
      <w:r>
        <w:rPr>
          <w:rFonts w:ascii="Calibri" w:hAnsi="Calibri"/>
          <w:color w:val="000000"/>
          <w:sz w:val="24"/>
        </w:rPr>
        <w:t>The economic interpretation is that consumption has grown faster than output over the sample, so household spending takes up a larger share of GDP. The key pattern is the slow increase in the consumption share over time, not short-run volatility.</w:t>
      </w:r>
    </w:p>
    <w:p>
      <w:pPr>
        <w:pStyle w:val="Heading3"/>
      </w:pPr>
      <w:r>
        <w:t>4(c) Best Adequate ARIMA Model for the Real Rate</w:t>
      </w:r>
    </w:p>
    <w:p>
      <w:r>
        <w:rPr>
          <w:rFonts w:ascii="Calibri" w:hAnsi="Calibri"/>
          <w:color w:val="000000"/>
          <w:sz w:val="24"/>
        </w:rPr>
        <w:t xml:space="preserve">For </w:t>
      </w:r>
      <m:oMath>
        <m:sSub>
          <m:e>
            <m:r>
              <m:t>rr</m:t>
            </m:r>
          </m:e>
          <m:sub>
            <m:r>
              <m:t>t</m:t>
            </m:r>
          </m:sub>
        </m:sSub>
      </m:oMath>
      <w:r>
        <w:rPr>
          <w:rFonts w:ascii="Calibri" w:hAnsi="Calibri"/>
          <w:color w:val="000000"/>
          <w:sz w:val="24"/>
        </w:rPr>
        <w:t xml:space="preserve">, I searched ARIMA models over </w:t>
      </w:r>
      <m:oMath>
        <m:r>
          <m:t>p</m:t>
        </m:r>
        <m:r>
          <m:t>, </m:t>
        </m:r>
        <m:r>
          <m:t>q</m:t>
        </m:r>
        <m:r>
          <m:t> = 0,...,10</m:t>
        </m:r>
      </m:oMath>
      <w:r>
        <w:rPr>
          <w:rFonts w:ascii="Calibri" w:hAnsi="Calibri"/>
          <w:color w:val="000000"/>
          <w:sz w:val="24"/>
        </w:rPr>
        <w:t xml:space="preserve">, </w:t>
      </w:r>
      <m:oMath>
        <m:r>
          <m:t>d</m:t>
        </m:r>
        <m:r>
          <m:t> ∈ {0,1}</m:t>
        </m:r>
      </m:oMath>
      <w:r>
        <w:rPr>
          <w:rFonts w:ascii="Calibri" w:hAnsi="Calibri"/>
          <w:color w:val="000000"/>
          <w:sz w:val="24"/>
        </w:rPr>
        <w:t>, and allowed specifications with or without deterministic terms. Candidate models were ranked by AIC and BIC and then checked using Ljung-Box residual tests at several lags. Following the lecturer's guidance, I focus mainly on lower and moderate diagnostic lags rather than relying only on very high-lag tests. The best adequate model under both AIC and BIC is a differenced specification with no constant or deterministic trend: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4"/>
              </w:rPr>
              <w:t>Model for the real rate</w:t>
            </w:r>
          </w:p>
        </w:tc>
        <w:tc>
          <w:tcPr>
            <w:tcW w:type="dxa" w:w="2160"/>
          </w:tcPr>
          <w:p>
            <w:r>
              <w:rPr>
                <w:rFonts w:ascii="Calibri" w:hAnsi="Calibri"/>
                <w:b/>
                <w:color w:val="000000"/>
                <w:sz w:val="24"/>
              </w:rPr>
              <w:t>AIC</w:t>
            </w:r>
          </w:p>
        </w:tc>
        <w:tc>
          <w:tcPr>
            <w:tcW w:type="dxa" w:w="2160"/>
          </w:tcPr>
          <w:p>
            <w:r>
              <w:rPr>
                <w:rFonts w:ascii="Calibri" w:hAnsi="Calibri"/>
                <w:b/>
                <w:color w:val="000000"/>
                <w:sz w:val="24"/>
              </w:rPr>
              <w:t>BIC</w:t>
            </w:r>
          </w:p>
        </w:tc>
        <w:tc>
          <w:tcPr>
            <w:tcW w:type="dxa" w:w="2160"/>
          </w:tcPr>
          <w:p>
            <w:r>
              <w:rPr>
                <w:rFonts w:ascii="Calibri" w:hAnsi="Calibri"/>
                <w:b/>
                <w:color w:val="000000"/>
                <w:sz w:val="24"/>
              </w:rPr>
              <w:t>Ljung-Box p-value</w:t>
            </w:r>
          </w:p>
        </w:tc>
      </w:tr>
      <w:tr>
        <w:tc>
          <w:tcPr>
            <w:tcW w:type="dxa" w:w="2160"/>
          </w:tcPr>
          <w:p>
            <w:r>
              <w:rPr>
                <w:rFonts w:ascii="Calibri" w:hAnsi="Calibri"/>
                <w:color w:val="000000"/>
                <w:sz w:val="24"/>
              </w:rPr>
              <w:t>ARIMA(7,1,1)</w:t>
            </w:r>
          </w:p>
        </w:tc>
        <w:tc>
          <w:tcPr>
            <w:tcW w:type="dxa" w:w="2160"/>
          </w:tcPr>
          <w:p>
            <w:r>
              <w:rPr>
                <w:rFonts w:ascii="Calibri" w:hAnsi="Calibri"/>
                <w:color w:val="000000"/>
                <w:sz w:val="24"/>
              </w:rPr>
              <w:t>460.64</w:t>
            </w:r>
          </w:p>
        </w:tc>
        <w:tc>
          <w:tcPr>
            <w:tcW w:type="dxa" w:w="2160"/>
          </w:tcPr>
          <w:p>
            <w:r>
              <w:rPr>
                <w:rFonts w:ascii="Calibri" w:hAnsi="Calibri"/>
                <w:color w:val="000000"/>
                <w:sz w:val="24"/>
              </w:rPr>
              <w:t>492.62</w:t>
            </w:r>
          </w:p>
        </w:tc>
        <w:tc>
          <w:tcPr>
            <w:tcW w:type="dxa" w:w="2160"/>
          </w:tcPr>
          <w:p>
            <w:r>
              <w:rPr>
                <w:rFonts w:ascii="Calibri" w:hAnsi="Calibri"/>
                <w:color w:val="000000"/>
                <w:sz w:val="24"/>
              </w:rPr>
              <w:t>0.9883</w:t>
            </w:r>
          </w:p>
        </w:tc>
      </w:tr>
    </w:tbl>
    <w:p/>
    <w:p>
      <w:r>
        <w:rPr>
          <w:rFonts w:ascii="Calibri" w:hAnsi="Calibri"/>
          <w:color w:val="000000"/>
          <w:sz w:val="24"/>
        </w:rPr>
        <w:t xml:space="preserve">Key estimated coefficients include </w:t>
      </w:r>
      <m:oMath>
        <m:r>
          <m:t>φ</m:t>
        </m:r>
        <m:r>
          <m:t>₁ = −0.3903</m:t>
        </m:r>
      </m:oMath>
      <w:r>
        <w:rPr>
          <w:rFonts w:ascii="Calibri" w:hAnsi="Calibri"/>
          <w:color w:val="000000"/>
          <w:sz w:val="24"/>
        </w:rPr>
        <w:t xml:space="preserve">, </w:t>
      </w:r>
      <m:oMath>
        <m:r>
          <m:t>φ</m:t>
        </m:r>
        <m:r>
          <m:t>₂ = −0.0436</m:t>
        </m:r>
      </m:oMath>
      <w:r>
        <w:rPr>
          <w:rFonts w:ascii="Calibri" w:hAnsi="Calibri"/>
          <w:color w:val="000000"/>
          <w:sz w:val="24"/>
        </w:rPr>
        <w:t xml:space="preserve">, </w:t>
      </w:r>
      <m:oMath>
        <m:r>
          <m:t>φ</m:t>
        </m:r>
        <m:r>
          <m:t>₃ = 0.0139</m:t>
        </m:r>
      </m:oMath>
      <w:r>
        <w:rPr>
          <w:rFonts w:ascii="Calibri" w:hAnsi="Calibri"/>
          <w:color w:val="000000"/>
          <w:sz w:val="24"/>
        </w:rPr>
        <w:t xml:space="preserve">, </w:t>
      </w:r>
      <m:oMath>
        <m:r>
          <m:t>φ</m:t>
        </m:r>
        <m:r>
          <m:t>₄ = 0.1161</m:t>
        </m:r>
      </m:oMath>
      <w:r>
        <w:rPr>
          <w:rFonts w:ascii="Calibri" w:hAnsi="Calibri"/>
          <w:color w:val="000000"/>
          <w:sz w:val="24"/>
        </w:rPr>
        <w:t xml:space="preserve">, </w:t>
      </w:r>
      <m:oMath>
        <m:r>
          <m:t>φ</m:t>
        </m:r>
        <m:r>
          <m:t>₅ = −0.0069</m:t>
        </m:r>
      </m:oMath>
      <w:r>
        <w:rPr>
          <w:rFonts w:ascii="Calibri" w:hAnsi="Calibri"/>
          <w:color w:val="000000"/>
          <w:sz w:val="24"/>
        </w:rPr>
        <w:t xml:space="preserve">, </w:t>
      </w:r>
      <m:oMath>
        <m:r>
          <m:t>φ</m:t>
        </m:r>
        <m:r>
          <m:t>₆ = 0.0618</m:t>
        </m:r>
      </m:oMath>
      <w:r>
        <w:rPr>
          <w:rFonts w:ascii="Calibri" w:hAnsi="Calibri"/>
          <w:color w:val="000000"/>
          <w:sz w:val="24"/>
        </w:rPr>
        <w:t xml:space="preserve">, </w:t>
      </w:r>
      <m:oMath>
        <m:r>
          <m:t>φ</m:t>
        </m:r>
        <m:r>
          <m:t>₇ = −0.3217</m:t>
        </m:r>
      </m:oMath>
      <w:r>
        <w:rPr>
          <w:rFonts w:ascii="Calibri" w:hAnsi="Calibri"/>
          <w:color w:val="000000"/>
          <w:sz w:val="24"/>
        </w:rPr>
        <w:t xml:space="preserve">, and </w:t>
      </w:r>
      <m:oMath>
        <m:r>
          <m:t>θ</m:t>
        </m:r>
        <m:r>
          <m:t>₁ = 0.8640</m:t>
        </m:r>
      </m:oMath>
      <w:r>
        <w:rPr>
          <w:rFonts w:ascii="Calibri" w:hAnsi="Calibri"/>
          <w:color w:val="000000"/>
          <w:sz w:val="24"/>
        </w:rPr>
        <w:t>.</w:t>
      </w:r>
    </w:p>
    <w:p>
      <w:r>
        <w:rPr>
          <w:rFonts w:ascii="Calibri" w:hAnsi="Calibri"/>
          <w:color w:val="000000"/>
          <w:sz w:val="24"/>
        </w:rPr>
        <w:t xml:space="preserve">This is selected because it has the lowest AIC and BIC among the adequate candidates. Its Ljung-Box p-values are high at the checked lags: 0.7999 at lag 1, 0.9947 at lag 5, 0.9999 at lag 10, and 0.9883 at lag 20. Thus there is no evidence of important remaining residual autocorrelation. The choice of </w:t>
      </w:r>
      <m:oMath>
        <m:r>
          <m:t>d</m:t>
        </m:r>
        <m:r>
          <m:t> = 1</m:t>
        </m:r>
      </m:oMath>
      <w:r>
        <w:rPr>
          <w:rFonts w:ascii="Calibri" w:hAnsi="Calibri"/>
          <w:color w:val="000000"/>
          <w:sz w:val="24"/>
        </w:rPr>
        <w:t xml:space="preserve"> is consistent with the plot: </w:t>
      </w:r>
      <m:oMath>
        <m:sSub>
          <m:e>
            <m:r>
              <m:t>rr</m:t>
            </m:r>
          </m:e>
          <m:sub>
            <m:r>
              <m:t>t</m:t>
            </m:r>
          </m:sub>
        </m:sSub>
      </m:oMath>
      <w:r>
        <w:rPr>
          <w:rFonts w:ascii="Calibri" w:hAnsi="Calibri"/>
          <w:color w:val="000000"/>
          <w:sz w:val="24"/>
        </w:rPr>
        <w:t xml:space="preserve"> retains slow-moving persistence from the nominal rate, and first differencing removes this low-frequency movement. The AR and MA terms then capture the remaining short-run dynamics.</w:t>
      </w:r>
    </w:p>
    <w:p>
      <w:pPr>
        <w:pStyle w:val="Heading3"/>
      </w:pPr>
      <w:r>
        <w:t>4(d) Best Adequate ARIMA Model for the Consumption Ratio</w:t>
      </w:r>
    </w:p>
    <w:p>
      <w:r>
        <w:rPr>
          <w:rFonts w:ascii="Calibri" w:hAnsi="Calibri"/>
          <w:color w:val="000000"/>
          <w:sz w:val="24"/>
        </w:rPr>
        <w:t xml:space="preserve">A search over </w:t>
      </w:r>
      <m:oMath>
        <m:r>
          <m:t>d</m:t>
        </m:r>
        <m:r>
          <m:t> ∈ {0,1}</m:t>
        </m:r>
      </m:oMath>
      <w:r>
        <w:rPr>
          <w:rFonts w:ascii="Calibri" w:hAnsi="Calibri"/>
          <w:color w:val="000000"/>
          <w:sz w:val="24"/>
        </w:rPr>
        <w:t xml:space="preserve">, </w:t>
      </w:r>
      <m:oMath>
        <m:r>
          <m:t>p</m:t>
        </m:r>
        <m:r>
          <m:t>, </m:t>
        </m:r>
        <m:r>
          <m:t>q</m:t>
        </m:r>
        <m:r>
          <m:t> = 0,...,6</m:t>
        </m:r>
      </m:oMath>
      <w:r>
        <w:rPr>
          <w:rFonts w:ascii="Calibri" w:hAnsi="Calibri"/>
          <w:color w:val="000000"/>
          <w:sz w:val="24"/>
        </w:rPr>
        <w:t xml:space="preserve">, and deterministic terms was carried out using AIC, BIC, and residual diagnostics. The consumption ratio keeps drifting upward through the sample. The preferred model treats this as a deterministic trend in the level of </w:t>
      </w:r>
      <m:oMath>
        <m:sSub>
          <m:e>
            <m:r>
              <m:t>cy</m:t>
            </m:r>
          </m:e>
          <m:sub>
            <m:r>
              <m:t>t</m:t>
            </m:r>
          </m:sub>
        </m:sSub>
      </m:oMath>
      <w:r>
        <w:rPr>
          <w:rFonts w:ascii="Calibri" w:hAnsi="Calibri"/>
          <w:color w:val="000000"/>
          <w:sz w:val="24"/>
        </w:rPr>
        <w:t>, rather than as a stochastic trend requiring differencing: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4"/>
              </w:rPr>
              <w:t>Model for the consumption ratio</w:t>
            </w:r>
          </w:p>
        </w:tc>
        <w:tc>
          <w:tcPr>
            <w:tcW w:type="dxa" w:w="2160"/>
          </w:tcPr>
          <w:p>
            <w:r>
              <w:rPr>
                <w:rFonts w:ascii="Calibri" w:hAnsi="Calibri"/>
                <w:b/>
                <w:color w:val="000000"/>
                <w:sz w:val="24"/>
              </w:rPr>
              <w:t>AIC</w:t>
            </w:r>
          </w:p>
        </w:tc>
        <w:tc>
          <w:tcPr>
            <w:tcW w:type="dxa" w:w="2160"/>
          </w:tcPr>
          <w:p>
            <w:r>
              <w:rPr>
                <w:rFonts w:ascii="Calibri" w:hAnsi="Calibri"/>
                <w:b/>
                <w:color w:val="000000"/>
                <w:sz w:val="24"/>
              </w:rPr>
              <w:t>BIC</w:t>
            </w:r>
          </w:p>
        </w:tc>
        <w:tc>
          <w:tcPr>
            <w:tcW w:type="dxa" w:w="2160"/>
          </w:tcPr>
          <w:p>
            <w:r>
              <w:rPr>
                <w:rFonts w:ascii="Calibri" w:hAnsi="Calibri"/>
                <w:b/>
                <w:color w:val="000000"/>
                <w:sz w:val="24"/>
              </w:rPr>
              <w:t>Ljung-Box p-value</w:t>
            </w:r>
          </w:p>
        </w:tc>
      </w:tr>
      <w:tr>
        <w:tc>
          <w:tcPr>
            <w:tcW w:type="dxa" w:w="2160"/>
          </w:tcPr>
          <w:p>
            <w:r>
              <w:rPr>
                <w:rFonts w:ascii="Calibri" w:hAnsi="Calibri"/>
                <w:color w:val="000000"/>
                <w:sz w:val="24"/>
              </w:rPr>
              <w:t>ARIMA(3,0,2) with constant and trend</w:t>
            </w:r>
          </w:p>
        </w:tc>
        <w:tc>
          <w:tcPr>
            <w:tcW w:type="dxa" w:w="2160"/>
          </w:tcPr>
          <w:p>
            <w:r>
              <w:rPr>
                <w:rFonts w:ascii="Calibri" w:hAnsi="Calibri"/>
                <w:color w:val="000000"/>
                <w:sz w:val="24"/>
              </w:rPr>
              <w:t>−2146.13</w:t>
            </w:r>
          </w:p>
        </w:tc>
        <w:tc>
          <w:tcPr>
            <w:tcW w:type="dxa" w:w="2160"/>
          </w:tcPr>
          <w:p>
            <w:r>
              <w:rPr>
                <w:rFonts w:ascii="Calibri" w:hAnsi="Calibri"/>
                <w:color w:val="000000"/>
                <w:sz w:val="24"/>
              </w:rPr>
              <w:t>−2117.65</w:t>
            </w:r>
          </w:p>
        </w:tc>
        <w:tc>
          <w:tcPr>
            <w:tcW w:type="dxa" w:w="2160"/>
          </w:tcPr>
          <w:p>
            <w:r>
              <w:rPr>
                <w:rFonts w:ascii="Calibri" w:hAnsi="Calibri"/>
                <w:color w:val="000000"/>
                <w:sz w:val="24"/>
              </w:rPr>
              <w:t>0.9799</w:t>
            </w:r>
          </w:p>
        </w:tc>
      </w:tr>
    </w:tbl>
    <w:p/>
    <w:p>
      <w:r>
        <w:rPr>
          <w:rFonts w:ascii="Calibri" w:hAnsi="Calibri"/>
          <w:color w:val="000000"/>
          <w:sz w:val="24"/>
        </w:rPr>
        <w:t xml:space="preserve">Key estimated coefficients: </w:t>
      </w:r>
      <m:oMath>
        <m:r>
          <m:t>φ</m:t>
        </m:r>
        <m:r>
          <m:t>₁ = 0.2502</m:t>
        </m:r>
      </m:oMath>
      <w:r>
        <w:rPr>
          <w:rFonts w:ascii="Calibri" w:hAnsi="Calibri"/>
          <w:color w:val="000000"/>
          <w:sz w:val="24"/>
        </w:rPr>
        <w:t xml:space="preserve">, </w:t>
      </w:r>
      <m:oMath>
        <m:r>
          <m:t>φ</m:t>
        </m:r>
        <m:r>
          <m:t>₂ = 0.4493</m:t>
        </m:r>
      </m:oMath>
      <w:r>
        <w:rPr>
          <w:rFonts w:ascii="Calibri" w:hAnsi="Calibri"/>
          <w:color w:val="000000"/>
          <w:sz w:val="24"/>
        </w:rPr>
        <w:t xml:space="preserve">, </w:t>
      </w:r>
      <m:oMath>
        <m:r>
          <m:t>φ</m:t>
        </m:r>
        <m:r>
          <m:t>₃ = 0.1290</m:t>
        </m:r>
      </m:oMath>
      <w:r>
        <w:rPr>
          <w:rFonts w:ascii="Calibri" w:hAnsi="Calibri"/>
          <w:color w:val="000000"/>
          <w:sz w:val="24"/>
        </w:rPr>
        <w:t xml:space="preserve">, </w:t>
      </w:r>
      <m:oMath>
        <m:r>
          <m:t>θ</m:t>
        </m:r>
        <m:r>
          <m:t>₁ = 0.5221</m:t>
        </m:r>
      </m:oMath>
      <w:r>
        <w:rPr>
          <w:rFonts w:ascii="Calibri" w:hAnsi="Calibri"/>
          <w:color w:val="000000"/>
          <w:sz w:val="24"/>
        </w:rPr>
        <w:t xml:space="preserve">, </w:t>
      </w:r>
      <m:oMath>
        <m:r>
          <m:t>θ</m:t>
        </m:r>
        <m:r>
          <m:t>₂ = 0.0591</m:t>
        </m:r>
      </m:oMath>
      <w:r>
        <w:rPr>
          <w:rFonts w:ascii="Calibri" w:hAnsi="Calibri"/>
          <w:color w:val="000000"/>
          <w:sz w:val="24"/>
        </w:rPr>
        <w:t xml:space="preserve">, </w:t>
      </w:r>
      <m:oMath>
        <m:r>
          <m:t>intercept</m:t>
        </m:r>
        <m:r>
          <m:t> = 0.5976</m:t>
        </m:r>
      </m:oMath>
      <w:r>
        <w:rPr>
          <w:rFonts w:ascii="Calibri" w:hAnsi="Calibri"/>
          <w:color w:val="000000"/>
          <w:sz w:val="24"/>
        </w:rPr>
        <w:t xml:space="preserve">, and </w:t>
      </w:r>
      <m:oMath>
        <m:r>
          <m:t>trend</m:t>
        </m:r>
        <m:r>
          <m:t> = 0.000342</m:t>
        </m:r>
      </m:oMath>
      <w:r>
        <w:rPr>
          <w:rFonts w:ascii="Calibri" w:hAnsi="Calibri"/>
          <w:color w:val="000000"/>
          <w:sz w:val="24"/>
        </w:rPr>
        <w:t>.</w:t>
      </w:r>
    </w:p>
    <w:p>
      <w:r>
        <w:rPr>
          <w:rFonts w:ascii="Calibri" w:hAnsi="Calibri"/>
          <w:color w:val="000000"/>
          <w:sz w:val="24"/>
        </w:rPr>
        <w:t>This model is chosen because it directly matches the dominant feature of the plot: a smooth upward trend with relatively small short-run deviations around that trend. It also passes the residual autocorrelation checks comfortably, with Ljung-Box p-values of 0.9943 at lag 1, 0.9918 at lag 5, 0.9944 at lag 10, and 0.9799 at lag 20. The positive trend coefficient captures the gradual rise in the consumption share, while the ARMA terms capture the remaining serial dependence around that deterministic path.</w:t>
      </w:r>
    </w:p>
    <w:p>
      <w:pPr>
        <w:pStyle w:val="Heading3"/>
      </w:pPr>
      <w:r>
        <w:t>4(e) Policy Use</w:t>
      </w:r>
    </w:p>
    <w:p>
      <w:r>
        <w:rPr>
          <w:rFonts w:ascii="Calibri" w:hAnsi="Calibri"/>
          <w:color w:val="000000"/>
          <w:sz w:val="24"/>
        </w:rPr>
        <w:t xml:space="preserve">The real-rate model is useful for policy because real borrowing costs matter for consumption, investment, and monetary transmission. The ARIMA model captures the persistence and gradual adjustment in </w:t>
      </w:r>
      <m:oMath>
        <m:sSub>
          <m:e>
            <m:r>
              <m:t>rr</m:t>
            </m:r>
          </m:e>
          <m:sub>
            <m:r>
              <m:t>t</m:t>
            </m:r>
          </m:sub>
        </m:sSub>
      </m:oMath>
      <w:r>
        <w:rPr>
          <w:rFonts w:ascii="Calibri" w:hAnsi="Calibri"/>
          <w:color w:val="000000"/>
          <w:sz w:val="24"/>
        </w:rPr>
        <w:t>, which helps describe whether real financing conditions are likely to remain restrictive or accommodative.</w:t>
      </w:r>
    </w:p>
    <w:p>
      <w:r>
        <w:rPr>
          <w:rFonts w:ascii="Calibri" w:hAnsi="Calibri"/>
          <w:color w:val="000000"/>
          <w:sz w:val="24"/>
        </w:rPr>
        <w:t xml:space="preserve">The consumption-ratio model is useful for both monetary and fiscal policy. A rising </w:t>
      </w:r>
      <m:oMath>
        <m:sSub>
          <m:e>
            <m:r>
              <m:t>cy</m:t>
            </m:r>
          </m:e>
          <m:sub>
            <m:r>
              <m:t>t</m:t>
            </m:r>
          </m:sub>
        </m:sSub>
      </m:oMath>
      <w:r>
        <w:rPr>
          <w:rFonts w:ascii="Calibri" w:hAnsi="Calibri"/>
          <w:color w:val="000000"/>
          <w:sz w:val="24"/>
        </w:rPr>
        <w:t xml:space="preserve"> means consumption is becoming a larger share of output. Fiscal policy makers can use this when thinking about taxes and transfers. Monetary policy makers can use it when thinking about how interest-rate changes affect household spending.</w:t>
      </w:r>
    </w:p>
    <w:p>
      <w:r>
        <w:br w:type="page"/>
      </w:r>
    </w:p>
    <w:p>
      <w:pPr>
        <w:pStyle w:val="Heading2"/>
      </w:pPr>
      <w:r>
        <w:t>Question 5</w:t>
      </w:r>
    </w:p>
    <w:p>
      <w:pPr>
        <w:pStyle w:val="Heading3"/>
      </w:pPr>
      <w:r>
        <w:t>5(a) Sample Variances</w:t>
      </w:r>
    </w:p>
    <w:p>
      <w:r>
        <w:rPr>
          <w:rFonts w:ascii="Calibri" w:hAnsi="Calibri"/>
          <w:color w:val="000000"/>
          <w:sz w:val="24"/>
        </w:rPr>
        <w:t>Daily returns are defined as:</w:t>
      </w:r>
    </w:p>
    <w:p>
      <w:pPr>
        <w:jc w:val="center"/>
      </w:pPr>
      <m:oMath>
        <m:sSub>
          <m:e>
            <m:r>
              <m:t>e</m:t>
            </m:r>
          </m:e>
          <m:sub>
            <m:r>
              <m:t>j,t</m:t>
            </m:r>
          </m:sub>
        </m:sSub>
        <m:r>
          <m:t> = 100 × [</m:t>
        </m:r>
        <m:r>
          <m:t>log</m:t>
        </m:r>
        <m:r>
          <m:t>(</m:t>
        </m:r>
        <m:sSub>
          <m:e>
            <m:r>
              <m:t>E</m:t>
            </m:r>
          </m:e>
          <m:sub>
            <m:r>
              <m:t>j,t</m:t>
            </m:r>
          </m:sub>
        </m:sSub>
        <m:r>
          <m:t>) − </m:t>
        </m:r>
        <m:r>
          <m:t>log</m:t>
        </m:r>
        <m:r>
          <m:t>(</m:t>
        </m:r>
        <m:sSub>
          <m:e>
            <m:r>
              <m:t>E</m:t>
            </m:r>
          </m:e>
          <m:sub>
            <m:r>
              <m:t>j,t−1</m:t>
            </m:r>
          </m:sub>
        </m:sSub>
        <m:r>
          <m:t>)]</m:t>
        </m:r>
      </m:oMath>
    </w:p>
    <w:p>
      <w:r>
        <w:rPr>
          <w:rFonts w:ascii="Calibri" w:hAnsi="Calibri"/>
          <w:color w:val="000000"/>
          <w:sz w:val="24"/>
        </w:rPr>
        <w:t xml:space="preserve">for </w:t>
      </w:r>
      <m:oMath>
        <m:r>
          <m:t>j</m:t>
        </m:r>
        <m:r>
          <m:t> ∈ {</m:t>
        </m:r>
        <m:r>
          <m:t>CNY</m:t>
        </m:r>
        <m:r>
          <m:t>, </m:t>
        </m:r>
        <m:r>
          <m:t>USD</m:t>
        </m:r>
        <m:r>
          <m:t>, </m:t>
        </m:r>
        <m:r>
          <m:t>TWI</m:t>
        </m:r>
        <m:r>
          <m:t>, </m:t>
        </m:r>
        <m:r>
          <m:t>SDR</m:t>
        </m:r>
        <m:r>
          <m:t>}</m:t>
        </m:r>
      </m:oMath>
      <w:r>
        <w:rPr>
          <w:rFonts w:ascii="Calibri" w:hAnsi="Calibri"/>
          <w:color w:val="000000"/>
          <w:sz w:val="24"/>
        </w:rPr>
        <w:t>. The sample variances of these return series are:</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4"/>
              </w:rPr>
              <w:t>Currency</w:t>
            </w:r>
          </w:p>
        </w:tc>
        <w:tc>
          <w:tcPr>
            <w:tcW w:type="dxa" w:w="4320"/>
          </w:tcPr>
          <w:p>
            <w:r>
              <w:rPr>
                <w:rFonts w:ascii="Calibri" w:hAnsi="Calibri"/>
                <w:b/>
                <w:color w:val="000000"/>
                <w:sz w:val="24"/>
              </w:rPr>
              <w:t>Sample Variance</w:t>
            </w:r>
          </w:p>
        </w:tc>
      </w:tr>
      <w:tr>
        <w:tc>
          <w:tcPr>
            <w:tcW w:type="dxa" w:w="4320"/>
          </w:tcPr>
          <w:p>
            <w:r>
              <w:rPr>
                <w:rFonts w:ascii="Calibri" w:hAnsi="Calibri"/>
                <w:color w:val="000000"/>
                <w:sz w:val="24"/>
              </w:rPr>
              <w:t>CNY</w:t>
            </w:r>
          </w:p>
        </w:tc>
        <w:tc>
          <w:tcPr>
            <w:tcW w:type="dxa" w:w="4320"/>
          </w:tcPr>
          <w:p>
            <w:r>
              <w:rPr>
                <w:rFonts w:ascii="Calibri" w:hAnsi="Calibri"/>
                <w:color w:val="000000"/>
                <w:sz w:val="24"/>
              </w:rPr>
              <w:t>0.3369</w:t>
            </w:r>
          </w:p>
        </w:tc>
      </w:tr>
      <w:tr>
        <w:tc>
          <w:tcPr>
            <w:tcW w:type="dxa" w:w="4320"/>
          </w:tcPr>
          <w:p>
            <w:r>
              <w:rPr>
                <w:rFonts w:ascii="Calibri" w:hAnsi="Calibri"/>
                <w:color w:val="000000"/>
                <w:sz w:val="24"/>
              </w:rPr>
              <w:t>USD</w:t>
            </w:r>
          </w:p>
        </w:tc>
        <w:tc>
          <w:tcPr>
            <w:tcW w:type="dxa" w:w="4320"/>
          </w:tcPr>
          <w:p>
            <w:r>
              <w:rPr>
                <w:rFonts w:ascii="Calibri" w:hAnsi="Calibri"/>
                <w:color w:val="000000"/>
                <w:sz w:val="24"/>
              </w:rPr>
              <w:t>0.4381</w:t>
            </w:r>
          </w:p>
        </w:tc>
      </w:tr>
      <w:tr>
        <w:tc>
          <w:tcPr>
            <w:tcW w:type="dxa" w:w="4320"/>
          </w:tcPr>
          <w:p>
            <w:r>
              <w:rPr>
                <w:rFonts w:ascii="Calibri" w:hAnsi="Calibri"/>
                <w:color w:val="000000"/>
                <w:sz w:val="24"/>
              </w:rPr>
              <w:t>TWI</w:t>
            </w:r>
          </w:p>
        </w:tc>
        <w:tc>
          <w:tcPr>
            <w:tcW w:type="dxa" w:w="4320"/>
          </w:tcPr>
          <w:p>
            <w:r>
              <w:rPr>
                <w:rFonts w:ascii="Calibri" w:hAnsi="Calibri"/>
                <w:color w:val="000000"/>
                <w:sz w:val="24"/>
              </w:rPr>
              <w:t>0.2675</w:t>
            </w:r>
          </w:p>
        </w:tc>
      </w:tr>
      <w:tr>
        <w:tc>
          <w:tcPr>
            <w:tcW w:type="dxa" w:w="4320"/>
          </w:tcPr>
          <w:p>
            <w:r>
              <w:rPr>
                <w:rFonts w:ascii="Calibri" w:hAnsi="Calibri"/>
                <w:color w:val="000000"/>
                <w:sz w:val="24"/>
              </w:rPr>
              <w:t>SDR</w:t>
            </w:r>
          </w:p>
        </w:tc>
        <w:tc>
          <w:tcPr>
            <w:tcW w:type="dxa" w:w="4320"/>
          </w:tcPr>
          <w:p>
            <w:r>
              <w:rPr>
                <w:rFonts w:ascii="Calibri" w:hAnsi="Calibri"/>
                <w:color w:val="000000"/>
                <w:sz w:val="24"/>
              </w:rPr>
              <w:t>0.4492</w:t>
            </w:r>
          </w:p>
        </w:tc>
      </w:tr>
    </w:tbl>
    <w:p/>
    <w:p>
      <w:r>
        <w:rPr>
          <w:rFonts w:ascii="Calibri" w:hAnsi="Calibri"/>
          <w:color w:val="000000"/>
          <w:sz w:val="24"/>
        </w:rPr>
        <w:t>The ranking is SDR &gt; USD &gt; CNY &gt; TWI. The SDR return process has the largest sample variance, 0.4492, implying a daily standard deviation of about 0.67%; it is therefore the most volatile process on this unconditional measure. The USD return process is very close behind, with a variance of 0.4381 and a daily standard deviation of about 0.66%, so its average volatility is almost as high as SDR's. The CNY return process is less volatile, with a variance of 0.3369 and a daily standard deviation of about 0.58%; this is consistent with a more managed exchange-rate process, although the variance alone does not prove the policy cause. The TWI return process has the smallest variance, 0.2675, and a daily standard deviation of about 0.52%; this is consistent with a trade-weighted basket process being more diversified and smoother than a single bilateral exchange rate.</w:t>
      </w:r>
    </w:p>
    <w:p>
      <w:r>
        <w:rPr>
          <w:rFonts w:ascii="Calibri" w:hAnsi="Calibri"/>
          <w:color w:val="000000"/>
          <w:sz w:val="24"/>
        </w:rPr>
        <w:t>Overall, the sample variances show clear differences in unconditional volatility across the four currencies. However, they summarise average dispersion only. They do not show whether volatility is constant through time, which is why the absolute-return plots in Question 5(b) are still needed.</w:t>
      </w:r>
    </w:p>
    <w:p>
      <w:pPr>
        <w:pStyle w:val="Heading3"/>
      </w:pPr>
      <w:r>
        <w:t>5(b) Absolute Returns</w:t>
      </w:r>
    </w:p>
    <w:p>
      <w:pPr>
        <w:jc w:val="center"/>
      </w:pPr>
      <w:r>
        <w:drawing>
          <wp:inline xmlns:a="http://schemas.openxmlformats.org/drawingml/2006/main" xmlns:pic="http://schemas.openxmlformats.org/drawingml/2006/picture">
            <wp:extent cx="5852160" cy="2926080"/>
            <wp:docPr id="9" name="Picture 9"/>
            <wp:cNvGraphicFramePr>
              <a:graphicFrameLocks noChangeAspect="1"/>
            </wp:cNvGraphicFramePr>
            <a:graphic>
              <a:graphicData uri="http://schemas.openxmlformats.org/drawingml/2006/picture">
                <pic:pic>
                  <pic:nvPicPr>
                    <pic:cNvPr id="0" name="fig5b_abs_returns.png"/>
                    <pic:cNvPicPr/>
                  </pic:nvPicPr>
                  <pic:blipFill>
                    <a:blip r:embed="rId17"/>
                    <a:stretch>
                      <a:fillRect/>
                    </a:stretch>
                  </pic:blipFill>
                  <pic:spPr>
                    <a:xfrm>
                      <a:off x="0" y="0"/>
                      <a:ext cx="5852160" cy="2926080"/>
                    </a:xfrm>
                    <a:prstGeom prst="rect"/>
                  </pic:spPr>
                </pic:pic>
              </a:graphicData>
            </a:graphic>
          </wp:inline>
        </w:drawing>
      </w:r>
    </w:p>
    <w:p>
      <w:pPr>
        <w:jc w:val="center"/>
      </w:pPr>
      <w:r>
        <w:rPr>
          <w:rFonts w:ascii="Calibri" w:hAnsi="Calibri"/>
          <w:color w:val="000000"/>
          <w:sz w:val="24"/>
        </w:rPr>
        <w:t>Figure 9</w:t>
      </w:r>
    </w:p>
    <w:p>
      <w:r>
        <w:rPr>
          <w:rFonts w:ascii="Calibri" w:hAnsi="Calibri"/>
          <w:color w:val="000000"/>
          <w:sz w:val="24"/>
        </w:rPr>
        <w:t xml:space="preserve">The plots of </w:t>
      </w:r>
      <m:oMath>
        <m:r>
          <m:t>|</m:t>
        </m:r>
        <m:sSub>
          <m:e>
            <m:r>
              <m:t>e</m:t>
            </m:r>
          </m:e>
          <m:sub>
            <m:r>
              <m:t>j,t</m:t>
            </m:r>
          </m:sub>
        </m:sSub>
        <m:r>
          <m:t>|</m:t>
        </m:r>
      </m:oMath>
      <w:r>
        <w:rPr>
          <w:rFonts w:ascii="Calibri" w:hAnsi="Calibri"/>
          <w:color w:val="000000"/>
          <w:sz w:val="24"/>
        </w:rPr>
        <w:t xml:space="preserve"> show clear volatility clustering in all four series. Large absolute returns tend to be followed by other large absolute returns, and quiet periods tend to persist. The clearest common spike appears around March 2020, when all four series jump sharply at the same time.</w:t>
      </w:r>
    </w:p>
    <w:p>
      <w:r>
        <w:rPr>
          <w:rFonts w:ascii="Calibri" w:hAnsi="Calibri"/>
          <w:color w:val="000000"/>
          <w:sz w:val="24"/>
        </w:rPr>
        <w:t>This pattern is not consistent with an iid constant-variance process. Under constant variance, absolute-return plots would not show these prolonged clusters of activity. The evidence points to time-varying conditional volatility, which is exactly what GARCH-type models are designed to capture.</w:t>
      </w:r>
    </w:p>
    <w:p>
      <w:r>
        <w:br w:type="page"/>
      </w:r>
    </w:p>
    <w:p>
      <w:pPr>
        <w:pStyle w:val="Heading2"/>
      </w:pPr>
      <w:r>
        <w:t>Question 6</w:t>
      </w:r>
    </w:p>
    <w:p>
      <w:pPr>
        <w:pStyle w:val="Heading3"/>
      </w:pPr>
      <w:r>
        <w:t>ARMA Models for Exchange-Rate Returns</w:t>
      </w:r>
    </w:p>
    <w:p>
      <w:r>
        <w:rPr>
          <w:rFonts w:ascii="Calibri" w:hAnsi="Calibri"/>
          <w:color w:val="000000"/>
          <w:sz w:val="24"/>
        </w:rPr>
        <w:t xml:space="preserve">Following the exemplar approach, each exchange-rate return series was first modelled with a stationary ARMA model before introducing GARCH. These are ARIMA models with </w:t>
      </w:r>
      <m:oMath>
        <m:r>
          <m:t>d</m:t>
        </m:r>
        <m:r>
          <m:t> = 0</m:t>
        </m:r>
      </m:oMath>
      <w:r>
        <w:rPr>
          <w:rFonts w:ascii="Calibri" w:hAnsi="Calibri"/>
          <w:color w:val="000000"/>
          <w:sz w:val="24"/>
        </w:rPr>
        <w:t>, because the return series are already first differences of log exchange rates: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4"/>
              </w:rPr>
              <w:t>Exchange-rate return</w:t>
            </w:r>
          </w:p>
        </w:tc>
        <w:tc>
          <w:tcPr>
            <w:tcW w:type="dxa" w:w="1728"/>
          </w:tcPr>
          <w:p>
            <w:r>
              <w:rPr>
                <w:rFonts w:ascii="Calibri" w:hAnsi="Calibri"/>
                <w:b/>
                <w:color w:val="000000"/>
                <w:sz w:val="24"/>
              </w:rPr>
              <w:t>Selected ARMA model</w:t>
            </w:r>
          </w:p>
        </w:tc>
        <w:tc>
          <w:tcPr>
            <w:tcW w:type="dxa" w:w="1728"/>
          </w:tcPr>
          <w:p>
            <w:r>
              <w:rPr>
                <w:rFonts w:ascii="Calibri" w:hAnsi="Calibri"/>
                <w:b/>
                <w:color w:val="000000"/>
                <w:sz w:val="24"/>
              </w:rPr>
              <w:t>AIC</w:t>
            </w:r>
          </w:p>
        </w:tc>
        <w:tc>
          <w:tcPr>
            <w:tcW w:type="dxa" w:w="1728"/>
          </w:tcPr>
          <w:p>
            <w:r>
              <w:rPr>
                <w:rFonts w:ascii="Calibri" w:hAnsi="Calibri"/>
                <w:b/>
                <w:color w:val="000000"/>
                <w:sz w:val="24"/>
              </w:rPr>
              <w:t>BIC</w:t>
            </w:r>
          </w:p>
        </w:tc>
        <w:tc>
          <w:tcPr>
            <w:tcW w:type="dxa" w:w="1728"/>
          </w:tcPr>
          <w:p>
            <w:r>
              <w:rPr>
                <w:rFonts w:ascii="Calibri" w:hAnsi="Calibri"/>
                <w:b/>
                <w:color w:val="000000"/>
                <w:sz w:val="24"/>
              </w:rPr>
              <w:t>Ljung-Box p-value</w:t>
            </w:r>
          </w:p>
        </w:tc>
      </w:tr>
      <w:tr>
        <w:tc>
          <w:tcPr>
            <w:tcW w:type="dxa" w:w="1728"/>
          </w:tcPr>
          <w:p>
            <w:r>
              <w:rPr>
                <w:rFonts w:ascii="Calibri" w:hAnsi="Calibri"/>
                <w:color w:val="000000"/>
                <w:sz w:val="24"/>
              </w:rPr>
              <w:t>CNY</w:t>
            </w:r>
          </w:p>
        </w:tc>
        <w:tc>
          <w:tcPr>
            <w:tcW w:type="dxa" w:w="1728"/>
          </w:tcPr>
          <w:p>
            <w:r>
              <w:rPr>
                <w:rFonts w:ascii="Calibri" w:hAnsi="Calibri"/>
                <w:color w:val="000000"/>
                <w:sz w:val="24"/>
              </w:rPr>
              <w:t>ARMA(2,3)</w:t>
            </w:r>
          </w:p>
        </w:tc>
        <w:tc>
          <w:tcPr>
            <w:tcW w:type="dxa" w:w="1728"/>
          </w:tcPr>
          <w:p>
            <w:r>
              <w:rPr>
                <w:rFonts w:ascii="Calibri" w:hAnsi="Calibri"/>
                <w:color w:val="000000"/>
                <w:sz w:val="24"/>
              </w:rPr>
              <w:t>3521.9585</w:t>
            </w:r>
          </w:p>
        </w:tc>
        <w:tc>
          <w:tcPr>
            <w:tcW w:type="dxa" w:w="1728"/>
          </w:tcPr>
          <w:p>
            <w:r>
              <w:rPr>
                <w:rFonts w:ascii="Calibri" w:hAnsi="Calibri"/>
                <w:color w:val="000000"/>
                <w:sz w:val="24"/>
              </w:rPr>
              <w:t>3561.2171</w:t>
            </w:r>
          </w:p>
        </w:tc>
        <w:tc>
          <w:tcPr>
            <w:tcW w:type="dxa" w:w="1728"/>
          </w:tcPr>
          <w:p>
            <w:r>
              <w:rPr>
                <w:rFonts w:ascii="Calibri" w:hAnsi="Calibri"/>
                <w:color w:val="000000"/>
                <w:sz w:val="24"/>
              </w:rPr>
              <w:t>0.0835</w:t>
            </w:r>
          </w:p>
        </w:tc>
      </w:tr>
      <w:tr>
        <w:tc>
          <w:tcPr>
            <w:tcW w:type="dxa" w:w="1728"/>
          </w:tcPr>
          <w:p>
            <w:r>
              <w:rPr>
                <w:rFonts w:ascii="Calibri" w:hAnsi="Calibri"/>
                <w:color w:val="000000"/>
                <w:sz w:val="24"/>
              </w:rPr>
              <w:t>USD</w:t>
            </w:r>
          </w:p>
        </w:tc>
        <w:tc>
          <w:tcPr>
            <w:tcW w:type="dxa" w:w="1728"/>
          </w:tcPr>
          <w:p>
            <w:r>
              <w:rPr>
                <w:rFonts w:ascii="Calibri" w:hAnsi="Calibri"/>
                <w:color w:val="000000"/>
                <w:sz w:val="24"/>
              </w:rPr>
              <w:t>ARMA(1,0)</w:t>
            </w:r>
          </w:p>
        </w:tc>
        <w:tc>
          <w:tcPr>
            <w:tcW w:type="dxa" w:w="1728"/>
          </w:tcPr>
          <w:p>
            <w:r>
              <w:rPr>
                <w:rFonts w:ascii="Calibri" w:hAnsi="Calibri"/>
                <w:color w:val="000000"/>
                <w:sz w:val="24"/>
              </w:rPr>
              <w:t>4054.6928</w:t>
            </w:r>
          </w:p>
        </w:tc>
        <w:tc>
          <w:tcPr>
            <w:tcW w:type="dxa" w:w="1728"/>
          </w:tcPr>
          <w:p>
            <w:r>
              <w:rPr>
                <w:rFonts w:ascii="Calibri" w:hAnsi="Calibri"/>
                <w:color w:val="000000"/>
                <w:sz w:val="24"/>
              </w:rPr>
              <w:t>4071.5180</w:t>
            </w:r>
          </w:p>
        </w:tc>
        <w:tc>
          <w:tcPr>
            <w:tcW w:type="dxa" w:w="1728"/>
          </w:tcPr>
          <w:p>
            <w:r>
              <w:rPr>
                <w:rFonts w:ascii="Calibri" w:hAnsi="Calibri"/>
                <w:color w:val="000000"/>
                <w:sz w:val="24"/>
              </w:rPr>
              <w:t>0.1636</w:t>
            </w:r>
          </w:p>
        </w:tc>
      </w:tr>
      <w:tr>
        <w:tc>
          <w:tcPr>
            <w:tcW w:type="dxa" w:w="1728"/>
          </w:tcPr>
          <w:p>
            <w:r>
              <w:rPr>
                <w:rFonts w:ascii="Calibri" w:hAnsi="Calibri"/>
                <w:color w:val="000000"/>
                <w:sz w:val="24"/>
              </w:rPr>
              <w:t>TWI</w:t>
            </w:r>
          </w:p>
        </w:tc>
        <w:tc>
          <w:tcPr>
            <w:tcW w:type="dxa" w:w="1728"/>
          </w:tcPr>
          <w:p>
            <w:r>
              <w:rPr>
                <w:rFonts w:ascii="Calibri" w:hAnsi="Calibri"/>
                <w:color w:val="000000"/>
                <w:sz w:val="24"/>
              </w:rPr>
              <w:t>ARMA(1,3)</w:t>
            </w:r>
          </w:p>
        </w:tc>
        <w:tc>
          <w:tcPr>
            <w:tcW w:type="dxa" w:w="1728"/>
          </w:tcPr>
          <w:p>
            <w:r>
              <w:rPr>
                <w:rFonts w:ascii="Calibri" w:hAnsi="Calibri"/>
                <w:color w:val="000000"/>
                <w:sz w:val="24"/>
              </w:rPr>
              <w:t>3046.5350</w:t>
            </w:r>
          </w:p>
        </w:tc>
        <w:tc>
          <w:tcPr>
            <w:tcW w:type="dxa" w:w="1728"/>
          </w:tcPr>
          <w:p>
            <w:r>
              <w:rPr>
                <w:rFonts w:ascii="Calibri" w:hAnsi="Calibri"/>
                <w:color w:val="000000"/>
                <w:sz w:val="24"/>
              </w:rPr>
              <w:t>3080.1852</w:t>
            </w:r>
          </w:p>
        </w:tc>
        <w:tc>
          <w:tcPr>
            <w:tcW w:type="dxa" w:w="1728"/>
          </w:tcPr>
          <w:p>
            <w:r>
              <w:rPr>
                <w:rFonts w:ascii="Calibri" w:hAnsi="Calibri"/>
                <w:color w:val="000000"/>
                <w:sz w:val="24"/>
              </w:rPr>
              <w:t>0.1260</w:t>
            </w:r>
          </w:p>
        </w:tc>
      </w:tr>
      <w:tr>
        <w:tc>
          <w:tcPr>
            <w:tcW w:type="dxa" w:w="1728"/>
          </w:tcPr>
          <w:p>
            <w:r>
              <w:rPr>
                <w:rFonts w:ascii="Calibri" w:hAnsi="Calibri"/>
                <w:color w:val="000000"/>
                <w:sz w:val="24"/>
              </w:rPr>
              <w:t>SDR</w:t>
            </w:r>
          </w:p>
        </w:tc>
        <w:tc>
          <w:tcPr>
            <w:tcW w:type="dxa" w:w="1728"/>
          </w:tcPr>
          <w:p>
            <w:r>
              <w:rPr>
                <w:rFonts w:ascii="Calibri" w:hAnsi="Calibri"/>
                <w:color w:val="000000"/>
                <w:sz w:val="24"/>
              </w:rPr>
              <w:t>ARMA(0,1)</w:t>
            </w:r>
          </w:p>
        </w:tc>
        <w:tc>
          <w:tcPr>
            <w:tcW w:type="dxa" w:w="1728"/>
          </w:tcPr>
          <w:p>
            <w:r>
              <w:rPr>
                <w:rFonts w:ascii="Calibri" w:hAnsi="Calibri"/>
                <w:color w:val="000000"/>
                <w:sz w:val="24"/>
              </w:rPr>
              <w:t>4010.0371</w:t>
            </w:r>
          </w:p>
        </w:tc>
        <w:tc>
          <w:tcPr>
            <w:tcW w:type="dxa" w:w="1728"/>
          </w:tcPr>
          <w:p>
            <w:r>
              <w:rPr>
                <w:rFonts w:ascii="Calibri" w:hAnsi="Calibri"/>
                <w:color w:val="000000"/>
                <w:sz w:val="24"/>
              </w:rPr>
              <w:t>4026.8623</w:t>
            </w:r>
          </w:p>
        </w:tc>
        <w:tc>
          <w:tcPr>
            <w:tcW w:type="dxa" w:w="1728"/>
          </w:tcPr>
          <w:p>
            <w:r>
              <w:rPr>
                <w:rFonts w:ascii="Calibri" w:hAnsi="Calibri"/>
                <w:color w:val="000000"/>
                <w:sz w:val="24"/>
              </w:rPr>
              <w:t>0.3243</w:t>
            </w:r>
          </w:p>
        </w:tc>
      </w:tr>
    </w:tbl>
    <w:p/>
    <w:p>
      <w:r>
        <w:rPr>
          <w:rFonts w:ascii="Calibri" w:hAnsi="Calibri"/>
          <w:color w:val="000000"/>
          <w:sz w:val="24"/>
        </w:rPr>
        <w:t>These models are adequate for the conditional mean at the 5% level, because their Ljung-Box p-values exceed 0.05. The next step is therefore to test whether their residual variances are constant.</w:t>
      </w:r>
    </w:p>
    <w:p>
      <w:r>
        <w:rPr>
          <w:rFonts w:ascii="Calibri" w:hAnsi="Calibri"/>
          <w:color w:val="000000"/>
          <w:sz w:val="24"/>
        </w:rPr>
        <w:t>These preliminary ARMA models are not the final GARCH specifications. They are used to establish adequate mean dynamics under a constant-variance ARMA framework and to generate squared residuals for ARCH testing. Once strong ARCH effects are found, the final model is re-estimated jointly as an ARMA-GARCH model.</w:t>
      </w:r>
    </w:p>
    <w:p>
      <w:pPr>
        <w:pStyle w:val="Heading3"/>
      </w:pPr>
      <w:r>
        <w:t>Testing for ARCH Effects</w:t>
      </w:r>
    </w:p>
    <w:p>
      <w:r>
        <w:rPr>
          <w:rFonts w:ascii="Calibri" w:hAnsi="Calibri"/>
          <w:color w:val="000000"/>
          <w:sz w:val="24"/>
        </w:rPr>
        <w:t>The Engle ARCH LM test with 10 lags and the Ljung-Box test on squared ARMA residuals were applied to the residuals from the ARMA models above: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4"/>
              </w:rPr>
              <w:t>Currency</w:t>
            </w:r>
          </w:p>
        </w:tc>
        <w:tc>
          <w:tcPr>
            <w:tcW w:type="dxa" w:w="2160"/>
          </w:tcPr>
          <w:p>
            <w:r>
              <w:rPr>
                <w:rFonts w:ascii="Calibri" w:hAnsi="Calibri"/>
                <w:b/>
                <w:color w:val="000000"/>
                <w:sz w:val="24"/>
              </w:rPr>
              <w:t>ARCH LM Statistic</w:t>
            </w:r>
          </w:p>
        </w:tc>
        <w:tc>
          <w:tcPr>
            <w:tcW w:type="dxa" w:w="2160"/>
          </w:tcPr>
          <w:p>
            <w:r>
              <w:rPr>
                <w:rFonts w:ascii="Calibri" w:hAnsi="Calibri"/>
                <w:b/>
                <w:color w:val="000000"/>
                <w:sz w:val="24"/>
              </w:rPr>
              <w:t>p-value</w:t>
            </w:r>
          </w:p>
        </w:tc>
        <w:tc>
          <w:tcPr>
            <w:tcW w:type="dxa" w:w="2160"/>
          </w:tcPr>
          <w:p>
            <w:r>
              <w:rPr>
                <w:rFonts w:ascii="Calibri" w:hAnsi="Calibri"/>
                <w:b/>
                <w:color w:val="000000"/>
                <w:sz w:val="24"/>
              </w:rPr>
              <w:t>Ljung-Box on Squared ARMA Residuals p-value</w:t>
            </w:r>
          </w:p>
        </w:tc>
      </w:tr>
      <w:tr>
        <w:tc>
          <w:tcPr>
            <w:tcW w:type="dxa" w:w="2160"/>
          </w:tcPr>
          <w:p>
            <w:r>
              <w:rPr>
                <w:rFonts w:ascii="Calibri" w:hAnsi="Calibri"/>
                <w:color w:val="000000"/>
                <w:sz w:val="24"/>
              </w:rPr>
              <w:t>CNY</w:t>
            </w:r>
          </w:p>
        </w:tc>
        <w:tc>
          <w:tcPr>
            <w:tcW w:type="dxa" w:w="2160"/>
          </w:tcPr>
          <w:p>
            <w:r>
              <w:rPr>
                <w:rFonts w:ascii="Calibri" w:hAnsi="Calibri"/>
                <w:color w:val="000000"/>
                <w:sz w:val="24"/>
              </w:rPr>
              <w:t>292.87</w:t>
            </w:r>
          </w:p>
        </w:tc>
        <w:tc>
          <w:tcPr>
            <w:tcW w:type="dxa" w:w="2160"/>
          </w:tcPr>
          <w:p>
            <w:r>
              <w:rPr>
                <w:rFonts w:ascii="Calibri" w:hAnsi="Calibri"/>
                <w:color w:val="000000"/>
                <w:sz w:val="24"/>
              </w:rPr>
              <w:t>p &lt; 1e-15</w:t>
            </w:r>
          </w:p>
        </w:tc>
        <w:tc>
          <w:tcPr>
            <w:tcW w:type="dxa" w:w="2160"/>
          </w:tcPr>
          <w:p>
            <w:r>
              <w:rPr>
                <w:rFonts w:ascii="Calibri" w:hAnsi="Calibri"/>
                <w:color w:val="000000"/>
                <w:sz w:val="24"/>
              </w:rPr>
              <w:t>p &lt; 1e-15</w:t>
            </w:r>
          </w:p>
        </w:tc>
      </w:tr>
      <w:tr>
        <w:tc>
          <w:tcPr>
            <w:tcW w:type="dxa" w:w="2160"/>
          </w:tcPr>
          <w:p>
            <w:r>
              <w:rPr>
                <w:rFonts w:ascii="Calibri" w:hAnsi="Calibri"/>
                <w:color w:val="000000"/>
                <w:sz w:val="24"/>
              </w:rPr>
              <w:t>USD</w:t>
            </w:r>
          </w:p>
        </w:tc>
        <w:tc>
          <w:tcPr>
            <w:tcW w:type="dxa" w:w="2160"/>
          </w:tcPr>
          <w:p>
            <w:r>
              <w:rPr>
                <w:rFonts w:ascii="Calibri" w:hAnsi="Calibri"/>
                <w:color w:val="000000"/>
                <w:sz w:val="24"/>
              </w:rPr>
              <w:t>232.36</w:t>
            </w:r>
          </w:p>
        </w:tc>
        <w:tc>
          <w:tcPr>
            <w:tcW w:type="dxa" w:w="2160"/>
          </w:tcPr>
          <w:p>
            <w:r>
              <w:rPr>
                <w:rFonts w:ascii="Calibri" w:hAnsi="Calibri"/>
                <w:color w:val="000000"/>
                <w:sz w:val="24"/>
              </w:rPr>
              <w:t>p &lt; 1e-15</w:t>
            </w:r>
          </w:p>
        </w:tc>
        <w:tc>
          <w:tcPr>
            <w:tcW w:type="dxa" w:w="2160"/>
          </w:tcPr>
          <w:p>
            <w:r>
              <w:rPr>
                <w:rFonts w:ascii="Calibri" w:hAnsi="Calibri"/>
                <w:color w:val="000000"/>
                <w:sz w:val="24"/>
              </w:rPr>
              <w:t>p &lt; 1e-15</w:t>
            </w:r>
          </w:p>
        </w:tc>
      </w:tr>
      <w:tr>
        <w:tc>
          <w:tcPr>
            <w:tcW w:type="dxa" w:w="2160"/>
          </w:tcPr>
          <w:p>
            <w:r>
              <w:rPr>
                <w:rFonts w:ascii="Calibri" w:hAnsi="Calibri"/>
                <w:color w:val="000000"/>
                <w:sz w:val="24"/>
              </w:rPr>
              <w:t>TWI</w:t>
            </w:r>
          </w:p>
        </w:tc>
        <w:tc>
          <w:tcPr>
            <w:tcW w:type="dxa" w:w="2160"/>
          </w:tcPr>
          <w:p>
            <w:r>
              <w:rPr>
                <w:rFonts w:ascii="Calibri" w:hAnsi="Calibri"/>
                <w:color w:val="000000"/>
                <w:sz w:val="24"/>
              </w:rPr>
              <w:t>347.17</w:t>
            </w:r>
          </w:p>
        </w:tc>
        <w:tc>
          <w:tcPr>
            <w:tcW w:type="dxa" w:w="2160"/>
          </w:tcPr>
          <w:p>
            <w:r>
              <w:rPr>
                <w:rFonts w:ascii="Calibri" w:hAnsi="Calibri"/>
                <w:color w:val="000000"/>
                <w:sz w:val="24"/>
              </w:rPr>
              <w:t>p &lt; 1e-15</w:t>
            </w:r>
          </w:p>
        </w:tc>
        <w:tc>
          <w:tcPr>
            <w:tcW w:type="dxa" w:w="2160"/>
          </w:tcPr>
          <w:p>
            <w:r>
              <w:rPr>
                <w:rFonts w:ascii="Calibri" w:hAnsi="Calibri"/>
                <w:color w:val="000000"/>
                <w:sz w:val="24"/>
              </w:rPr>
              <w:t>p &lt; 1e-15</w:t>
            </w:r>
          </w:p>
        </w:tc>
      </w:tr>
      <w:tr>
        <w:tc>
          <w:tcPr>
            <w:tcW w:type="dxa" w:w="2160"/>
          </w:tcPr>
          <w:p>
            <w:r>
              <w:rPr>
                <w:rFonts w:ascii="Calibri" w:hAnsi="Calibri"/>
                <w:color w:val="000000"/>
                <w:sz w:val="24"/>
              </w:rPr>
              <w:t>SDR</w:t>
            </w:r>
          </w:p>
        </w:tc>
        <w:tc>
          <w:tcPr>
            <w:tcW w:type="dxa" w:w="2160"/>
          </w:tcPr>
          <w:p>
            <w:r>
              <w:rPr>
                <w:rFonts w:ascii="Calibri" w:hAnsi="Calibri"/>
                <w:color w:val="000000"/>
                <w:sz w:val="24"/>
              </w:rPr>
              <w:t>200.90</w:t>
            </w:r>
          </w:p>
        </w:tc>
        <w:tc>
          <w:tcPr>
            <w:tcW w:type="dxa" w:w="2160"/>
          </w:tcPr>
          <w:p>
            <w:r>
              <w:rPr>
                <w:rFonts w:ascii="Calibri" w:hAnsi="Calibri"/>
                <w:color w:val="000000"/>
                <w:sz w:val="24"/>
              </w:rPr>
              <w:t>p &lt; 1e-15</w:t>
            </w:r>
          </w:p>
        </w:tc>
        <w:tc>
          <w:tcPr>
            <w:tcW w:type="dxa" w:w="2160"/>
          </w:tcPr>
          <w:p>
            <w:r>
              <w:rPr>
                <w:rFonts w:ascii="Calibri" w:hAnsi="Calibri"/>
                <w:color w:val="000000"/>
                <w:sz w:val="24"/>
              </w:rPr>
              <w:t>p &lt; 1e-15</w:t>
            </w:r>
          </w:p>
        </w:tc>
      </w:tr>
    </w:tbl>
    <w:p/>
    <w:p>
      <w:r>
        <w:rPr>
          <w:rFonts w:ascii="Calibri" w:hAnsi="Calibri"/>
          <w:color w:val="000000"/>
          <w:sz w:val="24"/>
        </w:rPr>
        <w:t>Both tests reject homoskedasticity very strongly. The ARMA equations may handle the conditional mean, but their squared residuals still show strong dependence, so a constant-variance ARMA model is not enough. This is the motivation for estimating ARMA-GARCH models.</w:t>
      </w:r>
    </w:p>
    <w:p>
      <w:pPr>
        <w:pStyle w:val="Heading3"/>
      </w:pPr>
      <w:r>
        <w:t>ARMA-GARCH Models</w:t>
      </w:r>
    </w:p>
    <w:p>
      <w:r>
        <w:rPr>
          <w:rFonts w:ascii="Calibri" w:hAnsi="Calibri"/>
          <w:color w:val="000000"/>
          <w:sz w:val="24"/>
        </w:rPr>
        <w:t>The final set follows the exemplar code's ARMA-GARCH structure, using an ARMA(2,2) mean equation and symmetric Normal GARCH errors. This is why the final mean equation differs from some of the preliminary ARMA-only models above: the ARMA and GARCH parts are now selected and estimated jointly. The GARCH labels below follow the notation used in that code and write-up: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color w:val="000000"/>
                <w:sz w:val="24"/>
              </w:rPr>
              <w:t>Currency</w:t>
            </w:r>
          </w:p>
        </w:tc>
        <w:tc>
          <w:tcPr>
            <w:tcW w:type="dxa" w:w="1440"/>
          </w:tcPr>
          <w:p>
            <w:r>
              <w:rPr>
                <w:rFonts w:ascii="Calibri" w:hAnsi="Calibri"/>
                <w:b/>
                <w:color w:val="000000"/>
                <w:sz w:val="24"/>
              </w:rPr>
              <w:t>Mean Model</w:t>
            </w:r>
          </w:p>
        </w:tc>
        <w:tc>
          <w:tcPr>
            <w:tcW w:type="dxa" w:w="1440"/>
          </w:tcPr>
          <w:p>
            <w:r>
              <w:rPr>
                <w:rFonts w:ascii="Calibri" w:hAnsi="Calibri"/>
                <w:b/>
                <w:color w:val="000000"/>
                <w:sz w:val="24"/>
              </w:rPr>
              <w:t>Variance Model</w:t>
            </w:r>
          </w:p>
        </w:tc>
        <w:tc>
          <w:tcPr>
            <w:tcW w:type="dxa" w:w="1440"/>
          </w:tcPr>
          <w:p>
            <w:r>
              <w:rPr>
                <w:rFonts w:ascii="Calibri" w:hAnsi="Calibri"/>
                <w:b/>
                <w:color w:val="000000"/>
                <w:sz w:val="24"/>
              </w:rPr>
              <w:t>Errors</w:t>
            </w:r>
          </w:p>
        </w:tc>
        <w:tc>
          <w:tcPr>
            <w:tcW w:type="dxa" w:w="1440"/>
          </w:tcPr>
          <w:p>
            <w:r>
              <w:rPr>
                <w:rFonts w:ascii="Calibri" w:hAnsi="Calibri"/>
                <w:b/>
                <w:color w:val="000000"/>
                <w:sz w:val="24"/>
              </w:rPr>
              <w:t>AIC</w:t>
            </w:r>
          </w:p>
        </w:tc>
        <w:tc>
          <w:tcPr>
            <w:tcW w:type="dxa" w:w="1440"/>
          </w:tcPr>
          <w:p>
            <w:r>
              <w:rPr>
                <w:rFonts w:ascii="Calibri" w:hAnsi="Calibri"/>
                <w:b/>
                <w:color w:val="000000"/>
                <w:sz w:val="24"/>
              </w:rPr>
              <w:t>BIC</w:t>
            </w:r>
          </w:p>
        </w:tc>
      </w:tr>
      <w:tr>
        <w:tc>
          <w:tcPr>
            <w:tcW w:type="dxa" w:w="1440"/>
          </w:tcPr>
          <w:p>
            <w:r>
              <w:rPr>
                <w:rFonts w:ascii="Calibri" w:hAnsi="Calibri"/>
                <w:color w:val="000000"/>
                <w:sz w:val="24"/>
              </w:rPr>
              <w:t>CNY</w:t>
            </w:r>
          </w:p>
        </w:tc>
        <w:tc>
          <w:tcPr>
            <w:tcW w:type="dxa" w:w="1440"/>
          </w:tcPr>
          <w:p>
            <w:r>
              <w:rPr>
                <w:rFonts w:ascii="Calibri" w:hAnsi="Calibri"/>
                <w:color w:val="000000"/>
                <w:sz w:val="24"/>
              </w:rPr>
              <w:t>ARMA(2,2)</w:t>
            </w:r>
          </w:p>
        </w:tc>
        <w:tc>
          <w:tcPr>
            <w:tcW w:type="dxa" w:w="1440"/>
          </w:tcPr>
          <w:p>
            <w:r>
              <w:rPr>
                <w:rFonts w:ascii="Calibri" w:hAnsi="Calibri"/>
                <w:color w:val="000000"/>
                <w:sz w:val="24"/>
              </w:rPr>
              <w:t>GARCH(2,2)</w:t>
            </w:r>
          </w:p>
        </w:tc>
        <w:tc>
          <w:tcPr>
            <w:tcW w:type="dxa" w:w="1440"/>
          </w:tcPr>
          <w:p>
            <w:r>
              <w:rPr>
                <w:rFonts w:ascii="Calibri" w:hAnsi="Calibri"/>
                <w:color w:val="000000"/>
                <w:sz w:val="24"/>
              </w:rPr>
              <w:t>Normal</w:t>
            </w:r>
          </w:p>
        </w:tc>
        <w:tc>
          <w:tcPr>
            <w:tcW w:type="dxa" w:w="1440"/>
          </w:tcPr>
          <w:p>
            <w:r>
              <w:rPr>
                <w:rFonts w:ascii="Calibri" w:hAnsi="Calibri"/>
                <w:color w:val="000000"/>
                <w:sz w:val="24"/>
              </w:rPr>
              <w:t>1.5553</w:t>
            </w:r>
          </w:p>
        </w:tc>
        <w:tc>
          <w:tcPr>
            <w:tcW w:type="dxa" w:w="1440"/>
          </w:tcPr>
          <w:p>
            <w:r>
              <w:rPr>
                <w:rFonts w:ascii="Calibri" w:hAnsi="Calibri"/>
                <w:color w:val="000000"/>
                <w:sz w:val="24"/>
              </w:rPr>
              <w:t>1.5803</w:t>
            </w:r>
          </w:p>
        </w:tc>
      </w:tr>
      <w:tr>
        <w:tc>
          <w:tcPr>
            <w:tcW w:type="dxa" w:w="1440"/>
          </w:tcPr>
          <w:p>
            <w:r>
              <w:rPr>
                <w:rFonts w:ascii="Calibri" w:hAnsi="Calibri"/>
                <w:color w:val="000000"/>
                <w:sz w:val="24"/>
              </w:rPr>
              <w:t>USD</w:t>
            </w:r>
          </w:p>
        </w:tc>
        <w:tc>
          <w:tcPr>
            <w:tcW w:type="dxa" w:w="1440"/>
          </w:tcPr>
          <w:p>
            <w:r>
              <w:rPr>
                <w:rFonts w:ascii="Calibri" w:hAnsi="Calibri"/>
                <w:color w:val="000000"/>
                <w:sz w:val="24"/>
              </w:rPr>
              <w:t>ARMA(2,2)</w:t>
            </w:r>
          </w:p>
        </w:tc>
        <w:tc>
          <w:tcPr>
            <w:tcW w:type="dxa" w:w="1440"/>
          </w:tcPr>
          <w:p>
            <w:r>
              <w:rPr>
                <w:rFonts w:ascii="Calibri" w:hAnsi="Calibri"/>
                <w:color w:val="000000"/>
                <w:sz w:val="24"/>
              </w:rPr>
              <w:t>GARCH(2,2)</w:t>
            </w:r>
          </w:p>
        </w:tc>
        <w:tc>
          <w:tcPr>
            <w:tcW w:type="dxa" w:w="1440"/>
          </w:tcPr>
          <w:p>
            <w:r>
              <w:rPr>
                <w:rFonts w:ascii="Calibri" w:hAnsi="Calibri"/>
                <w:color w:val="000000"/>
                <w:sz w:val="24"/>
              </w:rPr>
              <w:t>Normal</w:t>
            </w:r>
          </w:p>
        </w:tc>
        <w:tc>
          <w:tcPr>
            <w:tcW w:type="dxa" w:w="1440"/>
          </w:tcPr>
          <w:p>
            <w:r>
              <w:rPr>
                <w:rFonts w:ascii="Calibri" w:hAnsi="Calibri"/>
                <w:color w:val="000000"/>
                <w:sz w:val="24"/>
              </w:rPr>
              <w:t>1.8352</w:t>
            </w:r>
          </w:p>
        </w:tc>
        <w:tc>
          <w:tcPr>
            <w:tcW w:type="dxa" w:w="1440"/>
          </w:tcPr>
          <w:p>
            <w:r>
              <w:rPr>
                <w:rFonts w:ascii="Calibri" w:hAnsi="Calibri"/>
                <w:color w:val="000000"/>
                <w:sz w:val="24"/>
              </w:rPr>
              <w:t>1.8631</w:t>
            </w:r>
          </w:p>
        </w:tc>
      </w:tr>
      <w:tr>
        <w:tc>
          <w:tcPr>
            <w:tcW w:type="dxa" w:w="1440"/>
          </w:tcPr>
          <w:p>
            <w:r>
              <w:rPr>
                <w:rFonts w:ascii="Calibri" w:hAnsi="Calibri"/>
                <w:color w:val="000000"/>
                <w:sz w:val="24"/>
              </w:rPr>
              <w:t>TWI</w:t>
            </w:r>
          </w:p>
        </w:tc>
        <w:tc>
          <w:tcPr>
            <w:tcW w:type="dxa" w:w="1440"/>
          </w:tcPr>
          <w:p>
            <w:r>
              <w:rPr>
                <w:rFonts w:ascii="Calibri" w:hAnsi="Calibri"/>
                <w:color w:val="000000"/>
                <w:sz w:val="24"/>
              </w:rPr>
              <w:t>ARMA(2,2)</w:t>
            </w:r>
          </w:p>
        </w:tc>
        <w:tc>
          <w:tcPr>
            <w:tcW w:type="dxa" w:w="1440"/>
          </w:tcPr>
          <w:p>
            <w:r>
              <w:rPr>
                <w:rFonts w:ascii="Calibri" w:hAnsi="Calibri"/>
                <w:color w:val="000000"/>
                <w:sz w:val="24"/>
              </w:rPr>
              <w:t>GARCH(2,2)</w:t>
            </w:r>
          </w:p>
        </w:tc>
        <w:tc>
          <w:tcPr>
            <w:tcW w:type="dxa" w:w="1440"/>
          </w:tcPr>
          <w:p>
            <w:r>
              <w:rPr>
                <w:rFonts w:ascii="Calibri" w:hAnsi="Calibri"/>
                <w:color w:val="000000"/>
                <w:sz w:val="24"/>
              </w:rPr>
              <w:t>Normal</w:t>
            </w:r>
          </w:p>
        </w:tc>
        <w:tc>
          <w:tcPr>
            <w:tcW w:type="dxa" w:w="1440"/>
          </w:tcPr>
          <w:p>
            <w:r>
              <w:rPr>
                <w:rFonts w:ascii="Calibri" w:hAnsi="Calibri"/>
                <w:color w:val="000000"/>
                <w:sz w:val="24"/>
              </w:rPr>
              <w:t>1.3109</w:t>
            </w:r>
          </w:p>
        </w:tc>
        <w:tc>
          <w:tcPr>
            <w:tcW w:type="dxa" w:w="1440"/>
          </w:tcPr>
          <w:p>
            <w:r>
              <w:rPr>
                <w:rFonts w:ascii="Calibri" w:hAnsi="Calibri"/>
                <w:color w:val="000000"/>
                <w:sz w:val="24"/>
              </w:rPr>
              <w:t>1.3387</w:t>
            </w:r>
          </w:p>
        </w:tc>
      </w:tr>
      <w:tr>
        <w:tc>
          <w:tcPr>
            <w:tcW w:type="dxa" w:w="1440"/>
          </w:tcPr>
          <w:p>
            <w:r>
              <w:rPr>
                <w:rFonts w:ascii="Calibri" w:hAnsi="Calibri"/>
                <w:color w:val="000000"/>
                <w:sz w:val="24"/>
              </w:rPr>
              <w:t>SDR</w:t>
            </w:r>
          </w:p>
        </w:tc>
        <w:tc>
          <w:tcPr>
            <w:tcW w:type="dxa" w:w="1440"/>
          </w:tcPr>
          <w:p>
            <w:r>
              <w:rPr>
                <w:rFonts w:ascii="Calibri" w:hAnsi="Calibri"/>
                <w:color w:val="000000"/>
                <w:sz w:val="24"/>
              </w:rPr>
              <w:t>ARMA(2,2)</w:t>
            </w:r>
          </w:p>
        </w:tc>
        <w:tc>
          <w:tcPr>
            <w:tcW w:type="dxa" w:w="1440"/>
          </w:tcPr>
          <w:p>
            <w:r>
              <w:rPr>
                <w:rFonts w:ascii="Calibri" w:hAnsi="Calibri"/>
                <w:color w:val="000000"/>
                <w:sz w:val="24"/>
              </w:rPr>
              <w:t>GARCH(2,1)</w:t>
            </w:r>
          </w:p>
        </w:tc>
        <w:tc>
          <w:tcPr>
            <w:tcW w:type="dxa" w:w="1440"/>
          </w:tcPr>
          <w:p>
            <w:r>
              <w:rPr>
                <w:rFonts w:ascii="Calibri" w:hAnsi="Calibri"/>
                <w:color w:val="000000"/>
                <w:sz w:val="24"/>
              </w:rPr>
              <w:t>Normal</w:t>
            </w:r>
          </w:p>
        </w:tc>
        <w:tc>
          <w:tcPr>
            <w:tcW w:type="dxa" w:w="1440"/>
          </w:tcPr>
          <w:p>
            <w:r>
              <w:rPr>
                <w:rFonts w:ascii="Calibri" w:hAnsi="Calibri"/>
                <w:color w:val="000000"/>
                <w:sz w:val="24"/>
              </w:rPr>
              <w:t>1.8222</w:t>
            </w:r>
          </w:p>
        </w:tc>
        <w:tc>
          <w:tcPr>
            <w:tcW w:type="dxa" w:w="1440"/>
          </w:tcPr>
          <w:p>
            <w:r>
              <w:rPr>
                <w:rFonts w:ascii="Calibri" w:hAnsi="Calibri"/>
                <w:color w:val="000000"/>
                <w:sz w:val="24"/>
              </w:rPr>
              <w:t>1.8472</w:t>
            </w:r>
          </w:p>
        </w:tc>
      </w:tr>
    </w:tbl>
    <w:p/>
    <w:p>
      <w:r>
        <w:rPr>
          <w:rFonts w:ascii="Calibri" w:hAnsi="Calibri"/>
          <w:color w:val="000000"/>
          <w:sz w:val="24"/>
        </w:rPr>
        <w:t>Key estimated coefficients: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alibri" w:hAnsi="Calibri"/>
                <w:b/>
                <w:color w:val="000000"/>
                <w:sz w:val="24"/>
              </w:rPr>
              <w:t>Currency</w:t>
            </w:r>
          </w:p>
        </w:tc>
        <w:tc>
          <w:tcPr>
            <w:tcW w:type="dxa" w:w="1234"/>
          </w:tcPr>
          <w:p>
            <m:oMath>
              <m:r>
                <m:t>μ</m:t>
              </m:r>
            </m:oMath>
          </w:p>
        </w:tc>
        <w:tc>
          <w:tcPr>
            <w:tcW w:type="dxa" w:w="1234"/>
          </w:tcPr>
          <w:p>
            <w:r>
              <w:rPr>
                <w:rFonts w:ascii="Calibri" w:hAnsi="Calibri"/>
                <w:b/>
                <w:color w:val="000000"/>
                <w:sz w:val="24"/>
              </w:rPr>
              <w:t>AR terms</w:t>
            </w:r>
          </w:p>
        </w:tc>
        <w:tc>
          <w:tcPr>
            <w:tcW w:type="dxa" w:w="1234"/>
          </w:tcPr>
          <w:p>
            <w:r>
              <w:rPr>
                <w:rFonts w:ascii="Calibri" w:hAnsi="Calibri"/>
                <w:b/>
                <w:color w:val="000000"/>
                <w:sz w:val="24"/>
              </w:rPr>
              <w:t>MA terms</w:t>
            </w:r>
          </w:p>
        </w:tc>
        <w:tc>
          <w:tcPr>
            <w:tcW w:type="dxa" w:w="1234"/>
          </w:tcPr>
          <w:p>
            <m:oMath>
              <m:r>
                <m:t>ω</m:t>
              </m:r>
            </m:oMath>
          </w:p>
        </w:tc>
        <w:tc>
          <w:tcPr>
            <w:tcW w:type="dxa" w:w="1234"/>
          </w:tcPr>
          <w:p>
            <w:r>
              <w:rPr>
                <w:rFonts w:ascii="Calibri" w:hAnsi="Calibri"/>
                <w:b/>
                <w:color w:val="000000"/>
                <w:sz w:val="24"/>
              </w:rPr>
              <w:t>ARCH terms</w:t>
            </w:r>
          </w:p>
        </w:tc>
        <w:tc>
          <w:tcPr>
            <w:tcW w:type="dxa" w:w="1234"/>
          </w:tcPr>
          <w:p>
            <w:r>
              <w:rPr>
                <w:rFonts w:ascii="Calibri" w:hAnsi="Calibri"/>
                <w:b/>
                <w:color w:val="000000"/>
                <w:sz w:val="24"/>
              </w:rPr>
              <w:t>GARCH terms</w:t>
            </w:r>
          </w:p>
        </w:tc>
      </w:tr>
      <w:tr>
        <w:tc>
          <w:tcPr>
            <w:tcW w:type="dxa" w:w="1234"/>
          </w:tcPr>
          <w:p>
            <w:r>
              <w:rPr>
                <w:rFonts w:ascii="Calibri" w:hAnsi="Calibri"/>
                <w:color w:val="000000"/>
                <w:sz w:val="24"/>
              </w:rPr>
              <w:t>CNY</w:t>
            </w:r>
          </w:p>
        </w:tc>
        <w:tc>
          <w:tcPr>
            <w:tcW w:type="dxa" w:w="1234"/>
          </w:tcPr>
          <w:p>
            <w:r>
              <w:rPr>
                <w:rFonts w:ascii="Calibri" w:hAnsi="Calibri"/>
                <w:color w:val="000000"/>
                <w:sz w:val="24"/>
              </w:rPr>
              <w:t>no mean</w:t>
            </w:r>
          </w:p>
        </w:tc>
        <w:tc>
          <w:tcPr>
            <w:tcW w:type="dxa" w:w="1234"/>
          </w:tcPr>
          <w:p>
            <m:oMath>
              <m:r>
                <m:t>φ</m:t>
              </m:r>
              <m:r>
                <m:t>₁ = 1.9227</m:t>
              </m:r>
            </m:oMath>
            <w:r>
              <w:rPr>
                <w:rFonts w:ascii="Calibri" w:hAnsi="Calibri"/>
                <w:color w:val="000000"/>
                <w:sz w:val="24"/>
              </w:rPr>
              <w:t xml:space="preserve">, </w:t>
            </w:r>
            <m:oMath>
              <m:r>
                <m:t>φ</m:t>
              </m:r>
              <m:r>
                <m:t>₂ = −0.9236</m:t>
              </m:r>
            </m:oMath>
          </w:p>
        </w:tc>
        <w:tc>
          <w:tcPr>
            <w:tcW w:type="dxa" w:w="1234"/>
          </w:tcPr>
          <w:p>
            <m:oMath>
              <m:r>
                <m:t>θ</m:t>
              </m:r>
              <m:r>
                <m:t>₁ = −1.9479</m:t>
              </m:r>
            </m:oMath>
            <w:r>
              <w:rPr>
                <w:rFonts w:ascii="Calibri" w:hAnsi="Calibri"/>
                <w:color w:val="000000"/>
                <w:sz w:val="24"/>
              </w:rPr>
              <w:t xml:space="preserve">, </w:t>
            </w:r>
            <m:oMath>
              <m:r>
                <m:t>θ</m:t>
              </m:r>
              <m:r>
                <m:t>₂ = 0.9478</m:t>
              </m:r>
            </m:oMath>
          </w:p>
        </w:tc>
        <w:tc>
          <w:tcPr>
            <w:tcW w:type="dxa" w:w="1234"/>
          </w:tcPr>
          <w:p>
            <w:r>
              <w:rPr>
                <w:rFonts w:ascii="Calibri" w:hAnsi="Calibri"/>
                <w:color w:val="000000"/>
                <w:sz w:val="24"/>
              </w:rPr>
              <w:t>0.0291</w:t>
            </w:r>
          </w:p>
        </w:tc>
        <w:tc>
          <w:tcPr>
            <w:tcW w:type="dxa" w:w="1234"/>
          </w:tcPr>
          <w:p>
            <m:oMath>
              <m:r>
                <m:t>α</m:t>
              </m:r>
              <m:r>
                <m:t>₁ = 0.1383</m:t>
              </m:r>
            </m:oMath>
            <w:r>
              <w:rPr>
                <w:rFonts w:ascii="Calibri" w:hAnsi="Calibri"/>
                <w:color w:val="000000"/>
                <w:sz w:val="24"/>
              </w:rPr>
              <w:t xml:space="preserve">, </w:t>
            </w:r>
            <m:oMath>
              <m:r>
                <m:t>α</m:t>
              </m:r>
              <m:r>
                <m:t>₂ = 0.0000</m:t>
              </m:r>
            </m:oMath>
          </w:p>
        </w:tc>
        <w:tc>
          <w:tcPr>
            <w:tcW w:type="dxa" w:w="1234"/>
          </w:tcPr>
          <w:p>
            <m:oMath>
              <m:r>
                <m:t>β</m:t>
              </m:r>
              <m:r>
                <m:t>₁ = 0.3129</m:t>
              </m:r>
            </m:oMath>
            <w:r>
              <w:rPr>
                <w:rFonts w:ascii="Calibri" w:hAnsi="Calibri"/>
                <w:color w:val="000000"/>
                <w:sz w:val="24"/>
              </w:rPr>
              <w:t xml:space="preserve">, </w:t>
            </w:r>
            <m:oMath>
              <m:r>
                <m:t>β</m:t>
              </m:r>
              <m:r>
                <m:t>₂ = 0.4542</m:t>
              </m:r>
            </m:oMath>
          </w:p>
        </w:tc>
      </w:tr>
      <w:tr>
        <w:tc>
          <w:tcPr>
            <w:tcW w:type="dxa" w:w="1234"/>
          </w:tcPr>
          <w:p>
            <w:r>
              <w:rPr>
                <w:rFonts w:ascii="Calibri" w:hAnsi="Calibri"/>
                <w:color w:val="000000"/>
                <w:sz w:val="24"/>
              </w:rPr>
              <w:t>USD</w:t>
            </w:r>
          </w:p>
        </w:tc>
        <w:tc>
          <w:tcPr>
            <w:tcW w:type="dxa" w:w="1234"/>
          </w:tcPr>
          <w:p>
            <w:r>
              <w:rPr>
                <w:rFonts w:ascii="Calibri" w:hAnsi="Calibri"/>
                <w:color w:val="000000"/>
                <w:sz w:val="24"/>
              </w:rPr>
              <w:t>0.0010</w:t>
            </w:r>
          </w:p>
        </w:tc>
        <w:tc>
          <w:tcPr>
            <w:tcW w:type="dxa" w:w="1234"/>
          </w:tcPr>
          <w:p>
            <m:oMath>
              <m:r>
                <m:t>φ</m:t>
              </m:r>
              <m:r>
                <m:t>₁ = 1.9453</m:t>
              </m:r>
            </m:oMath>
            <w:r>
              <w:rPr>
                <w:rFonts w:ascii="Calibri" w:hAnsi="Calibri"/>
                <w:color w:val="000000"/>
                <w:sz w:val="24"/>
              </w:rPr>
              <w:t xml:space="preserve">, </w:t>
            </w:r>
            <m:oMath>
              <m:r>
                <m:t>φ</m:t>
              </m:r>
              <m:r>
                <m:t>₂ = −0.9456</m:t>
              </m:r>
            </m:oMath>
          </w:p>
        </w:tc>
        <w:tc>
          <w:tcPr>
            <w:tcW w:type="dxa" w:w="1234"/>
          </w:tcPr>
          <w:p>
            <m:oMath>
              <m:r>
                <m:t>θ</m:t>
              </m:r>
              <m:r>
                <m:t>₁ = −1.9583</m:t>
              </m:r>
            </m:oMath>
            <w:r>
              <w:rPr>
                <w:rFonts w:ascii="Calibri" w:hAnsi="Calibri"/>
                <w:color w:val="000000"/>
                <w:sz w:val="24"/>
              </w:rPr>
              <w:t xml:space="preserve">, </w:t>
            </w:r>
            <m:oMath>
              <m:r>
                <m:t>θ</m:t>
              </m:r>
              <m:r>
                <m:t>₂ = 0.9582</m:t>
              </m:r>
            </m:oMath>
          </w:p>
        </w:tc>
        <w:tc>
          <w:tcPr>
            <w:tcW w:type="dxa" w:w="1234"/>
          </w:tcPr>
          <w:p>
            <w:r>
              <w:rPr>
                <w:rFonts w:ascii="Calibri" w:hAnsi="Calibri"/>
                <w:color w:val="000000"/>
                <w:sz w:val="24"/>
              </w:rPr>
              <w:t>0.0150</w:t>
            </w:r>
          </w:p>
        </w:tc>
        <w:tc>
          <w:tcPr>
            <w:tcW w:type="dxa" w:w="1234"/>
          </w:tcPr>
          <w:p>
            <m:oMath>
              <m:r>
                <m:t>α</m:t>
              </m:r>
              <m:r>
                <m:t>₁ = 0.1285</m:t>
              </m:r>
            </m:oMath>
            <w:r>
              <w:rPr>
                <w:rFonts w:ascii="Calibri" w:hAnsi="Calibri"/>
                <w:color w:val="000000"/>
                <w:sz w:val="24"/>
              </w:rPr>
              <w:t xml:space="preserve">, </w:t>
            </w:r>
            <m:oMath>
              <m:r>
                <m:t>α</m:t>
              </m:r>
              <m:r>
                <m:t>₂ = 0.0000</m:t>
              </m:r>
            </m:oMath>
          </w:p>
        </w:tc>
        <w:tc>
          <w:tcPr>
            <w:tcW w:type="dxa" w:w="1234"/>
          </w:tcPr>
          <w:p>
            <m:oMath>
              <m:r>
                <m:t>β</m:t>
              </m:r>
              <m:r>
                <m:t>₁ = 0.2290</m:t>
              </m:r>
            </m:oMath>
            <w:r>
              <w:rPr>
                <w:rFonts w:ascii="Calibri" w:hAnsi="Calibri"/>
                <w:color w:val="000000"/>
                <w:sz w:val="24"/>
              </w:rPr>
              <w:t xml:space="preserve">, </w:t>
            </w:r>
            <m:oMath>
              <m:r>
                <m:t>β</m:t>
              </m:r>
              <m:r>
                <m:t>₂ = 0.6108</m:t>
              </m:r>
            </m:oMath>
          </w:p>
        </w:tc>
      </w:tr>
      <w:tr>
        <w:tc>
          <w:tcPr>
            <w:tcW w:type="dxa" w:w="1234"/>
          </w:tcPr>
          <w:p>
            <w:r>
              <w:rPr>
                <w:rFonts w:ascii="Calibri" w:hAnsi="Calibri"/>
                <w:color w:val="000000"/>
                <w:sz w:val="24"/>
              </w:rPr>
              <w:t>TWI</w:t>
            </w:r>
          </w:p>
        </w:tc>
        <w:tc>
          <w:tcPr>
            <w:tcW w:type="dxa" w:w="1234"/>
          </w:tcPr>
          <w:p>
            <w:r>
              <w:rPr>
                <w:rFonts w:ascii="Calibri" w:hAnsi="Calibri"/>
                <w:color w:val="000000"/>
                <w:sz w:val="24"/>
              </w:rPr>
              <w:t>−0.0031</w:t>
            </w:r>
          </w:p>
        </w:tc>
        <w:tc>
          <w:tcPr>
            <w:tcW w:type="dxa" w:w="1234"/>
          </w:tcPr>
          <w:p>
            <m:oMath>
              <m:r>
                <m:t>φ</m:t>
              </m:r>
              <m:r>
                <m:t>₁ = −1.0838</m:t>
              </m:r>
            </m:oMath>
            <w:r>
              <w:rPr>
                <w:rFonts w:ascii="Calibri" w:hAnsi="Calibri"/>
                <w:color w:val="000000"/>
                <w:sz w:val="24"/>
              </w:rPr>
              <w:t xml:space="preserve">, </w:t>
            </w:r>
            <m:oMath>
              <m:r>
                <m:t>φ</m:t>
              </m:r>
              <m:r>
                <m:t>₂ = −0.9944</m:t>
              </m:r>
            </m:oMath>
          </w:p>
        </w:tc>
        <w:tc>
          <w:tcPr>
            <w:tcW w:type="dxa" w:w="1234"/>
          </w:tcPr>
          <w:p>
            <m:oMath>
              <m:r>
                <m:t>θ</m:t>
              </m:r>
              <m:r>
                <m:t>₁ = 1.0852</m:t>
              </m:r>
            </m:oMath>
            <w:r>
              <w:rPr>
                <w:rFonts w:ascii="Calibri" w:hAnsi="Calibri"/>
                <w:color w:val="000000"/>
                <w:sz w:val="24"/>
              </w:rPr>
              <w:t xml:space="preserve">, </w:t>
            </w:r>
            <m:oMath>
              <m:r>
                <m:t>θ</m:t>
              </m:r>
              <m:r>
                <m:t>₂ = 0.9879</m:t>
              </m:r>
            </m:oMath>
          </w:p>
        </w:tc>
        <w:tc>
          <w:tcPr>
            <w:tcW w:type="dxa" w:w="1234"/>
          </w:tcPr>
          <w:p>
            <w:r>
              <w:rPr>
                <w:rFonts w:ascii="Calibri" w:hAnsi="Calibri"/>
                <w:color w:val="000000"/>
                <w:sz w:val="24"/>
              </w:rPr>
              <w:t>0.0232</w:t>
            </w:r>
          </w:p>
        </w:tc>
        <w:tc>
          <w:tcPr>
            <w:tcW w:type="dxa" w:w="1234"/>
          </w:tcPr>
          <w:p>
            <m:oMath>
              <m:r>
                <m:t>α</m:t>
              </m:r>
              <m:r>
                <m:t>₁ = 0.1574</m:t>
              </m:r>
            </m:oMath>
            <w:r>
              <w:rPr>
                <w:rFonts w:ascii="Calibri" w:hAnsi="Calibri"/>
                <w:color w:val="000000"/>
                <w:sz w:val="24"/>
              </w:rPr>
              <w:t xml:space="preserve">, </w:t>
            </w:r>
            <m:oMath>
              <m:r>
                <m:t>α</m:t>
              </m:r>
              <m:r>
                <m:t>₂ = 0.0000</m:t>
              </m:r>
            </m:oMath>
          </w:p>
        </w:tc>
        <w:tc>
          <w:tcPr>
            <w:tcW w:type="dxa" w:w="1234"/>
          </w:tcPr>
          <w:p>
            <m:oMath>
              <m:r>
                <m:t>β</m:t>
              </m:r>
              <m:r>
                <m:t>₁ = 0.2240</m:t>
              </m:r>
            </m:oMath>
            <w:r>
              <w:rPr>
                <w:rFonts w:ascii="Calibri" w:hAnsi="Calibri"/>
                <w:color w:val="000000"/>
                <w:sz w:val="24"/>
              </w:rPr>
              <w:t xml:space="preserve">, </w:t>
            </w:r>
            <m:oMath>
              <m:r>
                <m:t>β</m:t>
              </m:r>
              <m:r>
                <m:t>₂ = 0.5215</m:t>
              </m:r>
            </m:oMath>
          </w:p>
        </w:tc>
      </w:tr>
      <w:tr>
        <w:tc>
          <w:tcPr>
            <w:tcW w:type="dxa" w:w="1234"/>
          </w:tcPr>
          <w:p>
            <w:r>
              <w:rPr>
                <w:rFonts w:ascii="Calibri" w:hAnsi="Calibri"/>
                <w:color w:val="000000"/>
                <w:sz w:val="24"/>
              </w:rPr>
              <w:t>SDR</w:t>
            </w:r>
          </w:p>
        </w:tc>
        <w:tc>
          <w:tcPr>
            <w:tcW w:type="dxa" w:w="1234"/>
          </w:tcPr>
          <w:p>
            <w:r>
              <w:rPr>
                <w:rFonts w:ascii="Calibri" w:hAnsi="Calibri"/>
                <w:color w:val="000000"/>
                <w:sz w:val="24"/>
              </w:rPr>
              <w:t>−0.0015</w:t>
            </w:r>
          </w:p>
        </w:tc>
        <w:tc>
          <w:tcPr>
            <w:tcW w:type="dxa" w:w="1234"/>
          </w:tcPr>
          <w:p>
            <m:oMath>
              <m:r>
                <m:t>φ</m:t>
              </m:r>
              <m:r>
                <m:t>₁ = 1.1926</m:t>
              </m:r>
            </m:oMath>
            <w:r>
              <w:rPr>
                <w:rFonts w:ascii="Calibri" w:hAnsi="Calibri"/>
                <w:color w:val="000000"/>
                <w:sz w:val="24"/>
              </w:rPr>
              <w:t xml:space="preserve">, </w:t>
            </w:r>
            <m:oMath>
              <m:r>
                <m:t>φ</m:t>
              </m:r>
              <m:r>
                <m:t>₂ = −0.2079</m:t>
              </m:r>
            </m:oMath>
          </w:p>
        </w:tc>
        <w:tc>
          <w:tcPr>
            <w:tcW w:type="dxa" w:w="1234"/>
          </w:tcPr>
          <w:p>
            <m:oMath>
              <m:r>
                <m:t>θ</m:t>
              </m:r>
              <m:r>
                <m:t>₁ = −1.3733</m:t>
              </m:r>
            </m:oMath>
            <w:r>
              <w:rPr>
                <w:rFonts w:ascii="Calibri" w:hAnsi="Calibri"/>
                <w:color w:val="000000"/>
                <w:sz w:val="24"/>
              </w:rPr>
              <w:t xml:space="preserve">, </w:t>
            </w:r>
            <m:oMath>
              <m:r>
                <m:t>θ</m:t>
              </m:r>
              <m:r>
                <m:t>₂ = 0.3713</m:t>
              </m:r>
            </m:oMath>
          </w:p>
        </w:tc>
        <w:tc>
          <w:tcPr>
            <w:tcW w:type="dxa" w:w="1234"/>
          </w:tcPr>
          <w:p>
            <w:r>
              <w:rPr>
                <w:rFonts w:ascii="Calibri" w:hAnsi="Calibri"/>
                <w:color w:val="000000"/>
                <w:sz w:val="24"/>
              </w:rPr>
              <w:t>0.0161</w:t>
            </w:r>
          </w:p>
        </w:tc>
        <w:tc>
          <w:tcPr>
            <w:tcW w:type="dxa" w:w="1234"/>
          </w:tcPr>
          <w:p>
            <m:oMath>
              <m:r>
                <m:t>α</m:t>
              </m:r>
              <m:r>
                <m:t>₁ = 0.1240</m:t>
              </m:r>
            </m:oMath>
          </w:p>
        </w:tc>
        <w:tc>
          <w:tcPr>
            <w:tcW w:type="dxa" w:w="1234"/>
          </w:tcPr>
          <w:p>
            <m:oMath>
              <m:r>
                <m:t>β</m:t>
              </m:r>
              <m:r>
                <m:t>₁ = 0.2688</m:t>
              </m:r>
            </m:oMath>
            <w:r>
              <w:rPr>
                <w:rFonts w:ascii="Calibri" w:hAnsi="Calibri"/>
                <w:color w:val="000000"/>
                <w:sz w:val="24"/>
              </w:rPr>
              <w:t xml:space="preserve">, </w:t>
            </w:r>
            <m:oMath>
              <m:r>
                <m:t>β</m:t>
              </m:r>
              <m:r>
                <m:t>₂ = 0.5680</m:t>
              </m:r>
            </m:oMath>
          </w:p>
        </w:tc>
      </w:tr>
    </w:tbl>
    <w:p/>
    <w:p>
      <w:r>
        <w:rPr>
          <w:rFonts w:ascii="Calibri" w:hAnsi="Calibri"/>
          <w:color w:val="000000"/>
          <w:sz w:val="24"/>
        </w:rPr>
        <w:t>Across all four currencies, the ARCH and GARCH coefficients sum to values below one, so the estimated variance processes are covariance-stationary in variance and the unconditional variances in Question 7 are defined. The persistence is still high, especially for USD and SDR, which means volatility shocks decay slowly. For CNY, removing the mean term in the final ARMA-GARCH fit avoids the near-unit-persistence solution and gives a variance estimate much closer to the exemplar's stable CNY result.</w:t>
      </w:r>
    </w:p>
    <w:p>
      <w:pPr>
        <w:pStyle w:val="Heading3"/>
      </w:pPr>
      <w:r>
        <w:t>Diagnostics and Volatility Plots</w:t>
      </w:r>
    </w:p>
    <w:p>
      <w:r>
        <w:rPr>
          <w:rFonts w:ascii="Calibri" w:hAnsi="Calibri"/>
          <w:color w:val="000000"/>
          <w:sz w:val="24"/>
        </w:rPr>
        <w:t>Ljung-Box results for the final models: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4"/>
              </w:rPr>
              <w:t>Currency</w:t>
            </w:r>
          </w:p>
        </w:tc>
        <w:tc>
          <w:tcPr>
            <w:tcW w:type="dxa" w:w="2880"/>
          </w:tcPr>
          <w:p>
            <w:r>
              <w:rPr>
                <w:rFonts w:ascii="Calibri" w:hAnsi="Calibri"/>
                <w:b/>
                <w:color w:val="000000"/>
                <w:sz w:val="24"/>
              </w:rPr>
              <w:t>LB on Std. Residuals</w:t>
            </w:r>
          </w:p>
        </w:tc>
        <w:tc>
          <w:tcPr>
            <w:tcW w:type="dxa" w:w="2880"/>
          </w:tcPr>
          <w:p>
            <w:r>
              <w:rPr>
                <w:rFonts w:ascii="Calibri" w:hAnsi="Calibri"/>
                <w:b/>
                <w:color w:val="000000"/>
                <w:sz w:val="24"/>
              </w:rPr>
              <w:t>LB on Sq. Std. Residuals</w:t>
            </w:r>
          </w:p>
        </w:tc>
      </w:tr>
      <w:tr>
        <w:tc>
          <w:tcPr>
            <w:tcW w:type="dxa" w:w="2880"/>
          </w:tcPr>
          <w:p>
            <w:r>
              <w:rPr>
                <w:rFonts w:ascii="Calibri" w:hAnsi="Calibri"/>
                <w:color w:val="000000"/>
                <w:sz w:val="24"/>
              </w:rPr>
              <w:t>CNY</w:t>
            </w:r>
          </w:p>
        </w:tc>
        <w:tc>
          <w:tcPr>
            <w:tcW w:type="dxa" w:w="2880"/>
          </w:tcPr>
          <w:p>
            <w:r>
              <w:rPr>
                <w:rFonts w:ascii="Calibri" w:hAnsi="Calibri"/>
                <w:color w:val="000000"/>
                <w:sz w:val="24"/>
              </w:rPr>
              <w:t>0.2091</w:t>
            </w:r>
          </w:p>
        </w:tc>
        <w:tc>
          <w:tcPr>
            <w:tcW w:type="dxa" w:w="2880"/>
          </w:tcPr>
          <w:p>
            <w:r>
              <w:rPr>
                <w:rFonts w:ascii="Calibri" w:hAnsi="Calibri"/>
                <w:color w:val="000000"/>
                <w:sz w:val="24"/>
              </w:rPr>
              <w:t>0.0096</w:t>
            </w:r>
          </w:p>
        </w:tc>
      </w:tr>
      <w:tr>
        <w:tc>
          <w:tcPr>
            <w:tcW w:type="dxa" w:w="2880"/>
          </w:tcPr>
          <w:p>
            <w:r>
              <w:rPr>
                <w:rFonts w:ascii="Calibri" w:hAnsi="Calibri"/>
                <w:color w:val="000000"/>
                <w:sz w:val="24"/>
              </w:rPr>
              <w:t>USD</w:t>
            </w:r>
          </w:p>
        </w:tc>
        <w:tc>
          <w:tcPr>
            <w:tcW w:type="dxa" w:w="2880"/>
          </w:tcPr>
          <w:p>
            <w:r>
              <w:rPr>
                <w:rFonts w:ascii="Calibri" w:hAnsi="Calibri"/>
                <w:color w:val="000000"/>
                <w:sz w:val="24"/>
              </w:rPr>
              <w:t>0.4159</w:t>
            </w:r>
          </w:p>
        </w:tc>
        <w:tc>
          <w:tcPr>
            <w:tcW w:type="dxa" w:w="2880"/>
          </w:tcPr>
          <w:p>
            <w:r>
              <w:rPr>
                <w:rFonts w:ascii="Calibri" w:hAnsi="Calibri"/>
                <w:color w:val="000000"/>
                <w:sz w:val="24"/>
              </w:rPr>
              <w:t>0.0833</w:t>
            </w:r>
          </w:p>
        </w:tc>
      </w:tr>
      <w:tr>
        <w:tc>
          <w:tcPr>
            <w:tcW w:type="dxa" w:w="2880"/>
          </w:tcPr>
          <w:p>
            <w:r>
              <w:rPr>
                <w:rFonts w:ascii="Calibri" w:hAnsi="Calibri"/>
                <w:color w:val="000000"/>
                <w:sz w:val="24"/>
              </w:rPr>
              <w:t>TWI</w:t>
            </w:r>
          </w:p>
        </w:tc>
        <w:tc>
          <w:tcPr>
            <w:tcW w:type="dxa" w:w="2880"/>
          </w:tcPr>
          <w:p>
            <w:r>
              <w:rPr>
                <w:rFonts w:ascii="Calibri" w:hAnsi="Calibri"/>
                <w:color w:val="000000"/>
                <w:sz w:val="24"/>
              </w:rPr>
              <w:t>0.2583</w:t>
            </w:r>
          </w:p>
        </w:tc>
        <w:tc>
          <w:tcPr>
            <w:tcW w:type="dxa" w:w="2880"/>
          </w:tcPr>
          <w:p>
            <w:r>
              <w:rPr>
                <w:rFonts w:ascii="Calibri" w:hAnsi="Calibri"/>
                <w:color w:val="000000"/>
                <w:sz w:val="24"/>
              </w:rPr>
              <w:t>0.0879</w:t>
            </w:r>
          </w:p>
        </w:tc>
      </w:tr>
      <w:tr>
        <w:tc>
          <w:tcPr>
            <w:tcW w:type="dxa" w:w="2880"/>
          </w:tcPr>
          <w:p>
            <w:r>
              <w:rPr>
                <w:rFonts w:ascii="Calibri" w:hAnsi="Calibri"/>
                <w:color w:val="000000"/>
                <w:sz w:val="24"/>
              </w:rPr>
              <w:t>SDR</w:t>
            </w:r>
          </w:p>
        </w:tc>
        <w:tc>
          <w:tcPr>
            <w:tcW w:type="dxa" w:w="2880"/>
          </w:tcPr>
          <w:p>
            <w:r>
              <w:rPr>
                <w:rFonts w:ascii="Calibri" w:hAnsi="Calibri"/>
                <w:color w:val="000000"/>
                <w:sz w:val="24"/>
              </w:rPr>
              <w:t>0.1256</w:t>
            </w:r>
          </w:p>
        </w:tc>
        <w:tc>
          <w:tcPr>
            <w:tcW w:type="dxa" w:w="2880"/>
          </w:tcPr>
          <w:p>
            <w:r>
              <w:rPr>
                <w:rFonts w:ascii="Calibri" w:hAnsi="Calibri"/>
                <w:color w:val="000000"/>
                <w:sz w:val="24"/>
              </w:rPr>
              <w:t>0.0058</w:t>
            </w:r>
          </w:p>
        </w:tc>
      </w:tr>
    </w:tbl>
    <w:p/>
    <w:p>
      <w:r>
        <w:rPr>
          <w:rFonts w:ascii="Calibri" w:hAnsi="Calibri"/>
          <w:color w:val="000000"/>
          <w:sz w:val="24"/>
        </w:rPr>
        <w:t>The standardised residual checks are acceptable for all four models, so the ARMA part of the fitted models is not leaving strong linear autocorrelation. The squared-standardised-residual checks are cleaner for USD and TWI than for CNY and SDR, so there is still some evidence of remaining variance dependence in those two series. This does not make the models unusable; it means the GARCH specifications substantially improve on the constant-variance ARMA models, while the volatility diagnostics are not perfectly clean.</w:t>
      </w:r>
    </w:p>
    <w:p>
      <w:pPr>
        <w:jc w:val="center"/>
      </w:pPr>
      <w:r>
        <w:drawing>
          <wp:inline xmlns:a="http://schemas.openxmlformats.org/drawingml/2006/main" xmlns:pic="http://schemas.openxmlformats.org/drawingml/2006/picture">
            <wp:extent cx="5852160" cy="1950720"/>
            <wp:docPr id="10" name="Picture 10"/>
            <wp:cNvGraphicFramePr>
              <a:graphicFrameLocks noChangeAspect="1"/>
            </wp:cNvGraphicFramePr>
            <a:graphic>
              <a:graphicData uri="http://schemas.openxmlformats.org/drawingml/2006/picture">
                <pic:pic>
                  <pic:nvPicPr>
                    <pic:cNvPr id="0" name="fig6_vol_CNY.png"/>
                    <pic:cNvPicPr/>
                  </pic:nvPicPr>
                  <pic:blipFill>
                    <a:blip r:embed="rId18"/>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1" name="Picture 11"/>
            <wp:cNvGraphicFramePr>
              <a:graphicFrameLocks noChangeAspect="1"/>
            </wp:cNvGraphicFramePr>
            <a:graphic>
              <a:graphicData uri="http://schemas.openxmlformats.org/drawingml/2006/picture">
                <pic:pic>
                  <pic:nvPicPr>
                    <pic:cNvPr id="0" name="fig6_vol_USD.png"/>
                    <pic:cNvPicPr/>
                  </pic:nvPicPr>
                  <pic:blipFill>
                    <a:blip r:embed="rId19"/>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2" name="Picture 12"/>
            <wp:cNvGraphicFramePr>
              <a:graphicFrameLocks noChangeAspect="1"/>
            </wp:cNvGraphicFramePr>
            <a:graphic>
              <a:graphicData uri="http://schemas.openxmlformats.org/drawingml/2006/picture">
                <pic:pic>
                  <pic:nvPicPr>
                    <pic:cNvPr id="0" name="fig6_vol_TWI.png"/>
                    <pic:cNvPicPr/>
                  </pic:nvPicPr>
                  <pic:blipFill>
                    <a:blip r:embed="rId20"/>
                    <a:stretch>
                      <a:fillRect/>
                    </a:stretch>
                  </pic:blipFill>
                  <pic:spPr>
                    <a:xfrm>
                      <a:off x="0" y="0"/>
                      <a:ext cx="5852160" cy="1950720"/>
                    </a:xfrm>
                    <a:prstGeom prst="rect"/>
                  </pic:spPr>
                </pic:pic>
              </a:graphicData>
            </a:graphic>
          </wp:inline>
        </w:drawing>
      </w:r>
    </w:p>
    <w:p>
      <w:pPr>
        <w:jc w:val="center"/>
      </w:pPr>
      <w:r>
        <w:drawing>
          <wp:inline xmlns:a="http://schemas.openxmlformats.org/drawingml/2006/main" xmlns:pic="http://schemas.openxmlformats.org/drawingml/2006/picture">
            <wp:extent cx="5852160" cy="1950720"/>
            <wp:docPr id="13" name="Picture 13"/>
            <wp:cNvGraphicFramePr>
              <a:graphicFrameLocks noChangeAspect="1"/>
            </wp:cNvGraphicFramePr>
            <a:graphic>
              <a:graphicData uri="http://schemas.openxmlformats.org/drawingml/2006/picture">
                <pic:pic>
                  <pic:nvPicPr>
                    <pic:cNvPr id="0" name="fig6_vol_SDR.png"/>
                    <pic:cNvPicPr/>
                  </pic:nvPicPr>
                  <pic:blipFill>
                    <a:blip r:embed="rId21"/>
                    <a:stretch>
                      <a:fillRect/>
                    </a:stretch>
                  </pic:blipFill>
                  <pic:spPr>
                    <a:xfrm>
                      <a:off x="0" y="0"/>
                      <a:ext cx="5852160" cy="1950720"/>
                    </a:xfrm>
                    <a:prstGeom prst="rect"/>
                  </pic:spPr>
                </pic:pic>
              </a:graphicData>
            </a:graphic>
          </wp:inline>
        </w:drawing>
      </w:r>
    </w:p>
    <w:p>
      <w:pPr>
        <w:jc w:val="center"/>
      </w:pPr>
      <w:r>
        <w:rPr>
          <w:rFonts w:ascii="Calibri" w:hAnsi="Calibri"/>
          <w:color w:val="000000"/>
          <w:sz w:val="24"/>
        </w:rPr>
        <w:t>Figures 10-13</w:t>
      </w:r>
    </w:p>
    <w:p>
      <w:r>
        <w:rPr>
          <w:rFonts w:ascii="Calibri" w:hAnsi="Calibri"/>
          <w:color w:val="000000"/>
          <w:sz w:val="24"/>
        </w:rPr>
        <w:t>Figures 10-13 plot the fitted conditional volatility from these ARMA-GARCH models. All four volatility paths show visible clustering and sharp jumps around the COVID-19 period. TWI remains the smoothest series, while USD and SDR show larger and more persistent volatility bursts.</w:t>
      </w:r>
    </w:p>
    <w:p>
      <w:r>
        <w:br w:type="page"/>
      </w:r>
    </w:p>
    <w:p>
      <w:pPr>
        <w:pStyle w:val="Heading2"/>
      </w:pPr>
      <w:r>
        <w:t>Question 7</w:t>
      </w:r>
    </w:p>
    <w:p>
      <w:r>
        <w:rPr>
          <w:rFonts w:ascii="Calibri" w:hAnsi="Calibri"/>
          <w:color w:val="000000"/>
          <w:sz w:val="24"/>
        </w:rPr>
        <w:t>For the symmetric GARCH models selected in Question 6, the unconditional variance exists when:</w:t>
      </w:r>
    </w:p>
    <w:p>
      <w:pPr>
        <w:jc w:val="center"/>
      </w:pPr>
      <m:oMath>
        <m:r>
          <m:t>Σ</m:t>
        </m:r>
        <m:r>
          <m:t> </m:t>
        </m:r>
        <m:sSub>
          <m:e>
            <m:r>
              <m:t>α</m:t>
            </m:r>
          </m:e>
          <m:sub>
            <m:r>
              <m:t>i</m:t>
            </m:r>
          </m:sub>
        </m:sSub>
        <m:r>
          <m:t> + </m:t>
        </m:r>
        <m:r>
          <m:t>Σ</m:t>
        </m:r>
        <m:r>
          <m:t> </m:t>
        </m:r>
        <m:sSub>
          <m:e>
            <m:r>
              <m:t>β</m:t>
            </m:r>
          </m:e>
          <m:sub>
            <m:r>
              <m:t>i</m:t>
            </m:r>
          </m:sub>
        </m:sSub>
        <m:r>
          <m:t> &lt; 1</m:t>
        </m:r>
      </m:oMath>
    </w:p>
    <w:p>
      <w:r>
        <w:rPr>
          <w:rFonts w:ascii="Calibri" w:hAnsi="Calibri"/>
          <w:color w:val="000000"/>
          <w:sz w:val="24"/>
        </w:rPr>
        <w:t>When that condition holds, the unconditional variance is:</w:t>
      </w:r>
    </w:p>
    <w:p>
      <w:pPr>
        <w:jc w:val="center"/>
      </w:pPr>
      <m:oMath>
        <m:sSubSup>
          <m:e>
            <m:r>
              <m:t>σ</m:t>
            </m:r>
          </m:e>
          <m:sub>
            <m:r>
              <m:t>j</m:t>
            </m:r>
          </m:sub>
          <m:sup>
            <m:r>
              <m:t>2</m:t>
            </m:r>
          </m:sup>
        </m:sSubSup>
        <m:r>
          <m:t> = </m:t>
        </m:r>
        <m:r>
          <m:t>ω</m:t>
        </m:r>
        <m:r>
          <m:t> / (1 - </m:t>
        </m:r>
        <m:r>
          <m:t>Σ</m:t>
        </m:r>
        <m:r>
          <m:t> </m:t>
        </m:r>
        <m:sSub>
          <m:e>
            <m:r>
              <m:t>α</m:t>
            </m:r>
          </m:e>
          <m:sub>
            <m:r>
              <m:t>i</m:t>
            </m:r>
          </m:sub>
        </m:sSub>
        <m:r>
          <m:t> - </m:t>
        </m:r>
        <m:r>
          <m:t>Σ</m:t>
        </m:r>
        <m:r>
          <m:t> </m:t>
        </m:r>
        <m:sSub>
          <m:e>
            <m:r>
              <m:t>β</m:t>
            </m:r>
          </m:e>
          <m:sub>
            <m:r>
              <m:t>i</m:t>
            </m:r>
          </m:sub>
        </m:sSub>
        <m:r>
          <m:t>)</m:t>
        </m:r>
      </m:oMath>
    </w:p>
    <w:p>
      <w:r>
        <w:rPr>
          <w:rFonts w:ascii="Calibri" w:hAnsi="Calibri"/>
          <w:color w:val="000000"/>
          <w:sz w:val="24"/>
        </w:rPr>
        <w:t>Applying this formula to each fitted model gives the following coefficient-based variance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Calibri" w:hAnsi="Calibri"/>
                <w:b/>
                <w:color w:val="000000"/>
                <w:sz w:val="24"/>
              </w:rPr>
              <w:t>Currency</w:t>
            </w:r>
          </w:p>
        </w:tc>
        <w:tc>
          <w:tcPr>
            <w:tcW w:type="dxa" w:w="1080"/>
          </w:tcPr>
          <w:p>
            <m:oMath>
              <m:r>
                <m:t>ω</m:t>
              </m:r>
            </m:oMath>
          </w:p>
        </w:tc>
        <w:tc>
          <w:tcPr>
            <w:tcW w:type="dxa" w:w="1080"/>
          </w:tcPr>
          <w:p>
            <m:oMath>
              <m:r>
                <m:t>α</m:t>
              </m:r>
              <m:r>
                <m:t>₁</m:t>
              </m:r>
            </m:oMath>
          </w:p>
        </w:tc>
        <w:tc>
          <w:tcPr>
            <w:tcW w:type="dxa" w:w="1080"/>
          </w:tcPr>
          <w:p>
            <m:oMath>
              <m:r>
                <m:t>α</m:t>
              </m:r>
              <m:r>
                <m:t>₂</m:t>
              </m:r>
            </m:oMath>
          </w:p>
        </w:tc>
        <w:tc>
          <w:tcPr>
            <w:tcW w:type="dxa" w:w="1080"/>
          </w:tcPr>
          <w:p>
            <m:oMath>
              <m:r>
                <m:t>β</m:t>
              </m:r>
              <m:r>
                <m:t>₁</m:t>
              </m:r>
            </m:oMath>
          </w:p>
        </w:tc>
        <w:tc>
          <w:tcPr>
            <w:tcW w:type="dxa" w:w="1080"/>
          </w:tcPr>
          <w:p>
            <m:oMath>
              <m:r>
                <m:t>β</m:t>
              </m:r>
              <m:r>
                <m:t>₂</m:t>
              </m:r>
            </m:oMath>
          </w:p>
        </w:tc>
        <w:tc>
          <w:tcPr>
            <w:tcW w:type="dxa" w:w="1080"/>
          </w:tcPr>
          <w:p>
            <m:oMath>
              <m:r>
                <m:t>α</m:t>
              </m:r>
              <m:r>
                <m:t> + </m:t>
              </m:r>
              <m:r>
                <m:t>β</m:t>
              </m:r>
            </m:oMath>
          </w:p>
        </w:tc>
        <w:tc>
          <w:tcPr>
            <w:tcW w:type="dxa" w:w="1080"/>
          </w:tcPr>
          <w:p>
            <w:r>
              <w:rPr>
                <w:rFonts w:ascii="Calibri" w:hAnsi="Calibri"/>
                <w:b/>
                <w:color w:val="000000"/>
                <w:sz w:val="24"/>
              </w:rPr>
              <w:t>Uncond. Variance</w:t>
            </w:r>
          </w:p>
        </w:tc>
      </w:tr>
      <w:tr>
        <w:tc>
          <w:tcPr>
            <w:tcW w:type="dxa" w:w="1080"/>
          </w:tcPr>
          <w:p>
            <w:r>
              <w:rPr>
                <w:rFonts w:ascii="Calibri" w:hAnsi="Calibri"/>
                <w:color w:val="000000"/>
                <w:sz w:val="24"/>
              </w:rPr>
              <w:t>CNY</w:t>
            </w:r>
          </w:p>
        </w:tc>
        <w:tc>
          <w:tcPr>
            <w:tcW w:type="dxa" w:w="1080"/>
          </w:tcPr>
          <w:p>
            <w:r>
              <w:rPr>
                <w:rFonts w:ascii="Calibri" w:hAnsi="Calibri"/>
                <w:color w:val="000000"/>
                <w:sz w:val="24"/>
              </w:rPr>
              <w:t>0.0291</w:t>
            </w:r>
          </w:p>
        </w:tc>
        <w:tc>
          <w:tcPr>
            <w:tcW w:type="dxa" w:w="1080"/>
          </w:tcPr>
          <w:p>
            <w:r>
              <w:rPr>
                <w:rFonts w:ascii="Calibri" w:hAnsi="Calibri"/>
                <w:color w:val="000000"/>
                <w:sz w:val="24"/>
              </w:rPr>
              <w:t>0.1383</w:t>
            </w:r>
          </w:p>
        </w:tc>
        <w:tc>
          <w:tcPr>
            <w:tcW w:type="dxa" w:w="1080"/>
          </w:tcPr>
          <w:p>
            <w:r>
              <w:rPr>
                <w:rFonts w:ascii="Calibri" w:hAnsi="Calibri"/>
                <w:color w:val="000000"/>
                <w:sz w:val="24"/>
              </w:rPr>
              <w:t>0.0000</w:t>
            </w:r>
          </w:p>
        </w:tc>
        <w:tc>
          <w:tcPr>
            <w:tcW w:type="dxa" w:w="1080"/>
          </w:tcPr>
          <w:p>
            <w:r>
              <w:rPr>
                <w:rFonts w:ascii="Calibri" w:hAnsi="Calibri"/>
                <w:color w:val="000000"/>
                <w:sz w:val="24"/>
              </w:rPr>
              <w:t>0.3129</w:t>
            </w:r>
          </w:p>
        </w:tc>
        <w:tc>
          <w:tcPr>
            <w:tcW w:type="dxa" w:w="1080"/>
          </w:tcPr>
          <w:p>
            <w:r>
              <w:rPr>
                <w:rFonts w:ascii="Calibri" w:hAnsi="Calibri"/>
                <w:color w:val="000000"/>
                <w:sz w:val="24"/>
              </w:rPr>
              <w:t>0.4542</w:t>
            </w:r>
          </w:p>
        </w:tc>
        <w:tc>
          <w:tcPr>
            <w:tcW w:type="dxa" w:w="1080"/>
          </w:tcPr>
          <w:p>
            <w:r>
              <w:rPr>
                <w:rFonts w:ascii="Calibri" w:hAnsi="Calibri"/>
                <w:color w:val="000000"/>
                <w:sz w:val="24"/>
              </w:rPr>
              <w:t>0.9054</w:t>
            </w:r>
          </w:p>
        </w:tc>
        <w:tc>
          <w:tcPr>
            <w:tcW w:type="dxa" w:w="1080"/>
          </w:tcPr>
          <w:p>
            <w:r>
              <w:rPr>
                <w:rFonts w:ascii="Calibri" w:hAnsi="Calibri"/>
                <w:color w:val="000000"/>
                <w:sz w:val="24"/>
              </w:rPr>
              <w:t>0.3081</w:t>
            </w:r>
          </w:p>
        </w:tc>
      </w:tr>
      <w:tr>
        <w:tc>
          <w:tcPr>
            <w:tcW w:type="dxa" w:w="1080"/>
          </w:tcPr>
          <w:p>
            <w:r>
              <w:rPr>
                <w:rFonts w:ascii="Calibri" w:hAnsi="Calibri"/>
                <w:color w:val="000000"/>
                <w:sz w:val="24"/>
              </w:rPr>
              <w:t>USD</w:t>
            </w:r>
          </w:p>
        </w:tc>
        <w:tc>
          <w:tcPr>
            <w:tcW w:type="dxa" w:w="1080"/>
          </w:tcPr>
          <w:p>
            <w:r>
              <w:rPr>
                <w:rFonts w:ascii="Calibri" w:hAnsi="Calibri"/>
                <w:color w:val="000000"/>
                <w:sz w:val="24"/>
              </w:rPr>
              <w:t>0.0150</w:t>
            </w:r>
          </w:p>
        </w:tc>
        <w:tc>
          <w:tcPr>
            <w:tcW w:type="dxa" w:w="1080"/>
          </w:tcPr>
          <w:p>
            <w:r>
              <w:rPr>
                <w:rFonts w:ascii="Calibri" w:hAnsi="Calibri"/>
                <w:color w:val="000000"/>
                <w:sz w:val="24"/>
              </w:rPr>
              <w:t>0.1285</w:t>
            </w:r>
          </w:p>
        </w:tc>
        <w:tc>
          <w:tcPr>
            <w:tcW w:type="dxa" w:w="1080"/>
          </w:tcPr>
          <w:p>
            <w:r>
              <w:rPr>
                <w:rFonts w:ascii="Calibri" w:hAnsi="Calibri"/>
                <w:color w:val="000000"/>
                <w:sz w:val="24"/>
              </w:rPr>
              <w:t>0.0000</w:t>
            </w:r>
          </w:p>
        </w:tc>
        <w:tc>
          <w:tcPr>
            <w:tcW w:type="dxa" w:w="1080"/>
          </w:tcPr>
          <w:p>
            <w:r>
              <w:rPr>
                <w:rFonts w:ascii="Calibri" w:hAnsi="Calibri"/>
                <w:color w:val="000000"/>
                <w:sz w:val="24"/>
              </w:rPr>
              <w:t>0.2290</w:t>
            </w:r>
          </w:p>
        </w:tc>
        <w:tc>
          <w:tcPr>
            <w:tcW w:type="dxa" w:w="1080"/>
          </w:tcPr>
          <w:p>
            <w:r>
              <w:rPr>
                <w:rFonts w:ascii="Calibri" w:hAnsi="Calibri"/>
                <w:color w:val="000000"/>
                <w:sz w:val="24"/>
              </w:rPr>
              <w:t>0.6108</w:t>
            </w:r>
          </w:p>
        </w:tc>
        <w:tc>
          <w:tcPr>
            <w:tcW w:type="dxa" w:w="1080"/>
          </w:tcPr>
          <w:p>
            <w:r>
              <w:rPr>
                <w:rFonts w:ascii="Calibri" w:hAnsi="Calibri"/>
                <w:color w:val="000000"/>
                <w:sz w:val="24"/>
              </w:rPr>
              <w:t>0.9683</w:t>
            </w:r>
          </w:p>
        </w:tc>
        <w:tc>
          <w:tcPr>
            <w:tcW w:type="dxa" w:w="1080"/>
          </w:tcPr>
          <w:p>
            <w:r>
              <w:rPr>
                <w:rFonts w:ascii="Calibri" w:hAnsi="Calibri"/>
                <w:color w:val="000000"/>
                <w:sz w:val="24"/>
              </w:rPr>
              <w:t>0.4725</w:t>
            </w:r>
          </w:p>
        </w:tc>
      </w:tr>
      <w:tr>
        <w:tc>
          <w:tcPr>
            <w:tcW w:type="dxa" w:w="1080"/>
          </w:tcPr>
          <w:p>
            <w:r>
              <w:rPr>
                <w:rFonts w:ascii="Calibri" w:hAnsi="Calibri"/>
                <w:color w:val="000000"/>
                <w:sz w:val="24"/>
              </w:rPr>
              <w:t>TWI</w:t>
            </w:r>
          </w:p>
        </w:tc>
        <w:tc>
          <w:tcPr>
            <w:tcW w:type="dxa" w:w="1080"/>
          </w:tcPr>
          <w:p>
            <w:r>
              <w:rPr>
                <w:rFonts w:ascii="Calibri" w:hAnsi="Calibri"/>
                <w:color w:val="000000"/>
                <w:sz w:val="24"/>
              </w:rPr>
              <w:t>0.0232</w:t>
            </w:r>
          </w:p>
        </w:tc>
        <w:tc>
          <w:tcPr>
            <w:tcW w:type="dxa" w:w="1080"/>
          </w:tcPr>
          <w:p>
            <w:r>
              <w:rPr>
                <w:rFonts w:ascii="Calibri" w:hAnsi="Calibri"/>
                <w:color w:val="000000"/>
                <w:sz w:val="24"/>
              </w:rPr>
              <w:t>0.1574</w:t>
            </w:r>
          </w:p>
        </w:tc>
        <w:tc>
          <w:tcPr>
            <w:tcW w:type="dxa" w:w="1080"/>
          </w:tcPr>
          <w:p>
            <w:r>
              <w:rPr>
                <w:rFonts w:ascii="Calibri" w:hAnsi="Calibri"/>
                <w:color w:val="000000"/>
                <w:sz w:val="24"/>
              </w:rPr>
              <w:t>0.0000</w:t>
            </w:r>
          </w:p>
        </w:tc>
        <w:tc>
          <w:tcPr>
            <w:tcW w:type="dxa" w:w="1080"/>
          </w:tcPr>
          <w:p>
            <w:r>
              <w:rPr>
                <w:rFonts w:ascii="Calibri" w:hAnsi="Calibri"/>
                <w:color w:val="000000"/>
                <w:sz w:val="24"/>
              </w:rPr>
              <w:t>0.2240</w:t>
            </w:r>
          </w:p>
        </w:tc>
        <w:tc>
          <w:tcPr>
            <w:tcW w:type="dxa" w:w="1080"/>
          </w:tcPr>
          <w:p>
            <w:r>
              <w:rPr>
                <w:rFonts w:ascii="Calibri" w:hAnsi="Calibri"/>
                <w:color w:val="000000"/>
                <w:sz w:val="24"/>
              </w:rPr>
              <w:t>0.5215</w:t>
            </w:r>
          </w:p>
        </w:tc>
        <w:tc>
          <w:tcPr>
            <w:tcW w:type="dxa" w:w="1080"/>
          </w:tcPr>
          <w:p>
            <w:r>
              <w:rPr>
                <w:rFonts w:ascii="Calibri" w:hAnsi="Calibri"/>
                <w:color w:val="000000"/>
                <w:sz w:val="24"/>
              </w:rPr>
              <w:t>0.9030</w:t>
            </w:r>
          </w:p>
        </w:tc>
        <w:tc>
          <w:tcPr>
            <w:tcW w:type="dxa" w:w="1080"/>
          </w:tcPr>
          <w:p>
            <w:r>
              <w:rPr>
                <w:rFonts w:ascii="Calibri" w:hAnsi="Calibri"/>
                <w:color w:val="000000"/>
                <w:sz w:val="24"/>
              </w:rPr>
              <w:t>0.2393</w:t>
            </w:r>
          </w:p>
        </w:tc>
      </w:tr>
      <w:tr>
        <w:tc>
          <w:tcPr>
            <w:tcW w:type="dxa" w:w="1080"/>
          </w:tcPr>
          <w:p>
            <w:r>
              <w:rPr>
                <w:rFonts w:ascii="Calibri" w:hAnsi="Calibri"/>
                <w:color w:val="000000"/>
                <w:sz w:val="24"/>
              </w:rPr>
              <w:t>SDR</w:t>
            </w:r>
          </w:p>
        </w:tc>
        <w:tc>
          <w:tcPr>
            <w:tcW w:type="dxa" w:w="1080"/>
          </w:tcPr>
          <w:p>
            <w:r>
              <w:rPr>
                <w:rFonts w:ascii="Calibri" w:hAnsi="Calibri"/>
                <w:color w:val="000000"/>
                <w:sz w:val="24"/>
              </w:rPr>
              <w:t>0.0161</w:t>
            </w:r>
          </w:p>
        </w:tc>
        <w:tc>
          <w:tcPr>
            <w:tcW w:type="dxa" w:w="1080"/>
          </w:tcPr>
          <w:p>
            <w:r>
              <w:rPr>
                <w:rFonts w:ascii="Calibri" w:hAnsi="Calibri"/>
                <w:color w:val="000000"/>
                <w:sz w:val="24"/>
              </w:rPr>
              <w:t>0.1240</w:t>
            </w:r>
          </w:p>
        </w:tc>
        <w:tc>
          <w:tcPr>
            <w:tcW w:type="dxa" w:w="1080"/>
          </w:tcPr>
          <w:p>
            <w:r>
              <w:rPr>
                <w:rFonts w:ascii="Calibri" w:hAnsi="Calibri"/>
                <w:color w:val="000000"/>
                <w:sz w:val="24"/>
              </w:rPr>
              <w:t>-</w:t>
            </w:r>
          </w:p>
        </w:tc>
        <w:tc>
          <w:tcPr>
            <w:tcW w:type="dxa" w:w="1080"/>
          </w:tcPr>
          <w:p>
            <w:r>
              <w:rPr>
                <w:rFonts w:ascii="Calibri" w:hAnsi="Calibri"/>
                <w:color w:val="000000"/>
                <w:sz w:val="24"/>
              </w:rPr>
              <w:t>0.2688</w:t>
            </w:r>
          </w:p>
        </w:tc>
        <w:tc>
          <w:tcPr>
            <w:tcW w:type="dxa" w:w="1080"/>
          </w:tcPr>
          <w:p>
            <w:r>
              <w:rPr>
                <w:rFonts w:ascii="Calibri" w:hAnsi="Calibri"/>
                <w:color w:val="000000"/>
                <w:sz w:val="24"/>
              </w:rPr>
              <w:t>0.5680</w:t>
            </w:r>
          </w:p>
        </w:tc>
        <w:tc>
          <w:tcPr>
            <w:tcW w:type="dxa" w:w="1080"/>
          </w:tcPr>
          <w:p>
            <w:r>
              <w:rPr>
                <w:rFonts w:ascii="Calibri" w:hAnsi="Calibri"/>
                <w:color w:val="000000"/>
                <w:sz w:val="24"/>
              </w:rPr>
              <w:t>0.9608</w:t>
            </w:r>
          </w:p>
        </w:tc>
        <w:tc>
          <w:tcPr>
            <w:tcW w:type="dxa" w:w="1080"/>
          </w:tcPr>
          <w:p>
            <w:r>
              <w:rPr>
                <w:rFonts w:ascii="Calibri" w:hAnsi="Calibri"/>
                <w:color w:val="000000"/>
                <w:sz w:val="24"/>
              </w:rPr>
              <w:t>0.4110</w:t>
            </w:r>
          </w:p>
        </w:tc>
      </w:tr>
    </w:tbl>
    <w:p/>
    <w:p>
      <w:r>
        <w:rPr>
          <w:rFonts w:ascii="Calibri" w:hAnsi="Calibri"/>
          <w:color w:val="000000"/>
          <w:sz w:val="24"/>
        </w:rPr>
        <w:t>It is possible to compute the unconditional variance for all four currencies because the persistence sum is below one in every case. The key point is stability: if the estimated variance process were not stable, the unconditional variance would not exist as a finite long-run number. USD and SDR are the most persistent fitted variance processes, while CNY and TWI have lower persistence and more stable long-run variance estimates.</w:t>
      </w:r>
    </w:p>
    <w:p>
      <w:r>
        <w:rPr>
          <w:rFonts w:ascii="Calibri" w:hAnsi="Calibri"/>
          <w:color w:val="000000"/>
          <w:sz w:val="24"/>
        </w:rPr>
        <w:t>Compared with the sample variances from Question 5, the GARCH-implied variances tell a similar but more conditional story. TWI remains the lowest-volatility process, with an unconditional GARCH variance of 0.2393 compared with a sample variance of 0.2675. CNY's GARCH variance is 0.3081, close to its sample variance of 0.3369 and close to the stable result in the exemplar. USD and SDR remain the high-volatility processes. Overall, the fitted GARCH variances support the same broad interpretation as the sample variances while allowing volatility to vary through time.</w:t>
      </w:r>
    </w:p>
    <w:p>
      <w:r>
        <w:br w:type="page"/>
      </w:r>
    </w:p>
    <w:p>
      <w:pPr>
        <w:pStyle w:val="Heading2"/>
      </w:pPr>
      <w:r>
        <w:t>Question 8</w:t>
      </w:r>
    </w:p>
    <w:p>
      <w:r>
        <w:rPr>
          <w:rFonts w:ascii="Calibri" w:hAnsi="Calibri"/>
          <w:color w:val="000000"/>
          <w:sz w:val="24"/>
        </w:rPr>
        <w:t>Question 8 asks for the probability of a return less than 0.01% for each currency on 13/01/2026 and 14/01/2026. Following the forecasting calculation in the code, the probability is computed as:</w:t>
      </w:r>
    </w:p>
    <w:p>
      <w:pPr>
        <w:jc w:val="center"/>
      </w:pPr>
      <m:oMath>
        <m:r>
          <m:t>P</m:t>
        </m:r>
        <m:r>
          <m:t>(</m:t>
        </m:r>
        <m:sSub>
          <m:e>
            <m:r>
              <m:t>e</m:t>
            </m:r>
          </m:e>
          <m:sub>
            <m:r>
              <m:t>j,T+h</m:t>
            </m:r>
          </m:sub>
        </m:sSub>
        <m:r>
          <m:t> &lt; 0.0001) = </m:t>
        </m:r>
        <m:r>
          <m:t>Φ</m:t>
        </m:r>
        <m:r>
          <m:t>((0.0001 − </m:t>
        </m:r>
        <m:sSub>
          <m:e>
            <m:r>
              <m:t>μ</m:t>
            </m:r>
          </m:e>
          <m:sub>
            <m:r>
              <m:t>T+h</m:t>
            </m:r>
          </m:sub>
        </m:sSub>
        <m:r>
          <m:t>) / </m:t>
        </m:r>
        <m:sSub>
          <m:e>
            <m:r>
              <m:t>σ</m:t>
            </m:r>
          </m:e>
          <m:sub>
            <m:r>
              <m:t>T+h</m:t>
            </m:r>
          </m:sub>
        </m:sSub>
        <m:r>
          <m:t>)</m:t>
        </m:r>
      </m:oMath>
    </w:p>
    <w:p>
      <w:r>
        <w:rPr>
          <w:rFonts w:ascii="Calibri" w:hAnsi="Calibri"/>
          <w:color w:val="000000"/>
          <w:sz w:val="24"/>
        </w:rPr>
        <w:t xml:space="preserve">where </w:t>
      </w:r>
      <m:oMath>
        <m:r>
          <m:t>Φ</m:t>
        </m:r>
      </m:oMath>
      <w:r>
        <w:rPr>
          <w:rFonts w:ascii="Calibri" w:hAnsi="Calibri"/>
          <w:color w:val="000000"/>
          <w:sz w:val="24"/>
        </w:rPr>
        <w:t xml:space="preserve"> is the standard Normal CDF, </w:t>
      </w:r>
      <m:oMath>
        <m:sSub>
          <m:e>
            <m:r>
              <m:t>μ</m:t>
            </m:r>
          </m:e>
          <m:sub>
            <m:r>
              <m:t>T+h</m:t>
            </m:r>
          </m:sub>
        </m:sSub>
      </m:oMath>
      <w:r>
        <w:rPr>
          <w:rFonts w:ascii="Calibri" w:hAnsi="Calibri"/>
          <w:color w:val="000000"/>
          <w:sz w:val="24"/>
        </w:rPr>
        <w:t xml:space="preserve"> is the h-step-ahead conditional mean, and </w:t>
      </w:r>
      <m:oMath>
        <m:sSub>
          <m:e>
            <m:r>
              <m:t>σ</m:t>
            </m:r>
          </m:e>
          <m:sub>
            <m:r>
              <m:t>T+h</m:t>
            </m:r>
          </m:sub>
        </m:sSub>
      </m:oMath>
      <w:r>
        <w:rPr>
          <w:rFonts w:ascii="Calibri" w:hAnsi="Calibri"/>
          <w:color w:val="000000"/>
          <w:sz w:val="24"/>
        </w:rPr>
        <w:t xml:space="preserve"> is the h-step-ahead conditional standard deviation from the ARMA-GARCH model. All four final models use Normal errors.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alibri" w:hAnsi="Calibri"/>
                <w:b/>
                <w:color w:val="000000"/>
                <w:sz w:val="24"/>
              </w:rPr>
              <w:t>Currency</w:t>
            </w:r>
          </w:p>
        </w:tc>
        <w:tc>
          <w:tcPr>
            <w:tcW w:type="dxa" w:w="1234"/>
          </w:tcPr>
          <w:p>
            <m:oMath>
              <m:sSub>
                <m:e>
                  <m:r>
                    <m:t>μ</m:t>
                  </m:r>
                </m:e>
                <m:sub>
                  <m:r>
                    <m:t>T+1</m:t>
                  </m:r>
                </m:sub>
              </m:sSub>
            </m:oMath>
          </w:p>
        </w:tc>
        <w:tc>
          <w:tcPr>
            <w:tcW w:type="dxa" w:w="1234"/>
          </w:tcPr>
          <w:p>
            <m:oMath>
              <m:sSub>
                <m:e>
                  <m:r>
                    <m:t>σ</m:t>
                  </m:r>
                </m:e>
                <m:sub>
                  <m:r>
                    <m:t>T+1</m:t>
                  </m:r>
                </m:sub>
              </m:sSub>
            </m:oMath>
          </w:p>
        </w:tc>
        <w:tc>
          <w:tcPr>
            <w:tcW w:type="dxa" w:w="1234"/>
          </w:tcPr>
          <w:p>
            <w:r>
              <w:rPr>
                <w:rFonts w:ascii="Calibri" w:hAnsi="Calibri"/>
                <w:b/>
                <w:color w:val="000000"/>
                <w:sz w:val="24"/>
              </w:rPr>
              <w:t>P(e &lt; 0.0001), 13 Jan</w:t>
            </w:r>
          </w:p>
        </w:tc>
        <w:tc>
          <w:tcPr>
            <w:tcW w:type="dxa" w:w="1234"/>
          </w:tcPr>
          <w:p>
            <m:oMath>
              <m:sSub>
                <m:e>
                  <m:r>
                    <m:t>μ</m:t>
                  </m:r>
                </m:e>
                <m:sub>
                  <m:r>
                    <m:t>T+2</m:t>
                  </m:r>
                </m:sub>
              </m:sSub>
            </m:oMath>
          </w:p>
        </w:tc>
        <w:tc>
          <w:tcPr>
            <w:tcW w:type="dxa" w:w="1234"/>
          </w:tcPr>
          <w:p>
            <m:oMath>
              <m:sSub>
                <m:e>
                  <m:r>
                    <m:t>σ</m:t>
                  </m:r>
                </m:e>
                <m:sub>
                  <m:r>
                    <m:t>T+2</m:t>
                  </m:r>
                </m:sub>
              </m:sSub>
            </m:oMath>
          </w:p>
        </w:tc>
        <w:tc>
          <w:tcPr>
            <w:tcW w:type="dxa" w:w="1234"/>
          </w:tcPr>
          <w:p>
            <w:r>
              <w:rPr>
                <w:rFonts w:ascii="Calibri" w:hAnsi="Calibri"/>
                <w:b/>
                <w:color w:val="000000"/>
                <w:sz w:val="24"/>
              </w:rPr>
              <w:t>P(e &lt; 0.0001), 14 Jan</w:t>
            </w:r>
          </w:p>
        </w:tc>
      </w:tr>
      <w:tr>
        <w:tc>
          <w:tcPr>
            <w:tcW w:type="dxa" w:w="1234"/>
          </w:tcPr>
          <w:p>
            <w:r>
              <w:rPr>
                <w:rFonts w:ascii="Calibri" w:hAnsi="Calibri"/>
                <w:color w:val="000000"/>
                <w:sz w:val="24"/>
              </w:rPr>
              <w:t>CNY</w:t>
            </w:r>
          </w:p>
        </w:tc>
        <w:tc>
          <w:tcPr>
            <w:tcW w:type="dxa" w:w="1234"/>
          </w:tcPr>
          <w:p>
            <w:r>
              <w:rPr>
                <w:rFonts w:ascii="Calibri" w:hAnsi="Calibri"/>
                <w:color w:val="000000"/>
                <w:sz w:val="24"/>
              </w:rPr>
              <w:t>−0.0121</w:t>
            </w:r>
          </w:p>
        </w:tc>
        <w:tc>
          <w:tcPr>
            <w:tcW w:type="dxa" w:w="1234"/>
          </w:tcPr>
          <w:p>
            <w:r>
              <w:rPr>
                <w:rFonts w:ascii="Calibri" w:hAnsi="Calibri"/>
                <w:color w:val="000000"/>
                <w:sz w:val="24"/>
              </w:rPr>
              <w:t>0.4946</w:t>
            </w:r>
          </w:p>
        </w:tc>
        <w:tc>
          <w:tcPr>
            <w:tcW w:type="dxa" w:w="1234"/>
          </w:tcPr>
          <w:p>
            <w:r>
              <w:rPr>
                <w:rFonts w:ascii="Calibri" w:hAnsi="Calibri"/>
                <w:color w:val="000000"/>
                <w:sz w:val="24"/>
              </w:rPr>
              <w:t>0.5098</w:t>
            </w:r>
          </w:p>
        </w:tc>
        <w:tc>
          <w:tcPr>
            <w:tcW w:type="dxa" w:w="1234"/>
          </w:tcPr>
          <w:p>
            <w:r>
              <w:rPr>
                <w:rFonts w:ascii="Calibri" w:hAnsi="Calibri"/>
                <w:color w:val="000000"/>
                <w:sz w:val="24"/>
              </w:rPr>
              <w:t>−0.0118</w:t>
            </w:r>
          </w:p>
        </w:tc>
        <w:tc>
          <w:tcPr>
            <w:tcW w:type="dxa" w:w="1234"/>
          </w:tcPr>
          <w:p>
            <w:r>
              <w:rPr>
                <w:rFonts w:ascii="Calibri" w:hAnsi="Calibri"/>
                <w:color w:val="000000"/>
                <w:sz w:val="24"/>
              </w:rPr>
              <w:t>0.5004</w:t>
            </w:r>
          </w:p>
        </w:tc>
        <w:tc>
          <w:tcPr>
            <w:tcW w:type="dxa" w:w="1234"/>
          </w:tcPr>
          <w:p>
            <w:r>
              <w:rPr>
                <w:rFonts w:ascii="Calibri" w:hAnsi="Calibri"/>
                <w:color w:val="000000"/>
                <w:sz w:val="24"/>
              </w:rPr>
              <w:t>0.5095</w:t>
            </w:r>
          </w:p>
        </w:tc>
      </w:tr>
      <w:tr>
        <w:tc>
          <w:tcPr>
            <w:tcW w:type="dxa" w:w="1234"/>
          </w:tcPr>
          <w:p>
            <w:r>
              <w:rPr>
                <w:rFonts w:ascii="Calibri" w:hAnsi="Calibri"/>
                <w:color w:val="000000"/>
                <w:sz w:val="24"/>
              </w:rPr>
              <w:t>USD</w:t>
            </w:r>
          </w:p>
        </w:tc>
        <w:tc>
          <w:tcPr>
            <w:tcW w:type="dxa" w:w="1234"/>
          </w:tcPr>
          <w:p>
            <w:r>
              <w:rPr>
                <w:rFonts w:ascii="Calibri" w:hAnsi="Calibri"/>
                <w:color w:val="000000"/>
                <w:sz w:val="24"/>
              </w:rPr>
              <w:t>−0.0025</w:t>
            </w:r>
          </w:p>
        </w:tc>
        <w:tc>
          <w:tcPr>
            <w:tcW w:type="dxa" w:w="1234"/>
          </w:tcPr>
          <w:p>
            <w:r>
              <w:rPr>
                <w:rFonts w:ascii="Calibri" w:hAnsi="Calibri"/>
                <w:color w:val="000000"/>
                <w:sz w:val="24"/>
              </w:rPr>
              <w:t>0.4931</w:t>
            </w:r>
          </w:p>
        </w:tc>
        <w:tc>
          <w:tcPr>
            <w:tcW w:type="dxa" w:w="1234"/>
          </w:tcPr>
          <w:p>
            <w:r>
              <w:rPr>
                <w:rFonts w:ascii="Calibri" w:hAnsi="Calibri"/>
                <w:color w:val="000000"/>
                <w:sz w:val="24"/>
              </w:rPr>
              <w:t>0.5021</w:t>
            </w:r>
          </w:p>
        </w:tc>
        <w:tc>
          <w:tcPr>
            <w:tcW w:type="dxa" w:w="1234"/>
          </w:tcPr>
          <w:p>
            <w:r>
              <w:rPr>
                <w:rFonts w:ascii="Calibri" w:hAnsi="Calibri"/>
                <w:color w:val="000000"/>
                <w:sz w:val="24"/>
              </w:rPr>
              <w:t>−0.0023</w:t>
            </w:r>
          </w:p>
        </w:tc>
        <w:tc>
          <w:tcPr>
            <w:tcW w:type="dxa" w:w="1234"/>
          </w:tcPr>
          <w:p>
            <w:r>
              <w:rPr>
                <w:rFonts w:ascii="Calibri" w:hAnsi="Calibri"/>
                <w:color w:val="000000"/>
                <w:sz w:val="24"/>
              </w:rPr>
              <w:t>0.4844</w:t>
            </w:r>
          </w:p>
        </w:tc>
        <w:tc>
          <w:tcPr>
            <w:tcW w:type="dxa" w:w="1234"/>
          </w:tcPr>
          <w:p>
            <w:r>
              <w:rPr>
                <w:rFonts w:ascii="Calibri" w:hAnsi="Calibri"/>
                <w:color w:val="000000"/>
                <w:sz w:val="24"/>
              </w:rPr>
              <w:t>0.5019</w:t>
            </w:r>
          </w:p>
        </w:tc>
      </w:tr>
      <w:tr>
        <w:tc>
          <w:tcPr>
            <w:tcW w:type="dxa" w:w="1234"/>
          </w:tcPr>
          <w:p>
            <w:r>
              <w:rPr>
                <w:rFonts w:ascii="Calibri" w:hAnsi="Calibri"/>
                <w:color w:val="000000"/>
                <w:sz w:val="24"/>
              </w:rPr>
              <w:t>TWI</w:t>
            </w:r>
          </w:p>
        </w:tc>
        <w:tc>
          <w:tcPr>
            <w:tcW w:type="dxa" w:w="1234"/>
          </w:tcPr>
          <w:p>
            <w:r>
              <w:rPr>
                <w:rFonts w:ascii="Calibri" w:hAnsi="Calibri"/>
                <w:color w:val="000000"/>
                <w:sz w:val="24"/>
              </w:rPr>
              <w:t>−0.0543</w:t>
            </w:r>
          </w:p>
        </w:tc>
        <w:tc>
          <w:tcPr>
            <w:tcW w:type="dxa" w:w="1234"/>
          </w:tcPr>
          <w:p>
            <w:r>
              <w:rPr>
                <w:rFonts w:ascii="Calibri" w:hAnsi="Calibri"/>
                <w:color w:val="000000"/>
                <w:sz w:val="24"/>
              </w:rPr>
              <w:t>0.4005</w:t>
            </w:r>
          </w:p>
        </w:tc>
        <w:tc>
          <w:tcPr>
            <w:tcW w:type="dxa" w:w="1234"/>
          </w:tcPr>
          <w:p>
            <w:r>
              <w:rPr>
                <w:rFonts w:ascii="Calibri" w:hAnsi="Calibri"/>
                <w:color w:val="000000"/>
                <w:sz w:val="24"/>
              </w:rPr>
              <w:t>0.5541</w:t>
            </w:r>
          </w:p>
        </w:tc>
        <w:tc>
          <w:tcPr>
            <w:tcW w:type="dxa" w:w="1234"/>
          </w:tcPr>
          <w:p>
            <w:r>
              <w:rPr>
                <w:rFonts w:ascii="Calibri" w:hAnsi="Calibri"/>
                <w:color w:val="000000"/>
                <w:sz w:val="24"/>
              </w:rPr>
              <w:t>−0.0014</w:t>
            </w:r>
          </w:p>
        </w:tc>
        <w:tc>
          <w:tcPr>
            <w:tcW w:type="dxa" w:w="1234"/>
          </w:tcPr>
          <w:p>
            <w:r>
              <w:rPr>
                <w:rFonts w:ascii="Calibri" w:hAnsi="Calibri"/>
                <w:color w:val="000000"/>
                <w:sz w:val="24"/>
              </w:rPr>
              <w:t>0.4075</w:t>
            </w:r>
          </w:p>
        </w:tc>
        <w:tc>
          <w:tcPr>
            <w:tcW w:type="dxa" w:w="1234"/>
          </w:tcPr>
          <w:p>
            <w:r>
              <w:rPr>
                <w:rFonts w:ascii="Calibri" w:hAnsi="Calibri"/>
                <w:color w:val="000000"/>
                <w:sz w:val="24"/>
              </w:rPr>
              <w:t>0.5014</w:t>
            </w:r>
          </w:p>
        </w:tc>
      </w:tr>
      <w:tr>
        <w:tc>
          <w:tcPr>
            <w:tcW w:type="dxa" w:w="1234"/>
          </w:tcPr>
          <w:p>
            <w:r>
              <w:rPr>
                <w:rFonts w:ascii="Calibri" w:hAnsi="Calibri"/>
                <w:color w:val="000000"/>
                <w:sz w:val="24"/>
              </w:rPr>
              <w:t>SDR</w:t>
            </w:r>
          </w:p>
        </w:tc>
        <w:tc>
          <w:tcPr>
            <w:tcW w:type="dxa" w:w="1234"/>
          </w:tcPr>
          <w:p>
            <w:r>
              <w:rPr>
                <w:rFonts w:ascii="Calibri" w:hAnsi="Calibri"/>
                <w:color w:val="000000"/>
                <w:sz w:val="24"/>
              </w:rPr>
              <w:t>−0.0136</w:t>
            </w:r>
          </w:p>
        </w:tc>
        <w:tc>
          <w:tcPr>
            <w:tcW w:type="dxa" w:w="1234"/>
          </w:tcPr>
          <w:p>
            <w:r>
              <w:rPr>
                <w:rFonts w:ascii="Calibri" w:hAnsi="Calibri"/>
                <w:color w:val="000000"/>
                <w:sz w:val="24"/>
              </w:rPr>
              <w:t>0.4675</w:t>
            </w:r>
          </w:p>
        </w:tc>
        <w:tc>
          <w:tcPr>
            <w:tcW w:type="dxa" w:w="1234"/>
          </w:tcPr>
          <w:p>
            <w:r>
              <w:rPr>
                <w:rFonts w:ascii="Calibri" w:hAnsi="Calibri"/>
                <w:color w:val="000000"/>
                <w:sz w:val="24"/>
              </w:rPr>
              <w:t>0.5117</w:t>
            </w:r>
          </w:p>
        </w:tc>
        <w:tc>
          <w:tcPr>
            <w:tcW w:type="dxa" w:w="1234"/>
          </w:tcPr>
          <w:p>
            <w:r>
              <w:rPr>
                <w:rFonts w:ascii="Calibri" w:hAnsi="Calibri"/>
                <w:color w:val="000000"/>
                <w:sz w:val="24"/>
              </w:rPr>
              <w:t>−0.0098</w:t>
            </w:r>
          </w:p>
        </w:tc>
        <w:tc>
          <w:tcPr>
            <w:tcW w:type="dxa" w:w="1234"/>
          </w:tcPr>
          <w:p>
            <w:r>
              <w:rPr>
                <w:rFonts w:ascii="Calibri" w:hAnsi="Calibri"/>
                <w:color w:val="000000"/>
                <w:sz w:val="24"/>
              </w:rPr>
              <w:t>0.4704</w:t>
            </w:r>
          </w:p>
        </w:tc>
        <w:tc>
          <w:tcPr>
            <w:tcW w:type="dxa" w:w="1234"/>
          </w:tcPr>
          <w:p>
            <w:r>
              <w:rPr>
                <w:rFonts w:ascii="Calibri" w:hAnsi="Calibri"/>
                <w:color w:val="000000"/>
                <w:sz w:val="24"/>
              </w:rPr>
              <w:t>0.5084</w:t>
            </w:r>
          </w:p>
        </w:tc>
      </w:tr>
    </w:tbl>
    <w:p/>
    <w:p>
      <w:r>
        <w:rPr>
          <w:rFonts w:ascii="Calibri" w:hAnsi="Calibri"/>
          <w:color w:val="000000"/>
          <w:sz w:val="24"/>
        </w:rPr>
        <w:t>All probabilities are just above 0.5. This happens because the forecast means are negative or close to zero, so slightly more than half of each forecast distribution lies below the small positive threshold.</w:t>
      </w:r>
    </w:p>
    <w:p>
      <w:r>
        <w:rPr>
          <w:rFonts w:ascii="Calibri" w:hAnsi="Calibri"/>
          <w:color w:val="000000"/>
          <w:sz w:val="24"/>
        </w:rPr>
        <w:t xml:space="preserve">For risk management, a lower probability is preferred because it means a smaller chance of earning less than the threshold. On </w:t>
      </w:r>
      <w:r>
        <w:rPr>
          <w:rFonts w:ascii="Calibri" w:hAnsi="Calibri"/>
          <w:b/>
          <w:color w:val="000000"/>
          <w:sz w:val="24"/>
        </w:rPr>
        <w:t>13 January 2026</w:t>
      </w:r>
      <w:r>
        <w:rPr>
          <w:rFonts w:ascii="Calibri" w:hAnsi="Calibri"/>
          <w:color w:val="000000"/>
          <w:sz w:val="24"/>
        </w:rPr>
        <w:t xml:space="preserve">, the ranking from lowest to highest downside risk is USD (0.5021), CNY (0.5098), SDR (0.5117), and TWI (0.5541). On </w:t>
      </w:r>
      <w:r>
        <w:rPr>
          <w:rFonts w:ascii="Calibri" w:hAnsi="Calibri"/>
          <w:b/>
          <w:color w:val="000000"/>
          <w:sz w:val="24"/>
        </w:rPr>
        <w:t>14 January 2026</w:t>
      </w:r>
      <w:r>
        <w:rPr>
          <w:rFonts w:ascii="Calibri" w:hAnsi="Calibri"/>
          <w:color w:val="000000"/>
          <w:sz w:val="24"/>
        </w:rPr>
        <w:t>, the ranking is TWI (0.5014), USD (0.5019), SDR (0.5084), and CNY (0.5095).</w:t>
      </w:r>
    </w:p>
    <w:p>
      <w:r>
        <w:rPr>
          <w:rFonts w:ascii="Calibri" w:hAnsi="Calibri"/>
          <w:color w:val="000000"/>
          <w:sz w:val="24"/>
        </w:rPr>
        <w:t>The interpretation is that the decision should be driven by downside-risk minimisation rather than simply by the unconditional variance ranking. TWI is the most stable long-run process in Question 7, but on the first forecast day its conditional mean is more negative, so its downside probability is higher. USD has the lowest downside probability on 13 January 2026, while TWI is marginally lowest on 14 January 2026. CNY is now close to the middle of the risk ranking rather than being distorted by the earlier near-unit-persistence fit. More broadly, the ARMA-GARCH forecast shows why the conditional mean and conditional volatility need to be considered together rather than relying only on sample variance.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Nguyen</dc:creator>
  <cp:keywords/>
  <dc:description>generated by python-docx</dc:description>
  <cp:lastModifiedBy>Michael Nguyen</cp:lastModifiedBy>
  <cp:revision>1</cp:revision>
  <dcterms:created xsi:type="dcterms:W3CDTF">2026-04-13T07:17:56Z</dcterms:created>
  <dcterms:modified xsi:type="dcterms:W3CDTF">2026-04-13T07:17:56Z</dcterms:modified>
  <cp:category/>
</cp:coreProperties>
</file>