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0000"/>
          <w:sz w:val="24"/>
        </w:rPr>
        <w:t>ECON3350 Research Report: Michael Nguyen (s4884533)</w:t>
      </w:r>
    </w:p>
    <w:p>
      <w:r>
        <w:rPr>
          <w:rFonts w:ascii="Calibri" w:hAnsi="Calibri"/>
          <w:color w:val="000000"/>
          <w:sz w:val="24"/>
        </w:rPr>
        <w:t>Rewrite these in your own words. Numbers are all verified from R.</w:t>
      </w:r>
    </w:p>
    <w:p>
      <w:r>
        <w:br w:type="page"/>
      </w:r>
    </w:p>
    <w:p>
      <w:pPr>
        <w:pStyle w:val="Heading2"/>
      </w:pPr>
      <w:r>
        <w:t>Question 1</w:t>
      </w:r>
    </w:p>
    <w:p>
      <w:pPr>
        <w:pStyle w:val="Heading3"/>
      </w:pPr>
      <w:r>
        <w:t>1(a)</w:t>
      </w:r>
    </w:p>
    <w:p>
      <w:r>
        <w:rPr>
          <w:rFonts w:ascii="Calibri" w:hAnsi="Calibri"/>
          <w:b/>
          <w:color w:val="000000"/>
          <w:sz w:val="24"/>
        </w:rPr>
        <w:t>[INSERT fig1_loglevels.png]</w:t>
      </w:r>
    </w:p>
    <w:p>
      <w:r>
        <w:rPr>
          <w:rFonts w:ascii="Calibri" w:hAnsi="Calibri"/>
          <w:b/>
          <w:color w:val="000000"/>
          <w:sz w:val="24"/>
        </w:rPr>
        <w:t>[INSERT fig2_logdiffs.png]</w:t>
      </w:r>
    </w:p>
    <w:p>
      <w:r>
        <w:rPr>
          <w:rFonts w:ascii="Calibri" w:hAnsi="Calibri"/>
          <w:color w:val="000000"/>
          <w:sz w:val="24"/>
        </w:rPr>
        <w:t>Looking at the log levels, all three series trend upward across the sample. The log price level p_t rises steadily, with noticeably faster growth during the 1970s oil shock period before moderating after the Volcker disinflation in the early 1980s. Log GDP per capita y_t and log consumption c_t move almost in parallel throughout — both grow at a fairly consistent pace with brief dips during recessions. None of these series show any tendency to revert to a fixed value, which suggests they are non-stationary.</w:t>
      </w:r>
    </w:p>
    <w:p>
      <w:r>
        <w:rPr>
          <w:rFonts w:ascii="Calibri" w:hAnsi="Calibri"/>
          <w:color w:val="000000"/>
          <w:sz w:val="24"/>
        </w:rPr>
        <w:t>In the second plot, differencing removes the trends and the series look much more stable. Quarterly inflation Δp_t bounces around with heightened volatility in the 1970s and again during the 2021-2023 post-pandemic spike, but otherwise sits fairly low from the 1990s onward. Δy_t and Δc_t both fluctuate around a positive mean with clear drops during the major recessions (1974, 1980, 2009, 2020). The interest rate r_t shows no upward trend but is quite persistent — high and rising through the late 1970s and early 1980s, then declining over subsequent decades, falling to near zero after 2008, and sharply rising again from 2022.</w:t>
      </w:r>
    </w:p>
    <w:p>
      <w:pPr>
        <w:pStyle w:val="Heading3"/>
      </w:pPr>
      <w:r>
        <w:t>1(b)</w:t>
      </w:r>
    </w:p>
    <w:p>
      <w:r>
        <w:rPr>
          <w:rFonts w:ascii="Calibri" w:hAnsi="Calibri"/>
          <w:b/>
          <w:color w:val="000000"/>
          <w:sz w:val="24"/>
        </w:rPr>
        <w:t>Part (i) — Trend regressions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Series</w:t>
            </w:r>
          </w:p>
        </w:tc>
        <w:tc>
          <w:tcPr>
            <w:tcW w:type="dxa" w:w="1728"/>
          </w:tcPr>
          <w:p>
            <w:r>
              <w:rPr>
                <w:rFonts w:ascii="Calibri" w:hAnsi="Calibri"/>
                <w:b/>
                <w:color w:val="000000"/>
                <w:sz w:val="24"/>
              </w:rPr>
              <w:t>Intercept (</w:t>
            </w:r>
            <m:oMath>
              <m:r>
                <m:t>μ</m:t>
              </m:r>
              <m:r>
                <m:t>̂</m:t>
              </m:r>
            </m:oMath>
            <w:r>
              <w:rPr>
                <w:rFonts w:ascii="Calibri" w:hAnsi="Calibri"/>
                <w:b/>
                <w:color w:val="000000"/>
                <w:sz w:val="24"/>
              </w:rPr>
              <w:t>)</w:t>
            </w:r>
          </w:p>
        </w:tc>
        <w:tc>
          <w:tcPr>
            <w:tcW w:type="dxa" w:w="1728"/>
          </w:tcPr>
          <w:p>
            <w:r>
              <w:rPr>
                <w:rFonts w:ascii="Calibri" w:hAnsi="Calibri"/>
                <w:b/>
                <w:color w:val="000000"/>
                <w:sz w:val="24"/>
              </w:rPr>
              <w:t>Trend (</w:t>
            </w:r>
            <m:oMath>
              <m:r>
                <m:t>δ</m:t>
              </m:r>
              <m:r>
                <m:t>̂</m:t>
              </m:r>
            </m:oMath>
            <w:r>
              <w:rPr>
                <w:rFonts w:ascii="Calibri" w:hAnsi="Calibri"/>
                <w:b/>
                <w:color w:val="000000"/>
                <w:sz w:val="24"/>
              </w:rPr>
              <w:t>)</w:t>
            </w:r>
          </w:p>
        </w:tc>
        <w:tc>
          <w:tcPr>
            <w:tcW w:type="dxa" w:w="1728"/>
          </w:tcPr>
          <w:p>
            <w:r>
              <w:rPr>
                <w:rFonts w:ascii="Calibri" w:hAnsi="Calibri"/>
                <w:b/>
                <w:color w:val="000000"/>
                <w:sz w:val="24"/>
              </w:rPr>
              <w:t>SE(</w:t>
            </w:r>
            <m:oMath>
              <m:r>
                <m:t>δ</m:t>
              </m:r>
              <m:r>
                <m:t>̂</m:t>
              </m:r>
            </m:oMath>
            <w:r>
              <w:rPr>
                <w:rFonts w:ascii="Calibri" w:hAnsi="Calibri"/>
                <w:b/>
                <w:color w:val="000000"/>
                <w:sz w:val="24"/>
              </w:rPr>
              <w:t>)</w:t>
            </w:r>
          </w:p>
        </w:tc>
        <w:tc>
          <w:tcPr>
            <w:tcW w:type="dxa" w:w="1728"/>
          </w:tcPr>
          <w:p>
            <m:oMath>
              <m:r>
                <m:t>R</m:t>
              </m:r>
              <m:r>
                <m:t>²</m:t>
              </m:r>
            </m:oMath>
          </w:p>
        </w:tc>
      </w:tr>
      <w:tr>
        <w:tc>
          <w:tcPr>
            <w:tcW w:type="dxa" w:w="1728"/>
          </w:tcPr>
          <w:p>
            <w:r>
              <w:rPr>
                <w:rFonts w:ascii="Calibri" w:hAnsi="Calibri"/>
                <w:color w:val="000000"/>
                <w:sz w:val="24"/>
              </w:rPr>
              <w:t>p_t</w:t>
            </w:r>
          </w:p>
        </w:tc>
        <w:tc>
          <w:tcPr>
            <w:tcW w:type="dxa" w:w="1728"/>
          </w:tcPr>
          <w:p>
            <w:r>
              <w:rPr>
                <w:rFonts w:ascii="Calibri" w:hAnsi="Calibri"/>
                <w:color w:val="000000"/>
                <w:sz w:val="24"/>
              </w:rPr>
              <w:t>0.271</w:t>
            </w:r>
          </w:p>
        </w:tc>
        <w:tc>
          <w:tcPr>
            <w:tcW w:type="dxa" w:w="1728"/>
          </w:tcPr>
          <w:p>
            <w:r>
              <w:rPr>
                <w:rFonts w:ascii="Calibri" w:hAnsi="Calibri"/>
                <w:color w:val="000000"/>
                <w:sz w:val="24"/>
              </w:rPr>
              <w:t>0.010125</w:t>
            </w:r>
          </w:p>
        </w:tc>
        <w:tc>
          <w:tcPr>
            <w:tcW w:type="dxa" w:w="1728"/>
          </w:tcPr>
          <w:p>
            <w:r>
              <w:rPr>
                <w:rFonts w:ascii="Calibri" w:hAnsi="Calibri"/>
                <w:color w:val="000000"/>
                <w:sz w:val="24"/>
              </w:rPr>
              <w:t>0.000147</w:t>
            </w:r>
          </w:p>
        </w:tc>
        <w:tc>
          <w:tcPr>
            <w:tcW w:type="dxa" w:w="1728"/>
          </w:tcPr>
          <w:p>
            <w:r>
              <w:rPr>
                <w:rFonts w:ascii="Calibri" w:hAnsi="Calibri"/>
                <w:color w:val="000000"/>
                <w:sz w:val="24"/>
              </w:rPr>
              <w:t>0.949</w:t>
            </w:r>
          </w:p>
        </w:tc>
      </w:tr>
      <w:tr>
        <w:tc>
          <w:tcPr>
            <w:tcW w:type="dxa" w:w="1728"/>
          </w:tcPr>
          <w:p>
            <w:r>
              <w:rPr>
                <w:rFonts w:ascii="Calibri" w:hAnsi="Calibri"/>
                <w:color w:val="000000"/>
                <w:sz w:val="24"/>
              </w:rPr>
              <w:t>y_t</w:t>
            </w:r>
          </w:p>
        </w:tc>
        <w:tc>
          <w:tcPr>
            <w:tcW w:type="dxa" w:w="1728"/>
          </w:tcPr>
          <w:p>
            <w:r>
              <w:rPr>
                <w:rFonts w:ascii="Calibri" w:hAnsi="Calibri"/>
                <w:color w:val="000000"/>
                <w:sz w:val="24"/>
              </w:rPr>
              <w:t>9.945</w:t>
            </w:r>
          </w:p>
        </w:tc>
        <w:tc>
          <w:tcPr>
            <w:tcW w:type="dxa" w:w="1728"/>
          </w:tcPr>
          <w:p>
            <w:r>
              <w:rPr>
                <w:rFonts w:ascii="Calibri" w:hAnsi="Calibri"/>
                <w:color w:val="000000"/>
                <w:sz w:val="24"/>
              </w:rPr>
              <w:t>0.004757</w:t>
            </w:r>
          </w:p>
        </w:tc>
        <w:tc>
          <w:tcPr>
            <w:tcW w:type="dxa" w:w="1728"/>
          </w:tcPr>
          <w:p>
            <w:r>
              <w:rPr>
                <w:rFonts w:ascii="Calibri" w:hAnsi="Calibri"/>
                <w:color w:val="000000"/>
                <w:sz w:val="24"/>
              </w:rPr>
              <w:t>0.000042</w:t>
            </w:r>
          </w:p>
        </w:tc>
        <w:tc>
          <w:tcPr>
            <w:tcW w:type="dxa" w:w="1728"/>
          </w:tcPr>
          <w:p>
            <w:r>
              <w:rPr>
                <w:rFonts w:ascii="Calibri" w:hAnsi="Calibri"/>
                <w:color w:val="000000"/>
                <w:sz w:val="24"/>
              </w:rPr>
              <w:t>0.980</w:t>
            </w:r>
          </w:p>
        </w:tc>
      </w:tr>
      <w:tr>
        <w:tc>
          <w:tcPr>
            <w:tcW w:type="dxa" w:w="1728"/>
          </w:tcPr>
          <w:p>
            <w:r>
              <w:rPr>
                <w:rFonts w:ascii="Calibri" w:hAnsi="Calibri"/>
                <w:color w:val="000000"/>
                <w:sz w:val="24"/>
              </w:rPr>
              <w:t>c_t</w:t>
            </w:r>
          </w:p>
        </w:tc>
        <w:tc>
          <w:tcPr>
            <w:tcW w:type="dxa" w:w="1728"/>
          </w:tcPr>
          <w:p>
            <w:r>
              <w:rPr>
                <w:rFonts w:ascii="Calibri" w:hAnsi="Calibri"/>
                <w:color w:val="000000"/>
                <w:sz w:val="24"/>
              </w:rPr>
              <w:t>9.429</w:t>
            </w:r>
          </w:p>
        </w:tc>
        <w:tc>
          <w:tcPr>
            <w:tcW w:type="dxa" w:w="1728"/>
          </w:tcPr>
          <w:p>
            <w:r>
              <w:rPr>
                <w:rFonts w:ascii="Calibri" w:hAnsi="Calibri"/>
                <w:color w:val="000000"/>
                <w:sz w:val="24"/>
              </w:rPr>
              <w:t>0.005305</w:t>
            </w:r>
          </w:p>
        </w:tc>
        <w:tc>
          <w:tcPr>
            <w:tcW w:type="dxa" w:w="1728"/>
          </w:tcPr>
          <w:p>
            <w:r>
              <w:rPr>
                <w:rFonts w:ascii="Calibri" w:hAnsi="Calibri"/>
                <w:color w:val="000000"/>
                <w:sz w:val="24"/>
              </w:rPr>
              <w:t>0.000043</w:t>
            </w:r>
          </w:p>
        </w:tc>
        <w:tc>
          <w:tcPr>
            <w:tcW w:type="dxa" w:w="1728"/>
          </w:tcPr>
          <w:p>
            <w:r>
              <w:rPr>
                <w:rFonts w:ascii="Calibri" w:hAnsi="Calibri"/>
                <w:color w:val="000000"/>
                <w:sz w:val="24"/>
              </w:rPr>
              <w:t>0.983</w:t>
            </w:r>
          </w:p>
        </w:tc>
      </w:tr>
    </w:tbl>
    <w:p/>
    <w:p>
      <w:r>
        <w:rPr>
          <w:rFonts w:ascii="Calibri" w:hAnsi="Calibri"/>
          <w:color w:val="000000"/>
          <w:sz w:val="24"/>
        </w:rPr>
        <w:t xml:space="preserve">All trend coefficients are highly significant. The high </w:t>
      </w:r>
      <m:oMath>
        <m:r>
          <m:t>R</m:t>
        </m:r>
        <m:r>
          <m:t>²</m:t>
        </m:r>
      </m:oMath>
      <w:r>
        <w:rPr>
          <w:rFonts w:ascii="Calibri" w:hAnsi="Calibri"/>
          <w:color w:val="000000"/>
          <w:sz w:val="24"/>
        </w:rPr>
        <w:t xml:space="preserve"> values confirm a linear trend explains most of the variation in each series.</w:t>
      </w:r>
    </w:p>
    <w:p>
      <w:r>
        <w:rPr>
          <w:rFonts w:ascii="Calibri" w:hAnsi="Calibri"/>
          <w:b/>
          <w:color w:val="000000"/>
          <w:sz w:val="24"/>
        </w:rPr>
        <w:t>Part (ii) —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Series</w:t>
            </w:r>
          </w:p>
        </w:tc>
        <w:tc>
          <w:tcPr>
            <w:tcW w:type="dxa" w:w="4320"/>
          </w:tcPr>
          <w:p>
            <w:r>
              <w:rPr>
                <w:rFonts w:ascii="Calibri" w:hAnsi="Calibri"/>
                <w:b/>
                <w:color w:val="000000"/>
                <w:sz w:val="24"/>
              </w:rPr>
              <w:t>Mean (</w:t>
            </w:r>
            <m:oMath>
              <m:r>
                <m:t>μ</m:t>
              </m:r>
              <m:r>
                <m:t>̂</m:t>
              </m:r>
            </m:oMath>
            <w:r>
              <w:rPr>
                <w:rFonts w:ascii="Calibri" w:hAnsi="Calibri"/>
                <w:b/>
                <w:color w:val="000000"/>
                <w:sz w:val="24"/>
              </w:rPr>
              <w:t>)</w:t>
            </w:r>
          </w:p>
        </w:tc>
      </w:tr>
      <w:tr>
        <w:tc>
          <w:tcPr>
            <w:tcW w:type="dxa" w:w="4320"/>
          </w:tcPr>
          <w:p>
            <w:r>
              <w:rPr>
                <w:rFonts w:ascii="Calibri" w:hAnsi="Calibri"/>
                <w:color w:val="000000"/>
                <w:sz w:val="24"/>
              </w:rPr>
              <w:t>Δp_t</w:t>
            </w:r>
          </w:p>
        </w:tc>
        <w:tc>
          <w:tcPr>
            <w:tcW w:type="dxa" w:w="4320"/>
          </w:tcPr>
          <w:p>
            <w:r>
              <w:rPr>
                <w:rFonts w:ascii="Calibri" w:hAnsi="Calibri"/>
                <w:color w:val="000000"/>
                <w:sz w:val="24"/>
              </w:rPr>
              <w:t>0.009310</w:t>
            </w:r>
          </w:p>
        </w:tc>
      </w:tr>
      <w:tr>
        <w:tc>
          <w:tcPr>
            <w:tcW w:type="dxa" w:w="4320"/>
          </w:tcPr>
          <w:p>
            <w:r>
              <w:rPr>
                <w:rFonts w:ascii="Calibri" w:hAnsi="Calibri"/>
                <w:color w:val="000000"/>
                <w:sz w:val="24"/>
              </w:rPr>
              <w:t>Δy_t</w:t>
            </w:r>
          </w:p>
        </w:tc>
        <w:tc>
          <w:tcPr>
            <w:tcW w:type="dxa" w:w="4320"/>
          </w:tcPr>
          <w:p>
            <w:r>
              <w:rPr>
                <w:rFonts w:ascii="Calibri" w:hAnsi="Calibri"/>
                <w:color w:val="000000"/>
                <w:sz w:val="24"/>
              </w:rPr>
              <w:t>0.004919</w:t>
            </w:r>
          </w:p>
        </w:tc>
      </w:tr>
      <w:tr>
        <w:tc>
          <w:tcPr>
            <w:tcW w:type="dxa" w:w="4320"/>
          </w:tcPr>
          <w:p>
            <w:r>
              <w:rPr>
                <w:rFonts w:ascii="Calibri" w:hAnsi="Calibri"/>
                <w:color w:val="000000"/>
                <w:sz w:val="24"/>
              </w:rPr>
              <w:t>Δc_t</w:t>
            </w:r>
          </w:p>
        </w:tc>
        <w:tc>
          <w:tcPr>
            <w:tcW w:type="dxa" w:w="4320"/>
          </w:tcPr>
          <w:p>
            <w:r>
              <w:rPr>
                <w:rFonts w:ascii="Calibri" w:hAnsi="Calibri"/>
                <w:color w:val="000000"/>
                <w:sz w:val="24"/>
              </w:rPr>
              <w:t>0.005379</w:t>
            </w:r>
          </w:p>
        </w:tc>
      </w:tr>
    </w:tbl>
    <w:p/>
    <w:p>
      <w:r>
        <w:rPr>
          <w:rFonts w:ascii="Calibri" w:hAnsi="Calibri"/>
          <w:b/>
          <w:color w:val="000000"/>
          <w:sz w:val="24"/>
        </w:rPr>
        <w:t>Part (iii)</w:t>
      </w:r>
    </w:p>
    <w:p>
      <w:r>
        <w:rPr>
          <w:rFonts w:ascii="Calibri" w:hAnsi="Calibri"/>
          <w:color w:val="000000"/>
          <w:sz w:val="24"/>
        </w:rPr>
        <w:t xml:space="preserve">These two exercises both try to measure the same thing: the average rate of change of each series over time. If a series follows a random walk with drift (y_t = y_{t-1} + </w:t>
      </w:r>
      <m:oMath>
        <m:r>
          <m:t>δ</m:t>
        </m:r>
      </m:oMath>
      <w:r>
        <w:rPr>
          <w:rFonts w:ascii="Calibri" w:hAnsi="Calibri"/>
          <w:color w:val="000000"/>
          <w:sz w:val="24"/>
        </w:rPr>
        <w:t xml:space="preserve"> + ε_t), then regressing the level on a time trend gives </w:t>
      </w:r>
      <m:oMath>
        <m:r>
          <m:t>δ</m:t>
        </m:r>
        <m:r>
          <m:t>̂</m:t>
        </m:r>
      </m:oMath>
      <w:r>
        <w:rPr>
          <w:rFonts w:ascii="Calibri" w:hAnsi="Calibri"/>
          <w:color w:val="000000"/>
          <w:sz w:val="24"/>
        </w:rPr>
        <w:t xml:space="preserve"> as an estimate of that drift. Alternatively, first-differencing gives Δy_t = </w:t>
      </w:r>
      <m:oMath>
        <m:r>
          <m:t>δ</m:t>
        </m:r>
      </m:oMath>
      <w:r>
        <w:rPr>
          <w:rFonts w:ascii="Calibri" w:hAnsi="Calibri"/>
          <w:color w:val="000000"/>
          <w:sz w:val="24"/>
        </w:rPr>
        <w:t xml:space="preserve"> + ε_t, so the sample mean of the differences estimates the same drift. Both methods should give nearly identical answers.</w:t>
      </w:r>
    </w:p>
    <w:p>
      <w:r>
        <w:rPr>
          <w:rFonts w:ascii="Calibri" w:hAnsi="Calibri"/>
          <w:color w:val="000000"/>
          <w:sz w:val="24"/>
        </w:rPr>
        <w:t>Looking at the numbers this holds well: for y_t the trend coefficient is 0.004757 vs mean of Δy of 0.004919, and for c_t it's 0.005305 vs 0.005379. The small difference for p_t (0.010125 vs 0.009310) is likely due to the structural shift in trend inflation — the OLS regression weighs the high-inflation 1970s and early 1980s differently than the sample mean approach when there is a structural break.</w:t>
      </w:r>
    </w:p>
    <w:p>
      <w:r>
        <w:br w:type="page"/>
      </w:r>
    </w:p>
    <w:p>
      <w:pPr>
        <w:pStyle w:val="Heading2"/>
      </w:pPr>
      <w:r>
        <w:t>Question 2</w:t>
      </w:r>
    </w:p>
    <w:p>
      <w:pPr>
        <w:pStyle w:val="Heading3"/>
      </w:pPr>
      <w:r>
        <w:t>Model Selection</w:t>
      </w:r>
    </w:p>
    <w:p>
      <w:r>
        <w:rPr>
          <w:rFonts w:ascii="Calibri" w:hAnsi="Calibri"/>
          <w:b/>
          <w:color w:val="000000"/>
          <w:sz w:val="24"/>
        </w:rPr>
        <w:t>Stationarity tests</w:t>
      </w:r>
    </w:p>
    <w:p>
      <w:r>
        <w:rPr>
          <w:rFonts w:ascii="Calibri" w:hAnsi="Calibri"/>
          <w:color w:val="000000"/>
          <w:sz w:val="24"/>
        </w:rPr>
        <w:t>Unit root tests on Δp_t give an ADF p-value of 0.032 and a KPSS statistic of 0.731 (5% critical value is 0.463). The ADF rejects a unit root but the KPSS rejects stationarity, giving mixed evidence — Δp_t is close to the boundary and possibly affected by the structural changes in trend inflation. Given it is already a first difference, we treat it as stationary and fit ARMA models directly.</w:t>
      </w:r>
    </w:p>
    <w:p>
      <w:r>
        <w:rPr>
          <w:rFonts w:ascii="Calibri" w:hAnsi="Calibri"/>
          <w:color w:val="000000"/>
          <w:sz w:val="24"/>
        </w:rPr>
        <w:t>For r_t, the ADF p-value is 0.171 (fails to reject) and KPSS statistic is 1.763, strongly rejecting stationarity. We treat r_t as I(1) and fit ARIMA(p,1,q) models.</w:t>
      </w:r>
    </w:p>
    <w:p>
      <w:r>
        <w:rPr>
          <w:rFonts w:ascii="Calibri" w:hAnsi="Calibri"/>
          <w:b/>
          <w:color w:val="000000"/>
          <w:sz w:val="24"/>
        </w:rPr>
        <w:t>ARMA models for Δp_t — AIC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Model</w:t>
            </w:r>
          </w:p>
        </w:tc>
        <w:tc>
          <w:tcPr>
            <w:tcW w:type="dxa" w:w="2880"/>
          </w:tcPr>
          <w:p>
            <w:r>
              <w:rPr>
                <w:rFonts w:ascii="Calibri" w:hAnsi="Calibri"/>
                <w:b/>
                <w:color w:val="000000"/>
                <w:sz w:val="24"/>
              </w:rPr>
              <w:t>AIC</w:t>
            </w:r>
          </w:p>
        </w:tc>
        <w:tc>
          <w:tcPr>
            <w:tcW w:type="dxa" w:w="2880"/>
          </w:tcPr>
          <w:p>
            <w:r>
              <w:rPr>
                <w:rFonts w:ascii="Calibri" w:hAnsi="Calibri"/>
                <w:b/>
                <w:color w:val="000000"/>
                <w:sz w:val="24"/>
              </w:rPr>
              <w:t>BIC</w:t>
            </w:r>
          </w:p>
        </w:tc>
      </w:tr>
      <w:tr>
        <w:tc>
          <w:tcPr>
            <w:tcW w:type="dxa" w:w="2880"/>
          </w:tcPr>
          <w:p>
            <w:r>
              <w:rPr>
                <w:rFonts w:ascii="Calibri" w:hAnsi="Calibri"/>
                <w:color w:val="000000"/>
                <w:sz w:val="24"/>
              </w:rPr>
              <w:t>ARMA(2,1)</w:t>
            </w:r>
          </w:p>
        </w:tc>
        <w:tc>
          <w:tcPr>
            <w:tcW w:type="dxa" w:w="2880"/>
          </w:tcPr>
          <w:p>
            <w:r>
              <w:rPr>
                <w:rFonts w:ascii="Calibri" w:hAnsi="Calibri"/>
                <w:color w:val="000000"/>
                <w:sz w:val="24"/>
              </w:rPr>
              <w:t>−2579.82</w:t>
            </w:r>
          </w:p>
        </w:tc>
        <w:tc>
          <w:tcPr>
            <w:tcW w:type="dxa" w:w="2880"/>
          </w:tcPr>
          <w:p>
            <w:r>
              <w:rPr>
                <w:rFonts w:ascii="Calibri" w:hAnsi="Calibri"/>
                <w:color w:val="000000"/>
                <w:sz w:val="24"/>
              </w:rPr>
              <w:t>−2562.04</w:t>
            </w:r>
          </w:p>
        </w:tc>
      </w:tr>
      <w:tr>
        <w:tc>
          <w:tcPr>
            <w:tcW w:type="dxa" w:w="2880"/>
          </w:tcPr>
          <w:p>
            <w:r>
              <w:rPr>
                <w:rFonts w:ascii="Calibri" w:hAnsi="Calibri"/>
                <w:color w:val="000000"/>
                <w:sz w:val="24"/>
              </w:rPr>
              <w:t>ARMA(1,2)</w:t>
            </w:r>
          </w:p>
        </w:tc>
        <w:tc>
          <w:tcPr>
            <w:tcW w:type="dxa" w:w="2880"/>
          </w:tcPr>
          <w:p>
            <w:r>
              <w:rPr>
                <w:rFonts w:ascii="Calibri" w:hAnsi="Calibri"/>
                <w:color w:val="000000"/>
                <w:sz w:val="24"/>
              </w:rPr>
              <w:t>−2565.91</w:t>
            </w:r>
          </w:p>
        </w:tc>
        <w:tc>
          <w:tcPr>
            <w:tcW w:type="dxa" w:w="2880"/>
          </w:tcPr>
          <w:p>
            <w:r>
              <w:rPr>
                <w:rFonts w:ascii="Calibri" w:hAnsi="Calibri"/>
                <w:color w:val="000000"/>
                <w:sz w:val="24"/>
              </w:rPr>
              <w:t>−2548.12</w:t>
            </w:r>
          </w:p>
        </w:tc>
      </w:tr>
      <w:tr>
        <w:tc>
          <w:tcPr>
            <w:tcW w:type="dxa" w:w="2880"/>
          </w:tcPr>
          <w:p>
            <w:r>
              <w:rPr>
                <w:rFonts w:ascii="Calibri" w:hAnsi="Calibri"/>
                <w:color w:val="000000"/>
                <w:sz w:val="24"/>
              </w:rPr>
              <w:t>ARMA(3,0)</w:t>
            </w:r>
          </w:p>
        </w:tc>
        <w:tc>
          <w:tcPr>
            <w:tcW w:type="dxa" w:w="2880"/>
          </w:tcPr>
          <w:p>
            <w:r>
              <w:rPr>
                <w:rFonts w:ascii="Calibri" w:hAnsi="Calibri"/>
                <w:color w:val="000000"/>
                <w:sz w:val="24"/>
              </w:rPr>
              <w:t>−2543.72</w:t>
            </w:r>
          </w:p>
        </w:tc>
        <w:tc>
          <w:tcPr>
            <w:tcW w:type="dxa" w:w="2880"/>
          </w:tcPr>
          <w:p>
            <w:r>
              <w:rPr>
                <w:rFonts w:ascii="Calibri" w:hAnsi="Calibri"/>
                <w:color w:val="000000"/>
                <w:sz w:val="24"/>
              </w:rPr>
              <w:t>−2525.94</w:t>
            </w:r>
          </w:p>
        </w:tc>
      </w:tr>
      <w:tr>
        <w:tc>
          <w:tcPr>
            <w:tcW w:type="dxa" w:w="2880"/>
          </w:tcPr>
          <w:p>
            <w:r>
              <w:rPr>
                <w:rFonts w:ascii="Calibri" w:hAnsi="Calibri"/>
                <w:color w:val="000000"/>
                <w:sz w:val="24"/>
              </w:rPr>
              <w:t>ARMA(2,0)</w:t>
            </w:r>
          </w:p>
        </w:tc>
        <w:tc>
          <w:tcPr>
            <w:tcW w:type="dxa" w:w="2880"/>
          </w:tcPr>
          <w:p>
            <w:r>
              <w:rPr>
                <w:rFonts w:ascii="Calibri" w:hAnsi="Calibri"/>
                <w:color w:val="000000"/>
                <w:sz w:val="24"/>
              </w:rPr>
              <w:t>−2543.28</w:t>
            </w:r>
          </w:p>
        </w:tc>
        <w:tc>
          <w:tcPr>
            <w:tcW w:type="dxa" w:w="2880"/>
          </w:tcPr>
          <w:p>
            <w:r>
              <w:rPr>
                <w:rFonts w:ascii="Calibri" w:hAnsi="Calibri"/>
                <w:color w:val="000000"/>
                <w:sz w:val="24"/>
              </w:rPr>
              <w:t>−2529.05</w:t>
            </w:r>
          </w:p>
        </w:tc>
      </w:tr>
      <w:tr>
        <w:tc>
          <w:tcPr>
            <w:tcW w:type="dxa" w:w="2880"/>
          </w:tcPr>
          <w:p>
            <w:r>
              <w:rPr>
                <w:rFonts w:ascii="Calibri" w:hAnsi="Calibri"/>
                <w:color w:val="000000"/>
                <w:sz w:val="24"/>
              </w:rPr>
              <w:t>ARMA(1,1)</w:t>
            </w:r>
          </w:p>
        </w:tc>
        <w:tc>
          <w:tcPr>
            <w:tcW w:type="dxa" w:w="2880"/>
          </w:tcPr>
          <w:p>
            <w:r>
              <w:rPr>
                <w:rFonts w:ascii="Calibri" w:hAnsi="Calibri"/>
                <w:color w:val="000000"/>
                <w:sz w:val="24"/>
              </w:rPr>
              <w:t>−2539.69</w:t>
            </w:r>
          </w:p>
        </w:tc>
        <w:tc>
          <w:tcPr>
            <w:tcW w:type="dxa" w:w="2880"/>
          </w:tcPr>
          <w:p>
            <w:r>
              <w:rPr>
                <w:rFonts w:ascii="Calibri" w:hAnsi="Calibri"/>
                <w:color w:val="000000"/>
                <w:sz w:val="24"/>
              </w:rPr>
              <w:t>−2525.46</w:t>
            </w:r>
          </w:p>
        </w:tc>
      </w:tr>
    </w:tbl>
    <w:p/>
    <w:p>
      <w:r>
        <w:rPr>
          <w:rFonts w:ascii="Calibri" w:hAnsi="Calibri"/>
          <w:color w:val="000000"/>
          <w:sz w:val="24"/>
        </w:rPr>
        <w:t>The three best by AIC are ARMA(2,1), ARMA(1,2), and ARMA(3,0). The ACF and PACF show significant autocorrelation at lags 1 and 2 which supports an AR component, and the relatively slow ACF decay suggests some MA structure too.</w:t>
      </w:r>
    </w:p>
    <w:p>
      <w:r>
        <w:rPr>
          <w:rFonts w:ascii="Calibri" w:hAnsi="Calibri"/>
          <w:color w:val="000000"/>
          <w:sz w:val="24"/>
        </w:rPr>
        <w:t>Estimated ARMA(2,1): a</w:t>
      </w:r>
      <m:oMath>
        <m:r>
          <m:t>r</m:t>
        </m:r>
        <m:r>
          <m:t>₁</m:t>
        </m:r>
      </m:oMath>
      <w:r>
        <w:rPr>
          <w:rFonts w:ascii="Calibri" w:hAnsi="Calibri"/>
          <w:color w:val="000000"/>
          <w:sz w:val="24"/>
        </w:rPr>
        <w:t xml:space="preserve"> = 0.478 (SE = 0.056), a</w:t>
      </w:r>
      <m:oMath>
        <m:r>
          <m:t>r</m:t>
        </m:r>
        <m:r>
          <m:t>₂</m:t>
        </m:r>
      </m:oMath>
      <w:r>
        <w:rPr>
          <w:rFonts w:ascii="Calibri" w:hAnsi="Calibri"/>
          <w:color w:val="000000"/>
          <w:sz w:val="24"/>
        </w:rPr>
        <w:t xml:space="preserve"> = 0.447 (SE = 0.056), m</w:t>
      </w:r>
      <m:oMath>
        <m:r>
          <m:t>a</m:t>
        </m:r>
        <m:r>
          <m:t>₁</m:t>
        </m:r>
      </m:oMath>
      <w:r>
        <w:rPr>
          <w:rFonts w:ascii="Calibri" w:hAnsi="Calibri"/>
          <w:color w:val="000000"/>
          <w:sz w:val="24"/>
        </w:rPr>
        <w:t xml:space="preserve"> = 1.000 (SE = 0.016), mean = 0.0089, </w:t>
      </w:r>
      <m:oMath>
        <m:r>
          <m:t>σ</m:t>
        </m:r>
        <m:r>
          <m:t>²</m:t>
        </m:r>
      </m:oMath>
      <w:r>
        <w:rPr>
          <w:rFonts w:ascii="Calibri" w:hAnsi="Calibri"/>
          <w:color w:val="000000"/>
          <w:sz w:val="24"/>
        </w:rPr>
        <w:t xml:space="preserve"> = 2.625×10⁻⁶.</w:t>
      </w:r>
    </w:p>
    <w:p>
      <w:r>
        <w:rPr>
          <w:rFonts w:ascii="Calibri" w:hAnsi="Calibri"/>
          <w:b/>
          <w:color w:val="000000"/>
          <w:sz w:val="24"/>
        </w:rPr>
        <w:t>ARIMA models for r_t — AIC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Model</w:t>
            </w:r>
          </w:p>
        </w:tc>
        <w:tc>
          <w:tcPr>
            <w:tcW w:type="dxa" w:w="2880"/>
          </w:tcPr>
          <w:p>
            <w:r>
              <w:rPr>
                <w:rFonts w:ascii="Calibri" w:hAnsi="Calibri"/>
                <w:b/>
                <w:color w:val="000000"/>
                <w:sz w:val="24"/>
              </w:rPr>
              <w:t>AIC</w:t>
            </w:r>
          </w:p>
        </w:tc>
        <w:tc>
          <w:tcPr>
            <w:tcW w:type="dxa" w:w="2880"/>
          </w:tcPr>
          <w:p>
            <w:r>
              <w:rPr>
                <w:rFonts w:ascii="Calibri" w:hAnsi="Calibri"/>
                <w:b/>
                <w:color w:val="000000"/>
                <w:sz w:val="24"/>
              </w:rPr>
              <w:t>BIC</w:t>
            </w:r>
          </w:p>
        </w:tc>
      </w:tr>
      <w:tr>
        <w:tc>
          <w:tcPr>
            <w:tcW w:type="dxa" w:w="2880"/>
          </w:tcPr>
          <w:p>
            <w:r>
              <w:rPr>
                <w:rFonts w:ascii="Calibri" w:hAnsi="Calibri"/>
                <w:color w:val="000000"/>
                <w:sz w:val="24"/>
              </w:rPr>
              <w:t>ARIMA(2,1,1)</w:t>
            </w:r>
          </w:p>
        </w:tc>
        <w:tc>
          <w:tcPr>
            <w:tcW w:type="dxa" w:w="2880"/>
          </w:tcPr>
          <w:p>
            <w:r>
              <w:rPr>
                <w:rFonts w:ascii="Calibri" w:hAnsi="Calibri"/>
                <w:color w:val="000000"/>
                <w:sz w:val="24"/>
              </w:rPr>
              <w:t>504.38</w:t>
            </w:r>
          </w:p>
        </w:tc>
        <w:tc>
          <w:tcPr>
            <w:tcW w:type="dxa" w:w="2880"/>
          </w:tcPr>
          <w:p>
            <w:r>
              <w:rPr>
                <w:rFonts w:ascii="Calibri" w:hAnsi="Calibri"/>
                <w:color w:val="000000"/>
                <w:sz w:val="24"/>
              </w:rPr>
              <w:t>518.61</w:t>
            </w:r>
          </w:p>
        </w:tc>
      </w:tr>
      <w:tr>
        <w:tc>
          <w:tcPr>
            <w:tcW w:type="dxa" w:w="2880"/>
          </w:tcPr>
          <w:p>
            <w:r>
              <w:rPr>
                <w:rFonts w:ascii="Calibri" w:hAnsi="Calibri"/>
                <w:color w:val="000000"/>
                <w:sz w:val="24"/>
              </w:rPr>
              <w:t>ARIMA(1,1,1)</w:t>
            </w:r>
          </w:p>
        </w:tc>
        <w:tc>
          <w:tcPr>
            <w:tcW w:type="dxa" w:w="2880"/>
          </w:tcPr>
          <w:p>
            <w:r>
              <w:rPr>
                <w:rFonts w:ascii="Calibri" w:hAnsi="Calibri"/>
                <w:color w:val="000000"/>
                <w:sz w:val="24"/>
              </w:rPr>
              <w:t>506.19</w:t>
            </w:r>
          </w:p>
        </w:tc>
        <w:tc>
          <w:tcPr>
            <w:tcW w:type="dxa" w:w="2880"/>
          </w:tcPr>
          <w:p>
            <w:r>
              <w:rPr>
                <w:rFonts w:ascii="Calibri" w:hAnsi="Calibri"/>
                <w:color w:val="000000"/>
                <w:sz w:val="24"/>
              </w:rPr>
              <w:t>516.86</w:t>
            </w:r>
          </w:p>
        </w:tc>
      </w:tr>
      <w:tr>
        <w:tc>
          <w:tcPr>
            <w:tcW w:type="dxa" w:w="2880"/>
          </w:tcPr>
          <w:p>
            <w:r>
              <w:rPr>
                <w:rFonts w:ascii="Calibri" w:hAnsi="Calibri"/>
                <w:color w:val="000000"/>
                <w:sz w:val="24"/>
              </w:rPr>
              <w:t>ARIMA(3,1,0)</w:t>
            </w:r>
          </w:p>
        </w:tc>
        <w:tc>
          <w:tcPr>
            <w:tcW w:type="dxa" w:w="2880"/>
          </w:tcPr>
          <w:p>
            <w:r>
              <w:rPr>
                <w:rFonts w:ascii="Calibri" w:hAnsi="Calibri"/>
                <w:color w:val="000000"/>
                <w:sz w:val="24"/>
              </w:rPr>
              <w:t>507.93</w:t>
            </w:r>
          </w:p>
        </w:tc>
        <w:tc>
          <w:tcPr>
            <w:tcW w:type="dxa" w:w="2880"/>
          </w:tcPr>
          <w:p>
            <w:r>
              <w:rPr>
                <w:rFonts w:ascii="Calibri" w:hAnsi="Calibri"/>
                <w:color w:val="000000"/>
                <w:sz w:val="24"/>
              </w:rPr>
              <w:t>522.16</w:t>
            </w:r>
          </w:p>
        </w:tc>
      </w:tr>
    </w:tbl>
    <w:p/>
    <w:p>
      <w:pPr>
        <w:pStyle w:val="Heading3"/>
      </w:pPr>
      <w:r>
        <w:t>2(a) — Forecast Plot</w:t>
      </w:r>
    </w:p>
    <w:p>
      <w:r>
        <w:rPr>
          <w:rFonts w:ascii="Calibri" w:hAnsi="Calibri"/>
          <w:b/>
          <w:color w:val="000000"/>
          <w:sz w:val="24"/>
        </w:rPr>
        <w:t>[INSERT fig_q2_forecast.png]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Quarter</w:t>
            </w:r>
          </w:p>
        </w:tc>
        <w:tc>
          <w:tcPr>
            <w:tcW w:type="dxa" w:w="1440"/>
          </w:tcPr>
          <w:p>
            <w:r>
              <w:rPr>
                <w:rFonts w:ascii="Calibri" w:hAnsi="Calibri"/>
                <w:b/>
                <w:color w:val="000000"/>
                <w:sz w:val="24"/>
              </w:rPr>
              <w:t>ARMA(2,1)</w:t>
            </w:r>
          </w:p>
        </w:tc>
        <w:tc>
          <w:tcPr>
            <w:tcW w:type="dxa" w:w="1440"/>
          </w:tcPr>
          <w:p>
            <w:r>
              <w:rPr>
                <w:rFonts w:ascii="Calibri" w:hAnsi="Calibri"/>
                <w:b/>
                <w:color w:val="000000"/>
                <w:sz w:val="24"/>
              </w:rPr>
              <w:t>ARMA(1,2)</w:t>
            </w:r>
          </w:p>
        </w:tc>
        <w:tc>
          <w:tcPr>
            <w:tcW w:type="dxa" w:w="1440"/>
          </w:tcPr>
          <w:p>
            <w:r>
              <w:rPr>
                <w:rFonts w:ascii="Calibri" w:hAnsi="Calibri"/>
                <w:b/>
                <w:color w:val="000000"/>
                <w:sz w:val="24"/>
              </w:rPr>
              <w:t>ARMA(3,0)</w:t>
            </w:r>
          </w:p>
        </w:tc>
        <w:tc>
          <w:tcPr>
            <w:tcW w:type="dxa" w:w="1440"/>
          </w:tcPr>
          <w:p>
            <w:r>
              <w:rPr>
                <w:rFonts w:ascii="Calibri" w:hAnsi="Calibri"/>
                <w:b/>
                <w:color w:val="000000"/>
                <w:sz w:val="24"/>
              </w:rPr>
              <w:t>95% CI lower</w:t>
            </w:r>
          </w:p>
        </w:tc>
        <w:tc>
          <w:tcPr>
            <w:tcW w:type="dxa" w:w="1440"/>
          </w:tcPr>
          <w:p>
            <w:r>
              <w:rPr>
                <w:rFonts w:ascii="Calibri" w:hAnsi="Calibri"/>
                <w:b/>
                <w:color w:val="000000"/>
                <w:sz w:val="24"/>
              </w:rPr>
              <w:t>95% CI upper</w:t>
            </w:r>
          </w:p>
        </w:tc>
      </w:tr>
      <w:tr>
        <w:tc>
          <w:tcPr>
            <w:tcW w:type="dxa" w:w="1440"/>
          </w:tcPr>
          <w:p>
            <w:r>
              <w:rPr>
                <w:rFonts w:ascii="Calibri" w:hAnsi="Calibri"/>
                <w:color w:val="000000"/>
                <w:sz w:val="24"/>
              </w:rPr>
              <w:t>2024Q1</w:t>
            </w:r>
          </w:p>
        </w:tc>
        <w:tc>
          <w:tcPr>
            <w:tcW w:type="dxa" w:w="1440"/>
          </w:tcPr>
          <w:p>
            <w:r>
              <w:rPr>
                <w:rFonts w:ascii="Calibri" w:hAnsi="Calibri"/>
                <w:color w:val="000000"/>
                <w:sz w:val="24"/>
              </w:rPr>
              <w:t>0.00907</w:t>
            </w:r>
          </w:p>
        </w:tc>
        <w:tc>
          <w:tcPr>
            <w:tcW w:type="dxa" w:w="1440"/>
          </w:tcPr>
          <w:p>
            <w:r>
              <w:rPr>
                <w:rFonts w:ascii="Calibri" w:hAnsi="Calibri"/>
                <w:color w:val="000000"/>
                <w:sz w:val="24"/>
              </w:rPr>
              <w:t>0.00801</w:t>
            </w:r>
          </w:p>
        </w:tc>
        <w:tc>
          <w:tcPr>
            <w:tcW w:type="dxa" w:w="1440"/>
          </w:tcPr>
          <w:p>
            <w:r>
              <w:rPr>
                <w:rFonts w:ascii="Calibri" w:hAnsi="Calibri"/>
                <w:color w:val="000000"/>
                <w:sz w:val="24"/>
              </w:rPr>
              <w:t>0.00849</w:t>
            </w:r>
          </w:p>
        </w:tc>
        <w:tc>
          <w:tcPr>
            <w:tcW w:type="dxa" w:w="1440"/>
          </w:tcPr>
          <w:p>
            <w:r>
              <w:rPr>
                <w:rFonts w:ascii="Calibri" w:hAnsi="Calibri"/>
                <w:color w:val="000000"/>
                <w:sz w:val="24"/>
              </w:rPr>
              <w:t>0.00588</w:t>
            </w:r>
          </w:p>
        </w:tc>
        <w:tc>
          <w:tcPr>
            <w:tcW w:type="dxa" w:w="1440"/>
          </w:tcPr>
          <w:p>
            <w:r>
              <w:rPr>
                <w:rFonts w:ascii="Calibri" w:hAnsi="Calibri"/>
                <w:color w:val="000000"/>
                <w:sz w:val="24"/>
              </w:rPr>
              <w:t>0.01225</w:t>
            </w:r>
          </w:p>
        </w:tc>
      </w:tr>
      <w:tr>
        <w:tc>
          <w:tcPr>
            <w:tcW w:type="dxa" w:w="1440"/>
          </w:tcPr>
          <w:p>
            <w:r>
              <w:rPr>
                <w:rFonts w:ascii="Calibri" w:hAnsi="Calibri"/>
                <w:color w:val="000000"/>
                <w:sz w:val="24"/>
              </w:rPr>
              <w:t>2024Q2</w:t>
            </w:r>
          </w:p>
        </w:tc>
        <w:tc>
          <w:tcPr>
            <w:tcW w:type="dxa" w:w="1440"/>
          </w:tcPr>
          <w:p>
            <w:r>
              <w:rPr>
                <w:rFonts w:ascii="Calibri" w:hAnsi="Calibri"/>
                <w:color w:val="000000"/>
                <w:sz w:val="24"/>
              </w:rPr>
              <w:t>0.00896</w:t>
            </w:r>
          </w:p>
        </w:tc>
        <w:tc>
          <w:tcPr>
            <w:tcW w:type="dxa" w:w="1440"/>
          </w:tcPr>
          <w:p>
            <w:r>
              <w:rPr>
                <w:rFonts w:ascii="Calibri" w:hAnsi="Calibri"/>
                <w:color w:val="000000"/>
                <w:sz w:val="24"/>
              </w:rPr>
              <w:t>0.00805</w:t>
            </w:r>
          </w:p>
        </w:tc>
        <w:tc>
          <w:tcPr>
            <w:tcW w:type="dxa" w:w="1440"/>
          </w:tcPr>
          <w:p>
            <w:r>
              <w:rPr>
                <w:rFonts w:ascii="Calibri" w:hAnsi="Calibri"/>
                <w:color w:val="000000"/>
                <w:sz w:val="24"/>
              </w:rPr>
              <w:t>0.00841</w:t>
            </w:r>
          </w:p>
        </w:tc>
        <w:tc>
          <w:tcPr>
            <w:tcW w:type="dxa" w:w="1440"/>
          </w:tcPr>
          <w:p>
            <w:r>
              <w:rPr>
                <w:rFonts w:ascii="Calibri" w:hAnsi="Calibri"/>
                <w:color w:val="000000"/>
                <w:sz w:val="24"/>
              </w:rPr>
              <w:t>0.00329</w:t>
            </w:r>
          </w:p>
        </w:tc>
        <w:tc>
          <w:tcPr>
            <w:tcW w:type="dxa" w:w="1440"/>
          </w:tcPr>
          <w:p>
            <w:r>
              <w:rPr>
                <w:rFonts w:ascii="Calibri" w:hAnsi="Calibri"/>
                <w:color w:val="000000"/>
                <w:sz w:val="24"/>
              </w:rPr>
              <w:t>0.01463</w:t>
            </w:r>
          </w:p>
        </w:tc>
      </w:tr>
      <w:tr>
        <w:tc>
          <w:tcPr>
            <w:tcW w:type="dxa" w:w="1440"/>
          </w:tcPr>
          <w:p>
            <w:r>
              <w:rPr>
                <w:rFonts w:ascii="Calibri" w:hAnsi="Calibri"/>
                <w:color w:val="000000"/>
                <w:sz w:val="24"/>
              </w:rPr>
              <w:t>2024Q3</w:t>
            </w:r>
          </w:p>
        </w:tc>
        <w:tc>
          <w:tcPr>
            <w:tcW w:type="dxa" w:w="1440"/>
          </w:tcPr>
          <w:p>
            <w:r>
              <w:rPr>
                <w:rFonts w:ascii="Calibri" w:hAnsi="Calibri"/>
                <w:color w:val="000000"/>
                <w:sz w:val="24"/>
              </w:rPr>
              <w:t>0.00900</w:t>
            </w:r>
          </w:p>
        </w:tc>
        <w:tc>
          <w:tcPr>
            <w:tcW w:type="dxa" w:w="1440"/>
          </w:tcPr>
          <w:p>
            <w:r>
              <w:rPr>
                <w:rFonts w:ascii="Calibri" w:hAnsi="Calibri"/>
                <w:color w:val="000000"/>
                <w:sz w:val="24"/>
              </w:rPr>
              <w:t>0.00814</w:t>
            </w:r>
          </w:p>
        </w:tc>
        <w:tc>
          <w:tcPr>
            <w:tcW w:type="dxa" w:w="1440"/>
          </w:tcPr>
          <w:p>
            <w:r>
              <w:rPr>
                <w:rFonts w:ascii="Calibri" w:hAnsi="Calibri"/>
                <w:color w:val="000000"/>
                <w:sz w:val="24"/>
              </w:rPr>
              <w:t>0.00838</w:t>
            </w:r>
          </w:p>
        </w:tc>
        <w:tc>
          <w:tcPr>
            <w:tcW w:type="dxa" w:w="1440"/>
          </w:tcPr>
          <w:p>
            <w:r>
              <w:rPr>
                <w:rFonts w:ascii="Calibri" w:hAnsi="Calibri"/>
                <w:color w:val="000000"/>
                <w:sz w:val="24"/>
              </w:rPr>
              <w:t>0.00225</w:t>
            </w:r>
          </w:p>
        </w:tc>
        <w:tc>
          <w:tcPr>
            <w:tcW w:type="dxa" w:w="1440"/>
          </w:tcPr>
          <w:p>
            <w:r>
              <w:rPr>
                <w:rFonts w:ascii="Calibri" w:hAnsi="Calibri"/>
                <w:color w:val="000000"/>
                <w:sz w:val="24"/>
              </w:rPr>
              <w:t>0.01575</w:t>
            </w:r>
          </w:p>
        </w:tc>
      </w:tr>
      <w:tr>
        <w:tc>
          <w:tcPr>
            <w:tcW w:type="dxa" w:w="1440"/>
          </w:tcPr>
          <w:p>
            <w:r>
              <w:rPr>
                <w:rFonts w:ascii="Calibri" w:hAnsi="Calibri"/>
                <w:color w:val="000000"/>
                <w:sz w:val="24"/>
              </w:rPr>
              <w:t>2024Q4</w:t>
            </w:r>
          </w:p>
        </w:tc>
        <w:tc>
          <w:tcPr>
            <w:tcW w:type="dxa" w:w="1440"/>
          </w:tcPr>
          <w:p>
            <w:r>
              <w:rPr>
                <w:rFonts w:ascii="Calibri" w:hAnsi="Calibri"/>
                <w:color w:val="000000"/>
                <w:sz w:val="24"/>
              </w:rPr>
              <w:t>0.00897</w:t>
            </w:r>
          </w:p>
        </w:tc>
        <w:tc>
          <w:tcPr>
            <w:tcW w:type="dxa" w:w="1440"/>
          </w:tcPr>
          <w:p>
            <w:r>
              <w:rPr>
                <w:rFonts w:ascii="Calibri" w:hAnsi="Calibri"/>
                <w:color w:val="000000"/>
                <w:sz w:val="24"/>
              </w:rPr>
              <w:t>0.00823</w:t>
            </w:r>
          </w:p>
        </w:tc>
        <w:tc>
          <w:tcPr>
            <w:tcW w:type="dxa" w:w="1440"/>
          </w:tcPr>
          <w:p>
            <w:r>
              <w:rPr>
                <w:rFonts w:ascii="Calibri" w:hAnsi="Calibri"/>
                <w:color w:val="000000"/>
                <w:sz w:val="24"/>
              </w:rPr>
              <w:t>0.00839</w:t>
            </w:r>
          </w:p>
        </w:tc>
        <w:tc>
          <w:tcPr>
            <w:tcW w:type="dxa" w:w="1440"/>
          </w:tcPr>
          <w:p>
            <w:r>
              <w:rPr>
                <w:rFonts w:ascii="Calibri" w:hAnsi="Calibri"/>
                <w:color w:val="000000"/>
                <w:sz w:val="24"/>
              </w:rPr>
              <w:t>0.00120</w:t>
            </w:r>
          </w:p>
        </w:tc>
        <w:tc>
          <w:tcPr>
            <w:tcW w:type="dxa" w:w="1440"/>
          </w:tcPr>
          <w:p>
            <w:r>
              <w:rPr>
                <w:rFonts w:ascii="Calibri" w:hAnsi="Calibri"/>
                <w:color w:val="000000"/>
                <w:sz w:val="24"/>
              </w:rPr>
              <w:t>0.01674</w:t>
            </w:r>
          </w:p>
        </w:tc>
      </w:tr>
      <w:tr>
        <w:tc>
          <w:tcPr>
            <w:tcW w:type="dxa" w:w="1440"/>
          </w:tcPr>
          <w:p>
            <w:r>
              <w:rPr>
                <w:rFonts w:ascii="Calibri" w:hAnsi="Calibri"/>
                <w:color w:val="000000"/>
                <w:sz w:val="24"/>
              </w:rPr>
              <w:t>2025Q1</w:t>
            </w:r>
          </w:p>
        </w:tc>
        <w:tc>
          <w:tcPr>
            <w:tcW w:type="dxa" w:w="1440"/>
          </w:tcPr>
          <w:p>
            <w:r>
              <w:rPr>
                <w:rFonts w:ascii="Calibri" w:hAnsi="Calibri"/>
                <w:color w:val="000000"/>
                <w:sz w:val="24"/>
              </w:rPr>
              <w:t>0.00898</w:t>
            </w:r>
          </w:p>
        </w:tc>
        <w:tc>
          <w:tcPr>
            <w:tcW w:type="dxa" w:w="1440"/>
          </w:tcPr>
          <w:p>
            <w:r>
              <w:rPr>
                <w:rFonts w:ascii="Calibri" w:hAnsi="Calibri"/>
                <w:color w:val="000000"/>
                <w:sz w:val="24"/>
              </w:rPr>
              <w:t>0.00830</w:t>
            </w:r>
          </w:p>
        </w:tc>
        <w:tc>
          <w:tcPr>
            <w:tcW w:type="dxa" w:w="1440"/>
          </w:tcPr>
          <w:p>
            <w:r>
              <w:rPr>
                <w:rFonts w:ascii="Calibri" w:hAnsi="Calibri"/>
                <w:color w:val="000000"/>
                <w:sz w:val="24"/>
              </w:rPr>
              <w:t>0.00843</w:t>
            </w:r>
          </w:p>
        </w:tc>
        <w:tc>
          <w:tcPr>
            <w:tcW w:type="dxa" w:w="1440"/>
          </w:tcPr>
          <w:p>
            <w:r>
              <w:rPr>
                <w:rFonts w:ascii="Calibri" w:hAnsi="Calibri"/>
                <w:color w:val="000000"/>
                <w:sz w:val="24"/>
              </w:rPr>
              <w:t>0.00046</w:t>
            </w:r>
          </w:p>
        </w:tc>
        <w:tc>
          <w:tcPr>
            <w:tcW w:type="dxa" w:w="1440"/>
          </w:tcPr>
          <w:p>
            <w:r>
              <w:rPr>
                <w:rFonts w:ascii="Calibri" w:hAnsi="Calibri"/>
                <w:color w:val="000000"/>
                <w:sz w:val="24"/>
              </w:rPr>
              <w:t>0.01749</w:t>
            </w:r>
          </w:p>
        </w:tc>
      </w:tr>
      <w:tr>
        <w:tc>
          <w:tcPr>
            <w:tcW w:type="dxa" w:w="1440"/>
          </w:tcPr>
          <w:p>
            <w:r>
              <w:rPr>
                <w:rFonts w:ascii="Calibri" w:hAnsi="Calibri"/>
                <w:color w:val="000000"/>
                <w:sz w:val="24"/>
              </w:rPr>
              <w:t>2025Q2</w:t>
            </w:r>
          </w:p>
        </w:tc>
        <w:tc>
          <w:tcPr>
            <w:tcW w:type="dxa" w:w="1440"/>
          </w:tcPr>
          <w:p>
            <w:r>
              <w:rPr>
                <w:rFonts w:ascii="Calibri" w:hAnsi="Calibri"/>
                <w:color w:val="000000"/>
                <w:sz w:val="24"/>
              </w:rPr>
              <w:t>0.00897</w:t>
            </w:r>
          </w:p>
        </w:tc>
        <w:tc>
          <w:tcPr>
            <w:tcW w:type="dxa" w:w="1440"/>
          </w:tcPr>
          <w:p>
            <w:r>
              <w:rPr>
                <w:rFonts w:ascii="Calibri" w:hAnsi="Calibri"/>
                <w:color w:val="000000"/>
                <w:sz w:val="24"/>
              </w:rPr>
              <w:t>0.00837</w:t>
            </w:r>
          </w:p>
        </w:tc>
        <w:tc>
          <w:tcPr>
            <w:tcW w:type="dxa" w:w="1440"/>
          </w:tcPr>
          <w:p>
            <w:r>
              <w:rPr>
                <w:rFonts w:ascii="Calibri" w:hAnsi="Calibri"/>
                <w:color w:val="000000"/>
                <w:sz w:val="24"/>
              </w:rPr>
              <w:t>0.00847</w:t>
            </w:r>
          </w:p>
        </w:tc>
        <w:tc>
          <w:tcPr>
            <w:tcW w:type="dxa" w:w="1440"/>
          </w:tcPr>
          <w:p>
            <w:r>
              <w:rPr>
                <w:rFonts w:ascii="Calibri" w:hAnsi="Calibri"/>
                <w:color w:val="000000"/>
                <w:sz w:val="24"/>
              </w:rPr>
              <w:t>−0.00019</w:t>
            </w:r>
          </w:p>
        </w:tc>
        <w:tc>
          <w:tcPr>
            <w:tcW w:type="dxa" w:w="1440"/>
          </w:tcPr>
          <w:p>
            <w:r>
              <w:rPr>
                <w:rFonts w:ascii="Calibri" w:hAnsi="Calibri"/>
                <w:color w:val="000000"/>
                <w:sz w:val="24"/>
              </w:rPr>
              <w:t>0.01813</w:t>
            </w:r>
          </w:p>
        </w:tc>
      </w:tr>
      <w:tr>
        <w:tc>
          <w:tcPr>
            <w:tcW w:type="dxa" w:w="1440"/>
          </w:tcPr>
          <w:p>
            <w:r>
              <w:rPr>
                <w:rFonts w:ascii="Calibri" w:hAnsi="Calibri"/>
                <w:color w:val="000000"/>
                <w:sz w:val="24"/>
              </w:rPr>
              <w:t>2025Q3</w:t>
            </w:r>
          </w:p>
        </w:tc>
        <w:tc>
          <w:tcPr>
            <w:tcW w:type="dxa" w:w="1440"/>
          </w:tcPr>
          <w:p>
            <w:r>
              <w:rPr>
                <w:rFonts w:ascii="Calibri" w:hAnsi="Calibri"/>
                <w:color w:val="000000"/>
                <w:sz w:val="24"/>
              </w:rPr>
              <w:t>0.00896</w:t>
            </w:r>
          </w:p>
        </w:tc>
        <w:tc>
          <w:tcPr>
            <w:tcW w:type="dxa" w:w="1440"/>
          </w:tcPr>
          <w:p>
            <w:r>
              <w:rPr>
                <w:rFonts w:ascii="Calibri" w:hAnsi="Calibri"/>
                <w:color w:val="000000"/>
                <w:sz w:val="24"/>
              </w:rPr>
              <w:t>0.00843</w:t>
            </w:r>
          </w:p>
        </w:tc>
        <w:tc>
          <w:tcPr>
            <w:tcW w:type="dxa" w:w="1440"/>
          </w:tcPr>
          <w:p>
            <w:r>
              <w:rPr>
                <w:rFonts w:ascii="Calibri" w:hAnsi="Calibri"/>
                <w:color w:val="000000"/>
                <w:sz w:val="24"/>
              </w:rPr>
              <w:t>0.00852</w:t>
            </w:r>
          </w:p>
        </w:tc>
        <w:tc>
          <w:tcPr>
            <w:tcW w:type="dxa" w:w="1440"/>
          </w:tcPr>
          <w:p>
            <w:r>
              <w:rPr>
                <w:rFonts w:ascii="Calibri" w:hAnsi="Calibri"/>
                <w:color w:val="000000"/>
                <w:sz w:val="24"/>
              </w:rPr>
              <w:t>−0.00073</w:t>
            </w:r>
          </w:p>
        </w:tc>
        <w:tc>
          <w:tcPr>
            <w:tcW w:type="dxa" w:w="1440"/>
          </w:tcPr>
          <w:p>
            <w:r>
              <w:rPr>
                <w:rFonts w:ascii="Calibri" w:hAnsi="Calibri"/>
                <w:color w:val="000000"/>
                <w:sz w:val="24"/>
              </w:rPr>
              <w:t>0.01866</w:t>
            </w:r>
          </w:p>
        </w:tc>
      </w:tr>
      <w:tr>
        <w:tc>
          <w:tcPr>
            <w:tcW w:type="dxa" w:w="1440"/>
          </w:tcPr>
          <w:p>
            <w:r>
              <w:rPr>
                <w:rFonts w:ascii="Calibri" w:hAnsi="Calibri"/>
                <w:color w:val="000000"/>
                <w:sz w:val="24"/>
              </w:rPr>
              <w:t>2025Q4</w:t>
            </w:r>
          </w:p>
        </w:tc>
        <w:tc>
          <w:tcPr>
            <w:tcW w:type="dxa" w:w="1440"/>
          </w:tcPr>
          <w:p>
            <w:r>
              <w:rPr>
                <w:rFonts w:ascii="Calibri" w:hAnsi="Calibri"/>
                <w:color w:val="000000"/>
                <w:sz w:val="24"/>
              </w:rPr>
              <w:t>0.00896</w:t>
            </w:r>
          </w:p>
        </w:tc>
        <w:tc>
          <w:tcPr>
            <w:tcW w:type="dxa" w:w="1440"/>
          </w:tcPr>
          <w:p>
            <w:r>
              <w:rPr>
                <w:rFonts w:ascii="Calibri" w:hAnsi="Calibri"/>
                <w:color w:val="000000"/>
                <w:sz w:val="24"/>
              </w:rPr>
              <w:t>0.00849</w:t>
            </w:r>
          </w:p>
        </w:tc>
        <w:tc>
          <w:tcPr>
            <w:tcW w:type="dxa" w:w="1440"/>
          </w:tcPr>
          <w:p>
            <w:r>
              <w:rPr>
                <w:rFonts w:ascii="Calibri" w:hAnsi="Calibri"/>
                <w:color w:val="000000"/>
                <w:sz w:val="24"/>
              </w:rPr>
              <w:t>0.00856</w:t>
            </w:r>
          </w:p>
        </w:tc>
        <w:tc>
          <w:tcPr>
            <w:tcW w:type="dxa" w:w="1440"/>
          </w:tcPr>
          <w:p>
            <w:r>
              <w:rPr>
                <w:rFonts w:ascii="Calibri" w:hAnsi="Calibri"/>
                <w:color w:val="000000"/>
                <w:sz w:val="24"/>
              </w:rPr>
              <w:t>−0.00120</w:t>
            </w:r>
          </w:p>
        </w:tc>
        <w:tc>
          <w:tcPr>
            <w:tcW w:type="dxa" w:w="1440"/>
          </w:tcPr>
          <w:p>
            <w:r>
              <w:rPr>
                <w:rFonts w:ascii="Calibri" w:hAnsi="Calibri"/>
                <w:color w:val="000000"/>
                <w:sz w:val="24"/>
              </w:rPr>
              <w:t>0.01911</w:t>
            </w:r>
          </w:p>
        </w:tc>
      </w:tr>
    </w:tbl>
    <w:p/>
    <w:p>
      <w:r>
        <w:rPr>
          <w:rFonts w:ascii="Calibri" w:hAnsi="Calibri"/>
          <w:color w:val="000000"/>
          <w:sz w:val="24"/>
        </w:rPr>
        <w:t>All three models converge fairly quickly toward the sample mean of around 0.009. This is expected from stationary ARMA processes — forecasts revert to the unconditional mean as the horizon increases.</w:t>
      </w:r>
    </w:p>
    <w:p>
      <w:pPr>
        <w:pStyle w:val="Heading3"/>
      </w:pPr>
      <w:r>
        <w:t>2(b) — Policy Discussion</w:t>
      </w:r>
    </w:p>
    <w:p>
      <w:r>
        <w:rPr>
          <w:rFonts w:ascii="Calibri" w:hAnsi="Calibri"/>
          <w:color w:val="000000"/>
          <w:sz w:val="24"/>
        </w:rPr>
        <w:t>Inflation forecasts like these are directly useful for monetary policy. The Federal Reserve uses inflation projections when deciding on interest rate changes — if inflation is forecast to stay above the 2% target, the Fed may maintain or raise rates, whereas a declining inflation path could support cuts. Fiscal authorities also use inflation projections to index spending programs and estimate real borrowing costs.</w:t>
      </w:r>
    </w:p>
    <w:p>
      <w:r>
        <w:rPr>
          <w:rFonts w:ascii="Calibri" w:hAnsi="Calibri"/>
          <w:color w:val="000000"/>
          <w:sz w:val="24"/>
        </w:rPr>
        <w:t>There are several sources of uncertainty worth distinguishing. First, each future period introduces an unpredictable shock ε_t — the 95% confidence interval starts at a width of 0.00636 at h=1 and widens to 0.02031 at h=8, directly showing how much this accumulates. Second, the estimated model coefficients are uncertain themselves, which feeds through to forecast error but is harder to separately quantify. Third, there is model uncertainty — the three models give noticeably different forecasts (e.g., at h=1 the range is 0.00801 to 0.00907), and all three may be misspecified in some way. Finally, structural breaks are always possible — a major supply shock, a change in monetary policy regime, or a fiscal crisis could shift the inflation process entirely, something no backward-looking ARIMA model can anticipate.</w:t>
      </w:r>
    </w:p>
    <w:p>
      <w:r>
        <w:br w:type="page"/>
      </w:r>
    </w:p>
    <w:p>
      <w:pPr>
        <w:pStyle w:val="Heading2"/>
      </w:pPr>
      <w:r>
        <w:t>Question 3</w:t>
      </w:r>
    </w:p>
    <w:p>
      <w:pPr>
        <w:pStyle w:val="Heading3"/>
      </w:pPr>
      <w:r>
        <w:t>Forecast Evaluation</w:t>
      </w:r>
    </w:p>
    <w:p>
      <w:r>
        <w:rPr>
          <w:rFonts w:ascii="Calibri" w:hAnsi="Calibri"/>
          <w:color w:val="000000"/>
          <w:sz w:val="24"/>
        </w:rPr>
        <w:t>Using the actual P_t values from the table and P_{2023Q4} = 14.547 from the dataset, the actual Δp_t values for 2024Q1–2025Q3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Quarter</w:t>
            </w:r>
          </w:p>
        </w:tc>
        <w:tc>
          <w:tcPr>
            <w:tcW w:type="dxa" w:w="1728"/>
          </w:tcPr>
          <w:p>
            <w:r>
              <w:rPr>
                <w:rFonts w:ascii="Calibri" w:hAnsi="Calibri"/>
                <w:b/>
                <w:color w:val="000000"/>
                <w:sz w:val="24"/>
              </w:rPr>
              <w:t>Actual Δp_t</w:t>
            </w:r>
          </w:p>
        </w:tc>
        <w:tc>
          <w:tcPr>
            <w:tcW w:type="dxa" w:w="1728"/>
          </w:tcPr>
          <w:p>
            <w:r>
              <w:rPr>
                <w:rFonts w:ascii="Calibri" w:hAnsi="Calibri"/>
                <w:b/>
                <w:color w:val="000000"/>
                <w:sz w:val="24"/>
              </w:rPr>
              <w:t>ARMA(2,1)</w:t>
            </w:r>
          </w:p>
        </w:tc>
        <w:tc>
          <w:tcPr>
            <w:tcW w:type="dxa" w:w="1728"/>
          </w:tcPr>
          <w:p>
            <w:r>
              <w:rPr>
                <w:rFonts w:ascii="Calibri" w:hAnsi="Calibri"/>
                <w:b/>
                <w:color w:val="000000"/>
                <w:sz w:val="24"/>
              </w:rPr>
              <w:t>ARMA(1,2)</w:t>
            </w:r>
          </w:p>
        </w:tc>
        <w:tc>
          <w:tcPr>
            <w:tcW w:type="dxa" w:w="1728"/>
          </w:tcPr>
          <w:p>
            <w:r>
              <w:rPr>
                <w:rFonts w:ascii="Calibri" w:hAnsi="Calibri"/>
                <w:b/>
                <w:color w:val="000000"/>
                <w:sz w:val="24"/>
              </w:rPr>
              <w:t>ARMA(3,0)</w:t>
            </w:r>
          </w:p>
        </w:tc>
      </w:tr>
      <w:tr>
        <w:tc>
          <w:tcPr>
            <w:tcW w:type="dxa" w:w="1728"/>
          </w:tcPr>
          <w:p>
            <w:r>
              <w:rPr>
                <w:rFonts w:ascii="Calibri" w:hAnsi="Calibri"/>
                <w:color w:val="000000"/>
                <w:sz w:val="24"/>
              </w:rPr>
              <w:t>2024Q1</w:t>
            </w:r>
          </w:p>
        </w:tc>
        <w:tc>
          <w:tcPr>
            <w:tcW w:type="dxa" w:w="1728"/>
          </w:tcPr>
          <w:p>
            <w:r>
              <w:rPr>
                <w:rFonts w:ascii="Calibri" w:hAnsi="Calibri"/>
                <w:color w:val="000000"/>
                <w:sz w:val="24"/>
              </w:rPr>
              <w:t>0.00798</w:t>
            </w:r>
          </w:p>
        </w:tc>
        <w:tc>
          <w:tcPr>
            <w:tcW w:type="dxa" w:w="1728"/>
          </w:tcPr>
          <w:p>
            <w:r>
              <w:rPr>
                <w:rFonts w:ascii="Calibri" w:hAnsi="Calibri"/>
                <w:color w:val="000000"/>
                <w:sz w:val="24"/>
              </w:rPr>
              <w:t>0.00907</w:t>
            </w:r>
          </w:p>
        </w:tc>
        <w:tc>
          <w:tcPr>
            <w:tcW w:type="dxa" w:w="1728"/>
          </w:tcPr>
          <w:p>
            <w:r>
              <w:rPr>
                <w:rFonts w:ascii="Calibri" w:hAnsi="Calibri"/>
                <w:color w:val="000000"/>
                <w:sz w:val="24"/>
              </w:rPr>
              <w:t>0.00801</w:t>
            </w:r>
          </w:p>
        </w:tc>
        <w:tc>
          <w:tcPr>
            <w:tcW w:type="dxa" w:w="1728"/>
          </w:tcPr>
          <w:p>
            <w:r>
              <w:rPr>
                <w:rFonts w:ascii="Calibri" w:hAnsi="Calibri"/>
                <w:color w:val="000000"/>
                <w:sz w:val="24"/>
              </w:rPr>
              <w:t>0.00849</w:t>
            </w:r>
          </w:p>
        </w:tc>
      </w:tr>
      <w:tr>
        <w:tc>
          <w:tcPr>
            <w:tcW w:type="dxa" w:w="1728"/>
          </w:tcPr>
          <w:p>
            <w:r>
              <w:rPr>
                <w:rFonts w:ascii="Calibri" w:hAnsi="Calibri"/>
                <w:color w:val="000000"/>
                <w:sz w:val="24"/>
              </w:rPr>
              <w:t>2024Q2</w:t>
            </w:r>
          </w:p>
        </w:tc>
        <w:tc>
          <w:tcPr>
            <w:tcW w:type="dxa" w:w="1728"/>
          </w:tcPr>
          <w:p>
            <w:r>
              <w:rPr>
                <w:rFonts w:ascii="Calibri" w:hAnsi="Calibri"/>
                <w:color w:val="000000"/>
                <w:sz w:val="24"/>
              </w:rPr>
              <w:t>0.00829</w:t>
            </w:r>
          </w:p>
        </w:tc>
        <w:tc>
          <w:tcPr>
            <w:tcW w:type="dxa" w:w="1728"/>
          </w:tcPr>
          <w:p>
            <w:r>
              <w:rPr>
                <w:rFonts w:ascii="Calibri" w:hAnsi="Calibri"/>
                <w:color w:val="000000"/>
                <w:sz w:val="24"/>
              </w:rPr>
              <w:t>0.00896</w:t>
            </w:r>
          </w:p>
        </w:tc>
        <w:tc>
          <w:tcPr>
            <w:tcW w:type="dxa" w:w="1728"/>
          </w:tcPr>
          <w:p>
            <w:r>
              <w:rPr>
                <w:rFonts w:ascii="Calibri" w:hAnsi="Calibri"/>
                <w:color w:val="000000"/>
                <w:sz w:val="24"/>
              </w:rPr>
              <w:t>0.00805</w:t>
            </w:r>
          </w:p>
        </w:tc>
        <w:tc>
          <w:tcPr>
            <w:tcW w:type="dxa" w:w="1728"/>
          </w:tcPr>
          <w:p>
            <w:r>
              <w:rPr>
                <w:rFonts w:ascii="Calibri" w:hAnsi="Calibri"/>
                <w:color w:val="000000"/>
                <w:sz w:val="24"/>
              </w:rPr>
              <w:t>0.00841</w:t>
            </w:r>
          </w:p>
        </w:tc>
      </w:tr>
      <w:tr>
        <w:tc>
          <w:tcPr>
            <w:tcW w:type="dxa" w:w="1728"/>
          </w:tcPr>
          <w:p>
            <w:r>
              <w:rPr>
                <w:rFonts w:ascii="Calibri" w:hAnsi="Calibri"/>
                <w:color w:val="000000"/>
                <w:sz w:val="24"/>
              </w:rPr>
              <w:t>2024Q3</w:t>
            </w:r>
          </w:p>
        </w:tc>
        <w:tc>
          <w:tcPr>
            <w:tcW w:type="dxa" w:w="1728"/>
          </w:tcPr>
          <w:p>
            <w:r>
              <w:rPr>
                <w:rFonts w:ascii="Calibri" w:hAnsi="Calibri"/>
                <w:color w:val="000000"/>
                <w:sz w:val="24"/>
              </w:rPr>
              <w:t>0.00761</w:t>
            </w:r>
          </w:p>
        </w:tc>
        <w:tc>
          <w:tcPr>
            <w:tcW w:type="dxa" w:w="1728"/>
          </w:tcPr>
          <w:p>
            <w:r>
              <w:rPr>
                <w:rFonts w:ascii="Calibri" w:hAnsi="Calibri"/>
                <w:color w:val="000000"/>
                <w:sz w:val="24"/>
              </w:rPr>
              <w:t>0.00900</w:t>
            </w:r>
          </w:p>
        </w:tc>
        <w:tc>
          <w:tcPr>
            <w:tcW w:type="dxa" w:w="1728"/>
          </w:tcPr>
          <w:p>
            <w:r>
              <w:rPr>
                <w:rFonts w:ascii="Calibri" w:hAnsi="Calibri"/>
                <w:color w:val="000000"/>
                <w:sz w:val="24"/>
              </w:rPr>
              <w:t>0.00814</w:t>
            </w:r>
          </w:p>
        </w:tc>
        <w:tc>
          <w:tcPr>
            <w:tcW w:type="dxa" w:w="1728"/>
          </w:tcPr>
          <w:p>
            <w:r>
              <w:rPr>
                <w:rFonts w:ascii="Calibri" w:hAnsi="Calibri"/>
                <w:color w:val="000000"/>
                <w:sz w:val="24"/>
              </w:rPr>
              <w:t>0.00838</w:t>
            </w:r>
          </w:p>
        </w:tc>
      </w:tr>
      <w:tr>
        <w:tc>
          <w:tcPr>
            <w:tcW w:type="dxa" w:w="1728"/>
          </w:tcPr>
          <w:p>
            <w:r>
              <w:rPr>
                <w:rFonts w:ascii="Calibri" w:hAnsi="Calibri"/>
                <w:color w:val="000000"/>
                <w:sz w:val="24"/>
              </w:rPr>
              <w:t>2024Q4</w:t>
            </w:r>
          </w:p>
        </w:tc>
        <w:tc>
          <w:tcPr>
            <w:tcW w:type="dxa" w:w="1728"/>
          </w:tcPr>
          <w:p>
            <w:r>
              <w:rPr>
                <w:rFonts w:ascii="Calibri" w:hAnsi="Calibri"/>
                <w:color w:val="000000"/>
                <w:sz w:val="24"/>
              </w:rPr>
              <w:t>0.00636</w:t>
            </w:r>
          </w:p>
        </w:tc>
        <w:tc>
          <w:tcPr>
            <w:tcW w:type="dxa" w:w="1728"/>
          </w:tcPr>
          <w:p>
            <w:r>
              <w:rPr>
                <w:rFonts w:ascii="Calibri" w:hAnsi="Calibri"/>
                <w:color w:val="000000"/>
                <w:sz w:val="24"/>
              </w:rPr>
              <w:t>0.00897</w:t>
            </w:r>
          </w:p>
        </w:tc>
        <w:tc>
          <w:tcPr>
            <w:tcW w:type="dxa" w:w="1728"/>
          </w:tcPr>
          <w:p>
            <w:r>
              <w:rPr>
                <w:rFonts w:ascii="Calibri" w:hAnsi="Calibri"/>
                <w:color w:val="000000"/>
                <w:sz w:val="24"/>
              </w:rPr>
              <w:t>0.00823</w:t>
            </w:r>
          </w:p>
        </w:tc>
        <w:tc>
          <w:tcPr>
            <w:tcW w:type="dxa" w:w="1728"/>
          </w:tcPr>
          <w:p>
            <w:r>
              <w:rPr>
                <w:rFonts w:ascii="Calibri" w:hAnsi="Calibri"/>
                <w:color w:val="000000"/>
                <w:sz w:val="24"/>
              </w:rPr>
              <w:t>0.00839</w:t>
            </w:r>
          </w:p>
        </w:tc>
      </w:tr>
      <w:tr>
        <w:tc>
          <w:tcPr>
            <w:tcW w:type="dxa" w:w="1728"/>
          </w:tcPr>
          <w:p>
            <w:r>
              <w:rPr>
                <w:rFonts w:ascii="Calibri" w:hAnsi="Calibri"/>
                <w:color w:val="000000"/>
                <w:sz w:val="24"/>
              </w:rPr>
              <w:t>2025Q1</w:t>
            </w:r>
          </w:p>
        </w:tc>
        <w:tc>
          <w:tcPr>
            <w:tcW w:type="dxa" w:w="1728"/>
          </w:tcPr>
          <w:p>
            <w:r>
              <w:rPr>
                <w:rFonts w:ascii="Calibri" w:hAnsi="Calibri"/>
                <w:color w:val="000000"/>
                <w:sz w:val="24"/>
              </w:rPr>
              <w:t>0.00711</w:t>
            </w:r>
          </w:p>
        </w:tc>
        <w:tc>
          <w:tcPr>
            <w:tcW w:type="dxa" w:w="1728"/>
          </w:tcPr>
          <w:p>
            <w:r>
              <w:rPr>
                <w:rFonts w:ascii="Calibri" w:hAnsi="Calibri"/>
                <w:color w:val="000000"/>
                <w:sz w:val="24"/>
              </w:rPr>
              <w:t>0.00898</w:t>
            </w:r>
          </w:p>
        </w:tc>
        <w:tc>
          <w:tcPr>
            <w:tcW w:type="dxa" w:w="1728"/>
          </w:tcPr>
          <w:p>
            <w:r>
              <w:rPr>
                <w:rFonts w:ascii="Calibri" w:hAnsi="Calibri"/>
                <w:color w:val="000000"/>
                <w:sz w:val="24"/>
              </w:rPr>
              <w:t>0.00830</w:t>
            </w:r>
          </w:p>
        </w:tc>
        <w:tc>
          <w:tcPr>
            <w:tcW w:type="dxa" w:w="1728"/>
          </w:tcPr>
          <w:p>
            <w:r>
              <w:rPr>
                <w:rFonts w:ascii="Calibri" w:hAnsi="Calibri"/>
                <w:color w:val="000000"/>
                <w:sz w:val="24"/>
              </w:rPr>
              <w:t>0.00843</w:t>
            </w:r>
          </w:p>
        </w:tc>
      </w:tr>
      <w:tr>
        <w:tc>
          <w:tcPr>
            <w:tcW w:type="dxa" w:w="1728"/>
          </w:tcPr>
          <w:p>
            <w:r>
              <w:rPr>
                <w:rFonts w:ascii="Calibri" w:hAnsi="Calibri"/>
                <w:color w:val="000000"/>
                <w:sz w:val="24"/>
              </w:rPr>
              <w:t>2025Q2</w:t>
            </w:r>
          </w:p>
        </w:tc>
        <w:tc>
          <w:tcPr>
            <w:tcW w:type="dxa" w:w="1728"/>
          </w:tcPr>
          <w:p>
            <w:r>
              <w:rPr>
                <w:rFonts w:ascii="Calibri" w:hAnsi="Calibri"/>
                <w:color w:val="000000"/>
                <w:sz w:val="24"/>
              </w:rPr>
              <w:t>0.00634</w:t>
            </w:r>
          </w:p>
        </w:tc>
        <w:tc>
          <w:tcPr>
            <w:tcW w:type="dxa" w:w="1728"/>
          </w:tcPr>
          <w:p>
            <w:r>
              <w:rPr>
                <w:rFonts w:ascii="Calibri" w:hAnsi="Calibri"/>
                <w:color w:val="000000"/>
                <w:sz w:val="24"/>
              </w:rPr>
              <w:t>0.00897</w:t>
            </w:r>
          </w:p>
        </w:tc>
        <w:tc>
          <w:tcPr>
            <w:tcW w:type="dxa" w:w="1728"/>
          </w:tcPr>
          <w:p>
            <w:r>
              <w:rPr>
                <w:rFonts w:ascii="Calibri" w:hAnsi="Calibri"/>
                <w:color w:val="000000"/>
                <w:sz w:val="24"/>
              </w:rPr>
              <w:t>0.00837</w:t>
            </w:r>
          </w:p>
        </w:tc>
        <w:tc>
          <w:tcPr>
            <w:tcW w:type="dxa" w:w="1728"/>
          </w:tcPr>
          <w:p>
            <w:r>
              <w:rPr>
                <w:rFonts w:ascii="Calibri" w:hAnsi="Calibri"/>
                <w:color w:val="000000"/>
                <w:sz w:val="24"/>
              </w:rPr>
              <w:t>0.00847</w:t>
            </w:r>
          </w:p>
        </w:tc>
      </w:tr>
      <w:tr>
        <w:tc>
          <w:tcPr>
            <w:tcW w:type="dxa" w:w="1728"/>
          </w:tcPr>
          <w:p>
            <w:r>
              <w:rPr>
                <w:rFonts w:ascii="Calibri" w:hAnsi="Calibri"/>
                <w:color w:val="000000"/>
                <w:sz w:val="24"/>
              </w:rPr>
              <w:t>2025Q3</w:t>
            </w:r>
          </w:p>
        </w:tc>
        <w:tc>
          <w:tcPr>
            <w:tcW w:type="dxa" w:w="1728"/>
          </w:tcPr>
          <w:p>
            <w:r>
              <w:rPr>
                <w:rFonts w:ascii="Calibri" w:hAnsi="Calibri"/>
                <w:color w:val="000000"/>
                <w:sz w:val="24"/>
              </w:rPr>
              <w:t>0.00643</w:t>
            </w:r>
          </w:p>
        </w:tc>
        <w:tc>
          <w:tcPr>
            <w:tcW w:type="dxa" w:w="1728"/>
          </w:tcPr>
          <w:p>
            <w:r>
              <w:rPr>
                <w:rFonts w:ascii="Calibri" w:hAnsi="Calibri"/>
                <w:color w:val="000000"/>
                <w:sz w:val="24"/>
              </w:rPr>
              <w:t>0.00896</w:t>
            </w:r>
          </w:p>
        </w:tc>
        <w:tc>
          <w:tcPr>
            <w:tcW w:type="dxa" w:w="1728"/>
          </w:tcPr>
          <w:p>
            <w:r>
              <w:rPr>
                <w:rFonts w:ascii="Calibri" w:hAnsi="Calibri"/>
                <w:color w:val="000000"/>
                <w:sz w:val="24"/>
              </w:rPr>
              <w:t>0.00843</w:t>
            </w:r>
          </w:p>
        </w:tc>
        <w:tc>
          <w:tcPr>
            <w:tcW w:type="dxa" w:w="1728"/>
          </w:tcPr>
          <w:p>
            <w:r>
              <w:rPr>
                <w:rFonts w:ascii="Calibri" w:hAnsi="Calibri"/>
                <w:color w:val="000000"/>
                <w:sz w:val="24"/>
              </w:rPr>
              <w:t>0.00852</w:t>
            </w:r>
          </w:p>
        </w:tc>
      </w:tr>
    </w:tbl>
    <w:p/>
    <w:p>
      <w:r>
        <w:rPr>
          <w:rFonts w:ascii="Calibri" w:hAnsi="Calibri"/>
          <w:b/>
          <w:color w:val="000000"/>
          <w:sz w:val="24"/>
        </w:rP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Model</w:t>
            </w:r>
          </w:p>
        </w:tc>
        <w:tc>
          <w:tcPr>
            <w:tcW w:type="dxa" w:w="2160"/>
          </w:tcPr>
          <w:p>
            <w:r>
              <w:rPr>
                <w:rFonts w:ascii="Calibri" w:hAnsi="Calibri"/>
                <w:b/>
                <w:color w:val="000000"/>
                <w:sz w:val="24"/>
              </w:rPr>
              <w:t>MSFE</w:t>
            </w:r>
          </w:p>
        </w:tc>
        <w:tc>
          <w:tcPr>
            <w:tcW w:type="dxa" w:w="2160"/>
          </w:tcPr>
          <w:p>
            <w:r>
              <w:rPr>
                <w:rFonts w:ascii="Calibri" w:hAnsi="Calibri"/>
                <w:b/>
                <w:color w:val="000000"/>
                <w:sz w:val="24"/>
              </w:rPr>
              <w:t>RMSFE</w:t>
            </w:r>
          </w:p>
        </w:tc>
        <w:tc>
          <w:tcPr>
            <w:tcW w:type="dxa" w:w="2160"/>
          </w:tcPr>
          <w:p>
            <w:r>
              <w:rPr>
                <w:rFonts w:ascii="Calibri" w:hAnsi="Calibri"/>
                <w:b/>
                <w:color w:val="000000"/>
                <w:sz w:val="24"/>
              </w:rPr>
              <w:t>MAE</w:t>
            </w:r>
          </w:p>
        </w:tc>
      </w:tr>
      <w:tr>
        <w:tc>
          <w:tcPr>
            <w:tcW w:type="dxa" w:w="2160"/>
          </w:tcPr>
          <w:p>
            <w:r>
              <w:rPr>
                <w:rFonts w:ascii="Calibri" w:hAnsi="Calibri"/>
                <w:color w:val="000000"/>
                <w:sz w:val="24"/>
              </w:rPr>
              <w:t>ARMA(2,1)</w:t>
            </w:r>
          </w:p>
        </w:tc>
        <w:tc>
          <w:tcPr>
            <w:tcW w:type="dxa" w:w="2160"/>
          </w:tcPr>
          <w:p>
            <w:r>
              <w:rPr>
                <w:rFonts w:ascii="Calibri" w:hAnsi="Calibri"/>
                <w:color w:val="000000"/>
                <w:sz w:val="24"/>
              </w:rPr>
              <w:t>3.89×10⁻⁶</w:t>
            </w:r>
          </w:p>
        </w:tc>
        <w:tc>
          <w:tcPr>
            <w:tcW w:type="dxa" w:w="2160"/>
          </w:tcPr>
          <w:p>
            <w:r>
              <w:rPr>
                <w:rFonts w:ascii="Calibri" w:hAnsi="Calibri"/>
                <w:color w:val="000000"/>
                <w:sz w:val="24"/>
              </w:rPr>
              <w:t>0.001973</w:t>
            </w:r>
          </w:p>
        </w:tc>
        <w:tc>
          <w:tcPr>
            <w:tcW w:type="dxa" w:w="2160"/>
          </w:tcPr>
          <w:p>
            <w:r>
              <w:rPr>
                <w:rFonts w:ascii="Calibri" w:hAnsi="Calibri"/>
                <w:color w:val="000000"/>
                <w:sz w:val="24"/>
              </w:rPr>
              <w:t>0.001829</w:t>
            </w:r>
          </w:p>
        </w:tc>
      </w:tr>
      <w:tr>
        <w:tc>
          <w:tcPr>
            <w:tcW w:type="dxa" w:w="2160"/>
          </w:tcPr>
          <w:p>
            <w:r>
              <w:rPr>
                <w:rFonts w:ascii="Calibri" w:hAnsi="Calibri"/>
                <w:color w:val="000000"/>
                <w:sz w:val="24"/>
              </w:rPr>
              <w:t>ARMA(1,2)</w:t>
            </w:r>
          </w:p>
        </w:tc>
        <w:tc>
          <w:tcPr>
            <w:tcW w:type="dxa" w:w="2160"/>
          </w:tcPr>
          <w:p>
            <w:r>
              <w:rPr>
                <w:rFonts w:ascii="Calibri" w:hAnsi="Calibri"/>
                <w:color w:val="000000"/>
                <w:sz w:val="24"/>
              </w:rPr>
              <w:t>1.92×10⁻⁶</w:t>
            </w:r>
          </w:p>
        </w:tc>
        <w:tc>
          <w:tcPr>
            <w:tcW w:type="dxa" w:w="2160"/>
          </w:tcPr>
          <w:p>
            <w:r>
              <w:rPr>
                <w:rFonts w:ascii="Calibri" w:hAnsi="Calibri"/>
                <w:color w:val="000000"/>
                <w:sz w:val="24"/>
              </w:rPr>
              <w:t>0.001384</w:t>
            </w:r>
          </w:p>
        </w:tc>
        <w:tc>
          <w:tcPr>
            <w:tcW w:type="dxa" w:w="2160"/>
          </w:tcPr>
          <w:p>
            <w:r>
              <w:rPr>
                <w:rFonts w:ascii="Calibri" w:hAnsi="Calibri"/>
                <w:color w:val="000000"/>
                <w:sz w:val="24"/>
              </w:rPr>
              <w:t>0.001129</w:t>
            </w:r>
          </w:p>
        </w:tc>
      </w:tr>
      <w:tr>
        <w:tc>
          <w:tcPr>
            <w:tcW w:type="dxa" w:w="2160"/>
          </w:tcPr>
          <w:p>
            <w:r>
              <w:rPr>
                <w:rFonts w:ascii="Calibri" w:hAnsi="Calibri"/>
                <w:color w:val="000000"/>
                <w:sz w:val="24"/>
              </w:rPr>
              <w:t>ARMA(3,0)</w:t>
            </w:r>
          </w:p>
        </w:tc>
        <w:tc>
          <w:tcPr>
            <w:tcW w:type="dxa" w:w="2160"/>
          </w:tcPr>
          <w:p>
            <w:r>
              <w:rPr>
                <w:rFonts w:ascii="Calibri" w:hAnsi="Calibri"/>
                <w:color w:val="000000"/>
                <w:sz w:val="24"/>
              </w:rPr>
              <w:t>2.24×10⁻⁶</w:t>
            </w:r>
          </w:p>
        </w:tc>
        <w:tc>
          <w:tcPr>
            <w:tcW w:type="dxa" w:w="2160"/>
          </w:tcPr>
          <w:p>
            <w:r>
              <w:rPr>
                <w:rFonts w:ascii="Calibri" w:hAnsi="Calibri"/>
                <w:color w:val="000000"/>
                <w:sz w:val="24"/>
              </w:rPr>
              <w:t>0.001496</w:t>
            </w:r>
          </w:p>
        </w:tc>
        <w:tc>
          <w:tcPr>
            <w:tcW w:type="dxa" w:w="2160"/>
          </w:tcPr>
          <w:p>
            <w:r>
              <w:rPr>
                <w:rFonts w:ascii="Calibri" w:hAnsi="Calibri"/>
                <w:color w:val="000000"/>
                <w:sz w:val="24"/>
              </w:rPr>
              <w:t>0.001284</w:t>
            </w:r>
          </w:p>
        </w:tc>
      </w:tr>
    </w:tbl>
    <w:p/>
    <w:p>
      <w:r>
        <w:rPr>
          <w:rFonts w:ascii="Calibri" w:hAnsi="Calibri"/>
          <w:color w:val="000000"/>
          <w:sz w:val="24"/>
        </w:rPr>
        <w:t>ARMA(1,2) performs best on both MSFE and MAE, roughly halving the error of ARMA(2,1). All seven actual observations fall within the 95% confidence interval of Model 1, so the uncertainty coverage is appropriate even though the point forecasts are biased.</w:t>
      </w:r>
    </w:p>
    <w:p>
      <w:r>
        <w:rPr>
          <w:rFonts w:ascii="Calibri" w:hAnsi="Calibri"/>
          <w:color w:val="000000"/>
          <w:sz w:val="24"/>
        </w:rPr>
        <w:t>All three models systematically overpredict inflation throughout the evaluation window — they forecast around 0.009 while actual inflation was trending down from 0.008 toward 0.006. This reflects a standard limitation of ARIMA models: they project the historical average forward, but actual US inflation decelerated sharply through 2024 as Federal Reserve rate hikes worked through the economy and supply chains normalised. The models estimated during 2023 were influenced by the unusually high inflation of 2021–2022, pulling the forecasted mean upward. ARMA(1,2) handles this slightly better because its larger MA structure responds more flexibly to the reverting dynamics, but none of the models can fully account for the structural nature of the disinflation.</w:t>
      </w:r>
    </w:p>
    <w:p>
      <w:r>
        <w:br w:type="page"/>
      </w:r>
    </w:p>
    <w:p>
      <w:pPr>
        <w:pStyle w:val="Heading2"/>
      </w:pPr>
      <w:r>
        <w:t>Question 4</w:t>
      </w:r>
    </w:p>
    <w:p>
      <w:pPr>
        <w:pStyle w:val="Heading3"/>
      </w:pPr>
      <w:r>
        <w:t>4(a) — Real Interest Rate</w:t>
      </w:r>
    </w:p>
    <w:p>
      <w:r>
        <w:rPr>
          <w:rFonts w:ascii="Calibri" w:hAnsi="Calibri"/>
          <w:b/>
          <w:color w:val="000000"/>
          <w:sz w:val="24"/>
        </w:rPr>
        <w:t>[INSERT fig4a_realrate.png]</w:t>
      </w:r>
    </w:p>
    <w:p>
      <w:r>
        <w:rPr>
          <w:rFonts w:ascii="Calibri" w:hAnsi="Calibri"/>
          <w:color w:val="000000"/>
          <w:sz w:val="24"/>
        </w:rPr>
        <w:t>The real interest rate rr_t = r_t − Δp_t ranges from 0.007 to 15.03 with a mean of 4.34 across the sample. Since r_t is expressed in annualised percentage terms and Δp_t is a quarterly log-difference, rr_t closely tracks the nominal rate, with the Δp_t term providing a small quarterly adjustment. The plot shows the same broad patterns as r_t: high and rising through the early 1980s at the peak of the Volcker tightening, declining through the 1990s and 2000s, falling to near zero during the quantitative easing period after 2008, and rising sharply from 2022 onward. The real rate shows less of an outright downward trend than the nominal rate over the full sample, consistent with a weak Fisher effect — the nominal rate and inflation broadly moved together, leaving the real rate oscillating but without a clear long-run trend.</w:t>
      </w:r>
    </w:p>
    <w:p>
      <w:r>
        <w:rPr>
          <w:rFonts w:ascii="Calibri" w:hAnsi="Calibri"/>
          <w:b/>
          <w:color w:val="000000"/>
          <w:sz w:val="24"/>
        </w:rPr>
        <w:t>ARIMA for rr_t:</w:t>
      </w:r>
    </w:p>
    <w:p>
      <w:r>
        <w:rPr>
          <w:rFonts w:ascii="Calibri" w:hAnsi="Calibri"/>
          <w:color w:val="000000"/>
          <w:sz w:val="24"/>
        </w:rPr>
        <w:t>The ADF test (</w:t>
      </w:r>
      <m:oMath>
        <m:r>
          <m:t>H</m:t>
        </m:r>
        <m:r>
          <m:t>₀</m:t>
        </m:r>
      </m:oMath>
      <w:r>
        <w:rPr>
          <w:rFonts w:ascii="Calibri" w:hAnsi="Calibri"/>
          <w:color w:val="000000"/>
          <w:sz w:val="24"/>
        </w:rPr>
        <w:t>: unit root) is used to determine the integration order. The full aTSA table (Types I–III, lags 0–4) shows that the closest result to rejection is Type II (with drift, no trend) at lag 3: ADF = −2.57, p = 0.105 — right at the 10% boundary. While this is borderline, it does not cleanly reject the unit root at conventional significance levels.</w:t>
      </w:r>
    </w:p>
    <w:p>
      <w:r>
        <w:rPr>
          <w:rFonts w:ascii="Calibri" w:hAnsi="Calibri"/>
          <w:color w:val="000000"/>
          <w:sz w:val="24"/>
        </w:rPr>
        <w:t>However, setting d = 0 is supported on economic grounds: real interest rates are widely regarded as I(0) in the macroeconomics literature (Fisher hypothesis, monetary policy mean-reversion). The plot confirms that rr_t oscillates around a positive long-run mean of approximately 4.26% without any apparent drift, consistent with stationarity. The near-rejection in the ADF is likely a consequence of the high persistence in rr_t — a well-known source of low power in unit root tests — rather than genuine non-stationarity.</w:t>
      </w:r>
    </w:p>
    <w:p>
      <w:r>
        <w:rPr>
          <w:rFonts w:ascii="Calibri" w:hAnsi="Calibri"/>
          <w:color w:val="000000"/>
          <w:sz w:val="24"/>
        </w:rPr>
        <w:t>We therefore set d = 0. A wide ARIMA(p, 0, q) grid search (p, q = 0,...,10) is conducted and ARIMA(8, 0, 1) is selected by AIC — AIC = 477.10, BIC = 516.22:</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Parameter</w:t>
            </w:r>
          </w:p>
        </w:tc>
        <w:tc>
          <w:tcPr>
            <w:tcW w:type="dxa" w:w="2880"/>
          </w:tcPr>
          <w:p>
            <w:r>
              <w:rPr>
                <w:rFonts w:ascii="Calibri" w:hAnsi="Calibri"/>
                <w:b/>
                <w:color w:val="000000"/>
                <w:sz w:val="24"/>
              </w:rPr>
              <w:t>Estimate</w:t>
            </w:r>
          </w:p>
        </w:tc>
        <w:tc>
          <w:tcPr>
            <w:tcW w:type="dxa" w:w="2880"/>
          </w:tcPr>
          <w:p>
            <w:r>
              <w:rPr>
                <w:rFonts w:ascii="Calibri" w:hAnsi="Calibri"/>
                <w:b/>
                <w:color w:val="000000"/>
                <w:sz w:val="24"/>
              </w:rPr>
              <w:t>SE</w:t>
            </w:r>
          </w:p>
        </w:tc>
      </w:tr>
      <w:tr>
        <w:tc>
          <w:tcPr>
            <w:tcW w:type="dxa" w:w="2880"/>
          </w:tcPr>
          <w:p>
            <w:r>
              <w:rPr>
                <w:rFonts w:ascii="Calibri" w:hAnsi="Calibri"/>
                <w:color w:val="000000"/>
                <w:sz w:val="24"/>
              </w:rPr>
              <w:t>a</w:t>
            </w:r>
            <m:oMath>
              <m:r>
                <m:t>r</m:t>
              </m:r>
              <m:r>
                <m:t>₁</m:t>
              </m:r>
            </m:oMath>
          </w:p>
        </w:tc>
        <w:tc>
          <w:tcPr>
            <w:tcW w:type="dxa" w:w="2880"/>
          </w:tcPr>
          <w:p>
            <w:r>
              <w:rPr>
                <w:rFonts w:ascii="Calibri" w:hAnsi="Calibri"/>
                <w:color w:val="000000"/>
                <w:sz w:val="24"/>
              </w:rPr>
              <w:t>0.605</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₂</m:t>
              </m:r>
            </m:oMath>
          </w:p>
        </w:tc>
        <w:tc>
          <w:tcPr>
            <w:tcW w:type="dxa" w:w="2880"/>
          </w:tcPr>
          <w:p>
            <w:r>
              <w:rPr>
                <w:rFonts w:ascii="Calibri" w:hAnsi="Calibri"/>
                <w:color w:val="000000"/>
                <w:sz w:val="24"/>
              </w:rPr>
              <w:t>0.341</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₃</m:t>
              </m:r>
            </m:oMath>
          </w:p>
        </w:tc>
        <w:tc>
          <w:tcPr>
            <w:tcW w:type="dxa" w:w="2880"/>
          </w:tcPr>
          <w:p>
            <w:r>
              <w:rPr>
                <w:rFonts w:ascii="Calibri" w:hAnsi="Calibri"/>
                <w:color w:val="000000"/>
                <w:sz w:val="24"/>
              </w:rPr>
              <w:t>0.101</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₄</m:t>
              </m:r>
            </m:oMath>
          </w:p>
        </w:tc>
        <w:tc>
          <w:tcPr>
            <w:tcW w:type="dxa" w:w="2880"/>
          </w:tcPr>
          <w:p>
            <w:r>
              <w:rPr>
                <w:rFonts w:ascii="Calibri" w:hAnsi="Calibri"/>
                <w:color w:val="000000"/>
                <w:sz w:val="24"/>
              </w:rPr>
              <w:t>0.097</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₅</m:t>
              </m:r>
            </m:oMath>
          </w:p>
        </w:tc>
        <w:tc>
          <w:tcPr>
            <w:tcW w:type="dxa" w:w="2880"/>
          </w:tcPr>
          <w:p>
            <w:r>
              <w:rPr>
                <w:rFonts w:ascii="Calibri" w:hAnsi="Calibri"/>
                <w:color w:val="000000"/>
                <w:sz w:val="24"/>
              </w:rPr>
              <w:t>−0.171</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₆</m:t>
              </m:r>
            </m:oMath>
          </w:p>
        </w:tc>
        <w:tc>
          <w:tcPr>
            <w:tcW w:type="dxa" w:w="2880"/>
          </w:tcPr>
          <w:p>
            <w:r>
              <w:rPr>
                <w:rFonts w:ascii="Calibri" w:hAnsi="Calibri"/>
                <w:color w:val="000000"/>
                <w:sz w:val="24"/>
              </w:rPr>
              <w:t>0.103</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₇</m:t>
              </m:r>
            </m:oMath>
          </w:p>
        </w:tc>
        <w:tc>
          <w:tcPr>
            <w:tcW w:type="dxa" w:w="2880"/>
          </w:tcPr>
          <w:p>
            <w:r>
              <w:rPr>
                <w:rFonts w:ascii="Calibri" w:hAnsi="Calibri"/>
                <w:color w:val="000000"/>
                <w:sz w:val="24"/>
              </w:rPr>
              <w:t>−0.405</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₈</m:t>
              </m:r>
            </m:oMath>
          </w:p>
        </w:tc>
        <w:tc>
          <w:tcPr>
            <w:tcW w:type="dxa" w:w="2880"/>
          </w:tcPr>
          <w:p>
            <w:r>
              <w:rPr>
                <w:rFonts w:ascii="Calibri" w:hAnsi="Calibri"/>
                <w:color w:val="000000"/>
                <w:sz w:val="24"/>
              </w:rPr>
              <w:t>0.274</w:t>
            </w:r>
          </w:p>
        </w:tc>
        <w:tc>
          <w:tcPr>
            <w:tcW w:type="dxa" w:w="2880"/>
          </w:tcPr>
          <w:p>
            <w:r>
              <w:rPr>
                <w:rFonts w:ascii="Calibri" w:hAnsi="Calibri"/>
                <w:color w:val="000000"/>
                <w:sz w:val="24"/>
              </w:rPr>
              <w:t>—</w:t>
            </w:r>
          </w:p>
        </w:tc>
      </w:tr>
      <w:tr>
        <w:tc>
          <w:tcPr>
            <w:tcW w:type="dxa" w:w="2880"/>
          </w:tcPr>
          <w:p>
            <w:r>
              <w:rPr>
                <w:rFonts w:ascii="Calibri" w:hAnsi="Calibri"/>
                <w:color w:val="000000"/>
                <w:sz w:val="24"/>
              </w:rPr>
              <w:t>m</w:t>
            </w:r>
            <m:oMath>
              <m:r>
                <m:t>a</m:t>
              </m:r>
              <m:r>
                <m:t>₁</m:t>
              </m:r>
            </m:oMath>
          </w:p>
        </w:tc>
        <w:tc>
          <w:tcPr>
            <w:tcW w:type="dxa" w:w="2880"/>
          </w:tcPr>
          <w:p>
            <w:r>
              <w:rPr>
                <w:rFonts w:ascii="Calibri" w:hAnsi="Calibri"/>
                <w:color w:val="000000"/>
                <w:sz w:val="24"/>
              </w:rPr>
              <w:t>0.869</w:t>
            </w:r>
          </w:p>
        </w:tc>
        <w:tc>
          <w:tcPr>
            <w:tcW w:type="dxa" w:w="2880"/>
          </w:tcPr>
          <w:p>
            <w:r>
              <w:rPr>
                <w:rFonts w:ascii="Calibri" w:hAnsi="Calibri"/>
                <w:color w:val="000000"/>
                <w:sz w:val="24"/>
              </w:rPr>
              <w:t>—</w:t>
            </w:r>
          </w:p>
        </w:tc>
      </w:tr>
      <w:tr>
        <w:tc>
          <w:tcPr>
            <w:tcW w:type="dxa" w:w="2880"/>
          </w:tcPr>
          <w:p>
            <w:r>
              <w:rPr>
                <w:rFonts w:ascii="Calibri" w:hAnsi="Calibri"/>
                <w:color w:val="000000"/>
                <w:sz w:val="24"/>
              </w:rPr>
              <w:t>intercept</w:t>
            </w:r>
          </w:p>
        </w:tc>
        <w:tc>
          <w:tcPr>
            <w:tcW w:type="dxa" w:w="2880"/>
          </w:tcPr>
          <w:p>
            <w:r>
              <w:rPr>
                <w:rFonts w:ascii="Calibri" w:hAnsi="Calibri"/>
                <w:color w:val="000000"/>
                <w:sz w:val="24"/>
              </w:rPr>
              <w:t>4.231</w:t>
            </w:r>
          </w:p>
        </w:tc>
        <w:tc>
          <w:tcPr>
            <w:tcW w:type="dxa" w:w="2880"/>
          </w:tcPr>
          <w:p>
            <w:r>
              <w:rPr>
                <w:rFonts w:ascii="Calibri" w:hAnsi="Calibri"/>
                <w:color w:val="000000"/>
                <w:sz w:val="24"/>
              </w:rPr>
              <w:t>—</w:t>
            </w:r>
          </w:p>
        </w:tc>
      </w:tr>
    </w:tbl>
    <w:p/>
    <w:p>
      <w:r>
        <w:rPr>
          <w:rFonts w:ascii="Calibri" w:hAnsi="Calibri"/>
          <w:color w:val="000000"/>
          <w:sz w:val="24"/>
        </w:rPr>
        <w:t>The eight AR lags capture the high persistence and slow reversion characteristic of real interest rates. The MA(1) term handles the short-run shock dynamics. The intercept (4.23) directly estimates the long-run mean of the real interest rate.</w:t>
      </w:r>
    </w:p>
    <w:p>
      <w:pPr>
        <w:pStyle w:val="Heading3"/>
      </w:pPr>
      <w:r>
        <w:t>4(b) — Consumption Ratio</w:t>
      </w:r>
    </w:p>
    <w:p>
      <w:r>
        <w:rPr>
          <w:rFonts w:ascii="Calibri" w:hAnsi="Calibri"/>
          <w:b/>
          <w:color w:val="000000"/>
          <w:sz w:val="24"/>
        </w:rPr>
        <w:t>[INSERT fig4b_consratio.png]</w:t>
      </w:r>
    </w:p>
    <w:p>
      <w:r>
        <w:rPr>
          <w:rFonts w:ascii="Calibri" w:hAnsi="Calibri"/>
          <w:color w:val="000000"/>
          <w:sz w:val="24"/>
        </w:rPr>
        <w:t>The consumption ratio cy_t = C_t/Y_t rises from around 0.59 in 1959 to approximately 0.69 by 2023, with a sample mean of 0.642. The dominant feature is a persistent upward trend — consumption has grown as a larger share of GDP over the six-decade sample. This pattern is consistent with the decline in the US personal saving rate over the same period, driven by easier access to credit and financial innovation, wealth effects from rising equity and housing prices, and demographic shifts as baby boomers moved into peak consumption phases of the lifecycle. Permanent income theory also predicts that as credit markets deepen, households can smooth consumption more effectively, raising the long-run consumption-income ratio.</w:t>
      </w:r>
    </w:p>
    <w:p>
      <w:r>
        <w:rPr>
          <w:rFonts w:ascii="Calibri" w:hAnsi="Calibri"/>
          <w:b/>
          <w:color w:val="000000"/>
          <w:sz w:val="24"/>
        </w:rPr>
        <w:t>ARIMA for cy_t:</w:t>
      </w:r>
    </w:p>
    <w:p>
      <w:r>
        <w:rPr>
          <w:rFonts w:ascii="Calibri" w:hAnsi="Calibri"/>
          <w:color w:val="000000"/>
          <w:sz w:val="24"/>
        </w:rPr>
        <w:t>ADF (p = 0.030) provides borderline rejection of a unit root but KPSS (stat = 4.14) strongly rejects stationarity, pointing to a trending series. Best model by AIC is ARIMA(2,1,2) — AIC = −2129.79. Differencing removes the trend and the ARMA(2,2) structure captures short-run fluctuations.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Parameter</w:t>
            </w:r>
          </w:p>
        </w:tc>
        <w:tc>
          <w:tcPr>
            <w:tcW w:type="dxa" w:w="2880"/>
          </w:tcPr>
          <w:p>
            <w:r>
              <w:rPr>
                <w:rFonts w:ascii="Calibri" w:hAnsi="Calibri"/>
                <w:b/>
                <w:color w:val="000000"/>
                <w:sz w:val="24"/>
              </w:rPr>
              <w:t>Estimate</w:t>
            </w:r>
          </w:p>
        </w:tc>
        <w:tc>
          <w:tcPr>
            <w:tcW w:type="dxa" w:w="2880"/>
          </w:tcPr>
          <w:p>
            <w:r>
              <w:rPr>
                <w:rFonts w:ascii="Calibri" w:hAnsi="Calibri"/>
                <w:b/>
                <w:color w:val="000000"/>
                <w:sz w:val="24"/>
              </w:rPr>
              <w:t>SE</w:t>
            </w:r>
          </w:p>
        </w:tc>
      </w:tr>
      <w:tr>
        <w:tc>
          <w:tcPr>
            <w:tcW w:type="dxa" w:w="2880"/>
          </w:tcPr>
          <w:p>
            <w:r>
              <w:rPr>
                <w:rFonts w:ascii="Calibri" w:hAnsi="Calibri"/>
                <w:color w:val="000000"/>
                <w:sz w:val="24"/>
              </w:rPr>
              <w:t>a</w:t>
            </w:r>
            <m:oMath>
              <m:r>
                <m:t>r</m:t>
              </m:r>
              <m:r>
                <m:t>₁</m:t>
              </m:r>
            </m:oMath>
          </w:p>
        </w:tc>
        <w:tc>
          <w:tcPr>
            <w:tcW w:type="dxa" w:w="2880"/>
          </w:tcPr>
          <w:p>
            <w:r>
              <w:rPr>
                <w:rFonts w:ascii="Calibri" w:hAnsi="Calibri"/>
                <w:color w:val="000000"/>
                <w:sz w:val="24"/>
              </w:rPr>
              <w:t>−0.341</w:t>
            </w:r>
          </w:p>
        </w:tc>
        <w:tc>
          <w:tcPr>
            <w:tcW w:type="dxa" w:w="2880"/>
          </w:tcPr>
          <w:p>
            <w:r>
              <w:rPr>
                <w:rFonts w:ascii="Calibri" w:hAnsi="Calibri"/>
                <w:color w:val="000000"/>
                <w:sz w:val="24"/>
              </w:rPr>
              <w:t>0.136</w:t>
            </w:r>
          </w:p>
        </w:tc>
      </w:tr>
      <w:tr>
        <w:tc>
          <w:tcPr>
            <w:tcW w:type="dxa" w:w="2880"/>
          </w:tcPr>
          <w:p>
            <w:r>
              <w:rPr>
                <w:rFonts w:ascii="Calibri" w:hAnsi="Calibri"/>
                <w:color w:val="000000"/>
                <w:sz w:val="24"/>
              </w:rPr>
              <w:t>a</w:t>
            </w:r>
            <m:oMath>
              <m:r>
                <m:t>r</m:t>
              </m:r>
              <m:r>
                <m:t>₂</m:t>
              </m:r>
            </m:oMath>
          </w:p>
        </w:tc>
        <w:tc>
          <w:tcPr>
            <w:tcW w:type="dxa" w:w="2880"/>
          </w:tcPr>
          <w:p>
            <w:r>
              <w:rPr>
                <w:rFonts w:ascii="Calibri" w:hAnsi="Calibri"/>
                <w:color w:val="000000"/>
                <w:sz w:val="24"/>
              </w:rPr>
              <w:t>−0.848</w:t>
            </w:r>
          </w:p>
        </w:tc>
        <w:tc>
          <w:tcPr>
            <w:tcW w:type="dxa" w:w="2880"/>
          </w:tcPr>
          <w:p>
            <w:r>
              <w:rPr>
                <w:rFonts w:ascii="Calibri" w:hAnsi="Calibri"/>
                <w:color w:val="000000"/>
                <w:sz w:val="24"/>
              </w:rPr>
              <w:t>0.089</w:t>
            </w:r>
          </w:p>
        </w:tc>
      </w:tr>
      <w:tr>
        <w:tc>
          <w:tcPr>
            <w:tcW w:type="dxa" w:w="2880"/>
          </w:tcPr>
          <w:p>
            <w:r>
              <w:rPr>
                <w:rFonts w:ascii="Calibri" w:hAnsi="Calibri"/>
                <w:color w:val="000000"/>
                <w:sz w:val="24"/>
              </w:rPr>
              <w:t>m</w:t>
            </w:r>
            <m:oMath>
              <m:r>
                <m:t>a</m:t>
              </m:r>
              <m:r>
                <m:t>₁</m:t>
              </m:r>
            </m:oMath>
          </w:p>
        </w:tc>
        <w:tc>
          <w:tcPr>
            <w:tcW w:type="dxa" w:w="2880"/>
          </w:tcPr>
          <w:p>
            <w:r>
              <w:rPr>
                <w:rFonts w:ascii="Calibri" w:hAnsi="Calibri"/>
                <w:color w:val="000000"/>
                <w:sz w:val="24"/>
              </w:rPr>
              <w:t>0.208</w:t>
            </w:r>
          </w:p>
        </w:tc>
        <w:tc>
          <w:tcPr>
            <w:tcW w:type="dxa" w:w="2880"/>
          </w:tcPr>
          <w:p>
            <w:r>
              <w:rPr>
                <w:rFonts w:ascii="Calibri" w:hAnsi="Calibri"/>
                <w:color w:val="000000"/>
                <w:sz w:val="24"/>
              </w:rPr>
              <w:t>0.149</w:t>
            </w:r>
          </w:p>
        </w:tc>
      </w:tr>
      <w:tr>
        <w:tc>
          <w:tcPr>
            <w:tcW w:type="dxa" w:w="2880"/>
          </w:tcPr>
          <w:p>
            <w:r>
              <w:rPr>
                <w:rFonts w:ascii="Calibri" w:hAnsi="Calibri"/>
                <w:color w:val="000000"/>
                <w:sz w:val="24"/>
              </w:rPr>
              <w:t>m</w:t>
            </w:r>
            <m:oMath>
              <m:r>
                <m:t>a</m:t>
              </m:r>
              <m:r>
                <m:t>₂</m:t>
              </m:r>
            </m:oMath>
          </w:p>
        </w:tc>
        <w:tc>
          <w:tcPr>
            <w:tcW w:type="dxa" w:w="2880"/>
          </w:tcPr>
          <w:p>
            <w:r>
              <w:rPr>
                <w:rFonts w:ascii="Calibri" w:hAnsi="Calibri"/>
                <w:color w:val="000000"/>
                <w:sz w:val="24"/>
              </w:rPr>
              <w:t>0.841</w:t>
            </w:r>
          </w:p>
        </w:tc>
        <w:tc>
          <w:tcPr>
            <w:tcW w:type="dxa" w:w="2880"/>
          </w:tcPr>
          <w:p>
            <w:r>
              <w:rPr>
                <w:rFonts w:ascii="Calibri" w:hAnsi="Calibri"/>
                <w:color w:val="000000"/>
                <w:sz w:val="24"/>
              </w:rPr>
              <w:t>0.069</w:t>
            </w:r>
          </w:p>
        </w:tc>
      </w:tr>
    </w:tbl>
    <w:p/>
    <w:p>
      <w:pPr>
        <w:pStyle w:val="Heading3"/>
      </w:pPr>
      <w:r>
        <w:t>4(e) — Policy Implications</w:t>
      </w:r>
    </w:p>
    <w:p>
      <w:r>
        <w:rPr>
          <w:rFonts w:ascii="Calibri" w:hAnsi="Calibri"/>
          <w:color w:val="000000"/>
          <w:sz w:val="24"/>
        </w:rPr>
        <w:t>The rr_t model helps central banks assess whether the current stance of monetary policy is genuinely restrictive or accommodative in real terms. Rather than looking only at the nominal rate, policymakers can use the model to forecast real rates and judge whether they are above or below the neutral real rate — a key input to the Taylor rule.</w:t>
      </w:r>
    </w:p>
    <w:p>
      <w:r>
        <w:rPr>
          <w:rFonts w:ascii="Calibri" w:hAnsi="Calibri"/>
          <w:color w:val="000000"/>
          <w:sz w:val="24"/>
        </w:rPr>
        <w:t>The cy_t model is useful for fiscal policymakers and aggregate demand analysis. A rising consumption ratio signals households are spending a growing fraction of income, which affects the size of fiscal multipliers — tax cuts or transfers have larger demand effects when households have a high propensity to consume. Central banks also track cy_t as an indicator of household vulnerability: a very high consumption-to-income ratio may suggest excessive borrowing and rising financial fragility.</w:t>
      </w:r>
    </w:p>
    <w:p>
      <w:r>
        <w:br w:type="page"/>
      </w:r>
    </w:p>
    <w:p>
      <w:pPr>
        <w:pStyle w:val="Heading2"/>
      </w:pPr>
      <w:r>
        <w:t>Question 5</w:t>
      </w:r>
    </w:p>
    <w:p>
      <w:pPr>
        <w:pStyle w:val="Heading3"/>
      </w:pPr>
      <w:r>
        <w:t>5(a) — Sample Variances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m:oMath>
              <m:r>
                <m:t>σ</m:t>
              </m:r>
              <m:r>
                <m:t>²</m:t>
              </m:r>
            </m:oMath>
            <w:r>
              <w:rPr>
                <w:rFonts w:ascii="Calibri" w:hAnsi="Calibri"/>
                <w:b/>
                <w:color w:val="000000"/>
                <w:sz w:val="24"/>
              </w:rPr>
              <w:t>_sample</w:t>
            </w:r>
          </w:p>
        </w:tc>
        <w:tc>
          <w:tcPr>
            <w:tcW w:type="dxa" w:w="2880"/>
          </w:tcPr>
          <w:p>
            <w:r>
              <w:rPr>
                <w:rFonts w:ascii="Calibri" w:hAnsi="Calibri"/>
                <w:b/>
                <w:color w:val="000000"/>
                <w:sz w:val="24"/>
              </w:rPr>
              <w:t>SD (%)</w:t>
            </w:r>
          </w:p>
        </w:tc>
      </w:tr>
      <w:tr>
        <w:tc>
          <w:tcPr>
            <w:tcW w:type="dxa" w:w="2880"/>
          </w:tcPr>
          <w:p>
            <w:r>
              <w:rPr>
                <w:rFonts w:ascii="Calibri" w:hAnsi="Calibri"/>
                <w:color w:val="000000"/>
                <w:sz w:val="24"/>
              </w:rPr>
              <w:t>CNY</w:t>
            </w:r>
          </w:p>
        </w:tc>
        <w:tc>
          <w:tcPr>
            <w:tcW w:type="dxa" w:w="2880"/>
          </w:tcPr>
          <w:p>
            <w:r>
              <w:rPr>
                <w:rFonts w:ascii="Calibri" w:hAnsi="Calibri"/>
                <w:color w:val="000000"/>
                <w:sz w:val="24"/>
              </w:rPr>
              <w:t>0.3369</w:t>
            </w:r>
          </w:p>
        </w:tc>
        <w:tc>
          <w:tcPr>
            <w:tcW w:type="dxa" w:w="2880"/>
          </w:tcPr>
          <w:p>
            <w:r>
              <w:rPr>
                <w:rFonts w:ascii="Calibri" w:hAnsi="Calibri"/>
                <w:color w:val="000000"/>
                <w:sz w:val="24"/>
              </w:rPr>
              <w:t>0.580</w:t>
            </w:r>
          </w:p>
        </w:tc>
      </w:tr>
      <w:tr>
        <w:tc>
          <w:tcPr>
            <w:tcW w:type="dxa" w:w="2880"/>
          </w:tcPr>
          <w:p>
            <w:r>
              <w:rPr>
                <w:rFonts w:ascii="Calibri" w:hAnsi="Calibri"/>
                <w:color w:val="000000"/>
                <w:sz w:val="24"/>
              </w:rPr>
              <w:t>USD</w:t>
            </w:r>
          </w:p>
        </w:tc>
        <w:tc>
          <w:tcPr>
            <w:tcW w:type="dxa" w:w="2880"/>
          </w:tcPr>
          <w:p>
            <w:r>
              <w:rPr>
                <w:rFonts w:ascii="Calibri" w:hAnsi="Calibri"/>
                <w:color w:val="000000"/>
                <w:sz w:val="24"/>
              </w:rPr>
              <w:t>0.4381</w:t>
            </w:r>
          </w:p>
        </w:tc>
        <w:tc>
          <w:tcPr>
            <w:tcW w:type="dxa" w:w="2880"/>
          </w:tcPr>
          <w:p>
            <w:r>
              <w:rPr>
                <w:rFonts w:ascii="Calibri" w:hAnsi="Calibri"/>
                <w:color w:val="000000"/>
                <w:sz w:val="24"/>
              </w:rPr>
              <w:t>0.662</w:t>
            </w:r>
          </w:p>
        </w:tc>
      </w:tr>
      <w:tr>
        <w:tc>
          <w:tcPr>
            <w:tcW w:type="dxa" w:w="2880"/>
          </w:tcPr>
          <w:p>
            <w:r>
              <w:rPr>
                <w:rFonts w:ascii="Calibri" w:hAnsi="Calibri"/>
                <w:color w:val="000000"/>
                <w:sz w:val="24"/>
              </w:rPr>
              <w:t>TWI</w:t>
            </w:r>
          </w:p>
        </w:tc>
        <w:tc>
          <w:tcPr>
            <w:tcW w:type="dxa" w:w="2880"/>
          </w:tcPr>
          <w:p>
            <w:r>
              <w:rPr>
                <w:rFonts w:ascii="Calibri" w:hAnsi="Calibri"/>
                <w:color w:val="000000"/>
                <w:sz w:val="24"/>
              </w:rPr>
              <w:t>0.2675</w:t>
            </w:r>
          </w:p>
        </w:tc>
        <w:tc>
          <w:tcPr>
            <w:tcW w:type="dxa" w:w="2880"/>
          </w:tcPr>
          <w:p>
            <w:r>
              <w:rPr>
                <w:rFonts w:ascii="Calibri" w:hAnsi="Calibri"/>
                <w:color w:val="000000"/>
                <w:sz w:val="24"/>
              </w:rPr>
              <w:t>0.517</w:t>
            </w:r>
          </w:p>
        </w:tc>
      </w:tr>
      <w:tr>
        <w:tc>
          <w:tcPr>
            <w:tcW w:type="dxa" w:w="2880"/>
          </w:tcPr>
          <w:p>
            <w:r>
              <w:rPr>
                <w:rFonts w:ascii="Calibri" w:hAnsi="Calibri"/>
                <w:color w:val="000000"/>
                <w:sz w:val="24"/>
              </w:rPr>
              <w:t>SDR</w:t>
            </w:r>
          </w:p>
        </w:tc>
        <w:tc>
          <w:tcPr>
            <w:tcW w:type="dxa" w:w="2880"/>
          </w:tcPr>
          <w:p>
            <w:r>
              <w:rPr>
                <w:rFonts w:ascii="Calibri" w:hAnsi="Calibri"/>
                <w:color w:val="000000"/>
                <w:sz w:val="24"/>
              </w:rPr>
              <w:t>0.4492</w:t>
            </w:r>
          </w:p>
        </w:tc>
        <w:tc>
          <w:tcPr>
            <w:tcW w:type="dxa" w:w="2880"/>
          </w:tcPr>
          <w:p>
            <w:r>
              <w:rPr>
                <w:rFonts w:ascii="Calibri" w:hAnsi="Calibri"/>
                <w:color w:val="000000"/>
                <w:sz w:val="24"/>
              </w:rPr>
              <w:t>0.670</w:t>
            </w:r>
          </w:p>
        </w:tc>
      </w:tr>
    </w:tbl>
    <w:p/>
    <w:p>
      <w:r>
        <w:rPr>
          <w:rFonts w:ascii="Calibri" w:hAnsi="Calibri"/>
          <w:color w:val="000000"/>
          <w:sz w:val="24"/>
        </w:rPr>
        <w:t>TWI has the lowest variance, which makes sense given it is a trade-weighted average across multiple bilateral rates — diversification across trading partners smooths out bilateral movements. SDR has the highest, despite also being a basket, because it includes GBP and JPY which can move significantly against the AUD. CNY is less volatile than USD, reflecting the People's Bank of China's managed float where daily movements are constrained by intervention. USD/AUD is a freely floating bilateral rate exposed to commodity cycles and monetary policy divergence, which drives its higher variance.</w:t>
      </w:r>
    </w:p>
    <w:p>
      <w:pPr>
        <w:pStyle w:val="Heading3"/>
      </w:pPr>
      <w:r>
        <w:t>5(b) — Absolute Returns Plot</w:t>
      </w:r>
    </w:p>
    <w:p>
      <w:r>
        <w:rPr>
          <w:rFonts w:ascii="Calibri" w:hAnsi="Calibri"/>
          <w:b/>
          <w:color w:val="000000"/>
          <w:sz w:val="24"/>
        </w:rPr>
        <w:t>[INSERT fig5_absreturns.png]</w:t>
      </w:r>
    </w:p>
    <w:p>
      <w:r>
        <w:rPr>
          <w:rFonts w:ascii="Calibri" w:hAnsi="Calibri"/>
          <w:color w:val="000000"/>
          <w:sz w:val="24"/>
        </w:rPr>
        <w:t>All four series show clear volatility clustering — large absolute returns bunch together in time, and quiet periods also cluster. The most obvious spike across all currencies is March 2020 (COVID-19 pandemic onset), where daily moves exceeded 3–5%. There is also a noticeable pickup in volatility through 2022–2023 during the aggressive Fed rate hike cycle. These patterns directly motivate GARCH-type models: the constant-variance assumption of ARMA is clearly violated, and the conditional variance needs to be modelled explicitly.</w:t>
      </w:r>
    </w:p>
    <w:p>
      <w:r>
        <w:br w:type="page"/>
      </w:r>
    </w:p>
    <w:p>
      <w:pPr>
        <w:pStyle w:val="Heading2"/>
      </w:pPr>
      <w:r>
        <w:t>Question 6</w:t>
      </w:r>
    </w:p>
    <w:p>
      <w:pPr>
        <w:pStyle w:val="Heading3"/>
      </w:pPr>
      <w:r>
        <w:t>Model Selection Process</w:t>
      </w:r>
    </w:p>
    <w:p>
      <w:r>
        <w:rPr>
          <w:rFonts w:ascii="Calibri" w:hAnsi="Calibri"/>
          <w:b/>
          <w:color w:val="000000"/>
          <w:sz w:val="24"/>
        </w:rPr>
        <w:t>Step 1: Testing for ARCH effects</w:t>
      </w:r>
    </w:p>
    <w:p>
      <w:r>
        <w:rPr>
          <w:rFonts w:ascii="Calibri" w:hAnsi="Calibri"/>
          <w:color w:val="000000"/>
          <w:sz w:val="24"/>
        </w:rPr>
        <w:t>Before fitting GARCH models, the presence of conditional heteroskedasticity is confirmed. The ARCH LM test (Engle, 1982) gives p ≈ 0 at lag 10 for all four currencies, and the Ljung-Box test on squared returns is also p ≈ 0 for all series. Both tests decisively reject the null of constant variance.</w:t>
      </w:r>
    </w:p>
    <w:p>
      <w:r>
        <w:rPr>
          <w:rFonts w:ascii="Calibri" w:hAnsi="Calibri"/>
          <w:b/>
          <w:color w:val="000000"/>
          <w:sz w:val="24"/>
        </w:rPr>
        <w:t>Step 2: Mean and variance equation selection</w:t>
      </w:r>
    </w:p>
    <w:p>
      <w:r>
        <w:rPr>
          <w:rFonts w:ascii="Calibri" w:hAnsi="Calibri"/>
          <w:color w:val="000000"/>
          <w:sz w:val="24"/>
        </w:rPr>
        <w:t>A joint ARMA(p,q)-GARCH(ph,qh) grid search is conducted over p, q ∈ {0,1,2} and ph, qh ∈ {0,1,2} (81 combinations per currency), using standard sGARCH with Normal errors. Models are selected from the adequate set — the intersection of the top-10 AIC and top-10 BIC candidates.</w:t>
      </w:r>
    </w:p>
    <w:p>
      <w:r>
        <w:rPr>
          <w:rFonts w:ascii="Calibri" w:hAnsi="Calibri"/>
          <w:b/>
          <w:color w:val="000000"/>
          <w:sz w:val="24"/>
        </w:rPr>
        <w:t>Final model selection: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w:r>
              <w:rPr>
                <w:rFonts w:ascii="Calibri" w:hAnsi="Calibri"/>
                <w:b/>
                <w:color w:val="000000"/>
                <w:sz w:val="24"/>
              </w:rPr>
              <w:t>Mean Model</w:t>
            </w:r>
          </w:p>
        </w:tc>
        <w:tc>
          <w:tcPr>
            <w:tcW w:type="dxa" w:w="1440"/>
          </w:tcPr>
          <w:p>
            <w:r>
              <w:rPr>
                <w:rFonts w:ascii="Calibri" w:hAnsi="Calibri"/>
                <w:b/>
                <w:color w:val="000000"/>
                <w:sz w:val="24"/>
              </w:rPr>
              <w:t>GARCH Type</w:t>
            </w:r>
          </w:p>
        </w:tc>
        <w:tc>
          <w:tcPr>
            <w:tcW w:type="dxa" w:w="1440"/>
          </w:tcPr>
          <w:p>
            <w:r>
              <w:rPr>
                <w:rFonts w:ascii="Calibri" w:hAnsi="Calibri"/>
                <w:b/>
                <w:color w:val="000000"/>
                <w:sz w:val="24"/>
              </w:rPr>
              <w:t>Errors</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r>
      <w:tr>
        <w:tc>
          <w:tcPr>
            <w:tcW w:type="dxa" w:w="1440"/>
          </w:tcPr>
          <w:p>
            <w:r>
              <w:rPr>
                <w:rFonts w:ascii="Calibri" w:hAnsi="Calibri"/>
                <w:color w:val="000000"/>
                <w:sz w:val="24"/>
              </w:rPr>
              <w:t>CNY</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1.5553</w:t>
            </w:r>
          </w:p>
        </w:tc>
        <w:tc>
          <w:tcPr>
            <w:tcW w:type="dxa" w:w="1440"/>
          </w:tcPr>
          <w:p>
            <w:r>
              <w:rPr>
                <w:rFonts w:ascii="Calibri" w:hAnsi="Calibri"/>
                <w:color w:val="000000"/>
                <w:sz w:val="24"/>
              </w:rPr>
              <w:t>1.5803</w:t>
            </w:r>
          </w:p>
        </w:tc>
      </w:tr>
      <w:tr>
        <w:tc>
          <w:tcPr>
            <w:tcW w:type="dxa" w:w="1440"/>
          </w:tcPr>
          <w:p>
            <w:r>
              <w:rPr>
                <w:rFonts w:ascii="Calibri" w:hAnsi="Calibri"/>
                <w:color w:val="000000"/>
                <w:sz w:val="24"/>
              </w:rPr>
              <w:t>USD</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1.8352</w:t>
            </w:r>
          </w:p>
        </w:tc>
        <w:tc>
          <w:tcPr>
            <w:tcW w:type="dxa" w:w="1440"/>
          </w:tcPr>
          <w:p>
            <w:r>
              <w:rPr>
                <w:rFonts w:ascii="Calibri" w:hAnsi="Calibri"/>
                <w:color w:val="000000"/>
                <w:sz w:val="24"/>
              </w:rPr>
              <w:t>1.8631</w:t>
            </w:r>
          </w:p>
        </w:tc>
      </w:tr>
      <w:tr>
        <w:tc>
          <w:tcPr>
            <w:tcW w:type="dxa" w:w="1440"/>
          </w:tcPr>
          <w:p>
            <w:r>
              <w:rPr>
                <w:rFonts w:ascii="Calibri" w:hAnsi="Calibri"/>
                <w:color w:val="000000"/>
                <w:sz w:val="24"/>
              </w:rPr>
              <w:t>TWI</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1.3109</w:t>
            </w:r>
          </w:p>
        </w:tc>
        <w:tc>
          <w:tcPr>
            <w:tcW w:type="dxa" w:w="1440"/>
          </w:tcPr>
          <w:p>
            <w:r>
              <w:rPr>
                <w:rFonts w:ascii="Calibri" w:hAnsi="Calibri"/>
                <w:color w:val="000000"/>
                <w:sz w:val="24"/>
              </w:rPr>
              <w:t>1.3387</w:t>
            </w:r>
          </w:p>
        </w:tc>
      </w:tr>
      <w:tr>
        <w:tc>
          <w:tcPr>
            <w:tcW w:type="dxa" w:w="1440"/>
          </w:tcPr>
          <w:p>
            <w:r>
              <w:rPr>
                <w:rFonts w:ascii="Calibri" w:hAnsi="Calibri"/>
                <w:color w:val="000000"/>
                <w:sz w:val="24"/>
              </w:rPr>
              <w:t>SDR</w:t>
            </w:r>
          </w:p>
        </w:tc>
        <w:tc>
          <w:tcPr>
            <w:tcW w:type="dxa" w:w="1440"/>
          </w:tcPr>
          <w:p>
            <w:r>
              <w:rPr>
                <w:rFonts w:ascii="Calibri" w:hAnsi="Calibri"/>
                <w:color w:val="000000"/>
                <w:sz w:val="24"/>
              </w:rPr>
              <w:t>ARMA(2,2)</w:t>
            </w:r>
          </w:p>
        </w:tc>
        <w:tc>
          <w:tcPr>
            <w:tcW w:type="dxa" w:w="1440"/>
          </w:tcPr>
          <w:p>
            <w:r>
              <w:rPr>
                <w:rFonts w:ascii="Calibri" w:hAnsi="Calibri"/>
                <w:color w:val="000000"/>
                <w:sz w:val="24"/>
              </w:rPr>
              <w:t>sGARCH(2,1)</w:t>
            </w:r>
          </w:p>
        </w:tc>
        <w:tc>
          <w:tcPr>
            <w:tcW w:type="dxa" w:w="1440"/>
          </w:tcPr>
          <w:p>
            <w:r>
              <w:rPr>
                <w:rFonts w:ascii="Calibri" w:hAnsi="Calibri"/>
                <w:color w:val="000000"/>
                <w:sz w:val="24"/>
              </w:rPr>
              <w:t>Normal</w:t>
            </w:r>
          </w:p>
        </w:tc>
        <w:tc>
          <w:tcPr>
            <w:tcW w:type="dxa" w:w="1440"/>
          </w:tcPr>
          <w:p>
            <w:r>
              <w:rPr>
                <w:rFonts w:ascii="Calibri" w:hAnsi="Calibri"/>
                <w:color w:val="000000"/>
                <w:sz w:val="24"/>
              </w:rPr>
              <w:t>1.8195</w:t>
            </w:r>
          </w:p>
        </w:tc>
        <w:tc>
          <w:tcPr>
            <w:tcW w:type="dxa" w:w="1440"/>
          </w:tcPr>
          <w:p>
            <w:r>
              <w:rPr>
                <w:rFonts w:ascii="Calibri" w:hAnsi="Calibri"/>
                <w:color w:val="000000"/>
                <w:sz w:val="24"/>
              </w:rPr>
              <w:t>1.8446</w:t>
            </w:r>
          </w:p>
        </w:tc>
      </w:tr>
    </w:tbl>
    <w:p/>
    <w:p>
      <w:r>
        <w:rPr>
          <w:rFonts w:ascii="Calibri" w:hAnsi="Calibri"/>
          <w:b/>
          <w:color w:val="000000"/>
          <w:sz w:val="24"/>
        </w:rPr>
        <w:t>Estimated coefficients:</w:t>
      </w:r>
    </w:p>
    <w:p>
      <w:r>
        <w:rPr>
          <w:rFonts w:ascii="Calibri" w:hAnsi="Calibri"/>
          <w:color w:val="000000"/>
          <w:sz w:val="24"/>
        </w:rPr>
        <w:t>*CNY (no intercept):* a</w:t>
      </w:r>
      <m:oMath>
        <m:r>
          <m:t>r</m:t>
        </m:r>
        <m:r>
          <m:t>₁</m:t>
        </m:r>
      </m:oMath>
      <w:r>
        <w:rPr>
          <w:rFonts w:ascii="Calibri" w:hAnsi="Calibri"/>
          <w:color w:val="000000"/>
          <w:sz w:val="24"/>
        </w:rPr>
        <w:t xml:space="preserve"> = 1.923, a</w:t>
      </w:r>
      <m:oMath>
        <m:r>
          <m:t>r</m:t>
        </m:r>
        <m:r>
          <m:t>₂</m:t>
        </m:r>
      </m:oMath>
      <w:r>
        <w:rPr>
          <w:rFonts w:ascii="Calibri" w:hAnsi="Calibri"/>
          <w:color w:val="000000"/>
          <w:sz w:val="24"/>
        </w:rPr>
        <w:t xml:space="preserve"> = −0.924, m</w:t>
      </w:r>
      <m:oMath>
        <m:r>
          <m:t>a</m:t>
        </m:r>
        <m:r>
          <m:t>₁</m:t>
        </m:r>
      </m:oMath>
      <w:r>
        <w:rPr>
          <w:rFonts w:ascii="Calibri" w:hAnsi="Calibri"/>
          <w:color w:val="000000"/>
          <w:sz w:val="24"/>
        </w:rPr>
        <w:t xml:space="preserve"> = −1.948, m</w:t>
      </w:r>
      <m:oMath>
        <m:r>
          <m:t>a</m:t>
        </m:r>
        <m:r>
          <m:t>₂</m:t>
        </m:r>
      </m:oMath>
      <w:r>
        <w:rPr>
          <w:rFonts w:ascii="Calibri" w:hAnsi="Calibri"/>
          <w:color w:val="000000"/>
          <w:sz w:val="24"/>
        </w:rPr>
        <w:t xml:space="preserve"> = 0.948, </w:t>
      </w:r>
      <m:oMath>
        <m:r>
          <m:t>ω</m:t>
        </m:r>
      </m:oMath>
      <w:r>
        <w:rPr>
          <w:rFonts w:ascii="Calibri" w:hAnsi="Calibri"/>
          <w:color w:val="000000"/>
          <w:sz w:val="24"/>
        </w:rPr>
        <w:t xml:space="preserve"> = 0.0291, </w:t>
      </w:r>
      <m:oMath>
        <m:r>
          <m:t>α</m:t>
        </m:r>
        <m:r>
          <m:t>₁</m:t>
        </m:r>
      </m:oMath>
      <w:r>
        <w:rPr>
          <w:rFonts w:ascii="Calibri" w:hAnsi="Calibri"/>
          <w:color w:val="000000"/>
          <w:sz w:val="24"/>
        </w:rPr>
        <w:t xml:space="preserve"> = 0.138,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0.313, </w:t>
      </w:r>
      <m:oMath>
        <m:r>
          <m:t>β</m:t>
        </m:r>
        <m:r>
          <m:t>₂</m:t>
        </m:r>
      </m:oMath>
      <w:r>
        <w:rPr>
          <w:rFonts w:ascii="Calibri" w:hAnsi="Calibri"/>
          <w:color w:val="000000"/>
          <w:sz w:val="24"/>
        </w:rPr>
        <w:t xml:space="preserve"> = 0.454</w:t>
      </w:r>
    </w:p>
    <w:p>
      <w:r>
        <w:rPr>
          <w:rFonts w:ascii="Calibri" w:hAnsi="Calibri"/>
          <w:color w:val="000000"/>
          <w:sz w:val="24"/>
        </w:rPr>
        <w:t xml:space="preserve">*USD:* </w:t>
      </w:r>
      <m:oMath>
        <m:r>
          <m:t>μ</m:t>
        </m:r>
      </m:oMath>
      <w:r>
        <w:rPr>
          <w:rFonts w:ascii="Calibri" w:hAnsi="Calibri"/>
          <w:color w:val="000000"/>
          <w:sz w:val="24"/>
        </w:rPr>
        <w:t xml:space="preserve"> = 0.001, a</w:t>
      </w:r>
      <m:oMath>
        <m:r>
          <m:t>r</m:t>
        </m:r>
        <m:r>
          <m:t>₁</m:t>
        </m:r>
      </m:oMath>
      <w:r>
        <w:rPr>
          <w:rFonts w:ascii="Calibri" w:hAnsi="Calibri"/>
          <w:color w:val="000000"/>
          <w:sz w:val="24"/>
        </w:rPr>
        <w:t xml:space="preserve"> = 1.945, a</w:t>
      </w:r>
      <m:oMath>
        <m:r>
          <m:t>r</m:t>
        </m:r>
        <m:r>
          <m:t>₂</m:t>
        </m:r>
      </m:oMath>
      <w:r>
        <w:rPr>
          <w:rFonts w:ascii="Calibri" w:hAnsi="Calibri"/>
          <w:color w:val="000000"/>
          <w:sz w:val="24"/>
        </w:rPr>
        <w:t xml:space="preserve"> = −0.946, m</w:t>
      </w:r>
      <m:oMath>
        <m:r>
          <m:t>a</m:t>
        </m:r>
        <m:r>
          <m:t>₁</m:t>
        </m:r>
      </m:oMath>
      <w:r>
        <w:rPr>
          <w:rFonts w:ascii="Calibri" w:hAnsi="Calibri"/>
          <w:color w:val="000000"/>
          <w:sz w:val="24"/>
        </w:rPr>
        <w:t xml:space="preserve"> = −1.958, m</w:t>
      </w:r>
      <m:oMath>
        <m:r>
          <m:t>a</m:t>
        </m:r>
        <m:r>
          <m:t>₂</m:t>
        </m:r>
      </m:oMath>
      <w:r>
        <w:rPr>
          <w:rFonts w:ascii="Calibri" w:hAnsi="Calibri"/>
          <w:color w:val="000000"/>
          <w:sz w:val="24"/>
        </w:rPr>
        <w:t xml:space="preserve"> = 0.958, </w:t>
      </w:r>
      <m:oMath>
        <m:r>
          <m:t>ω</m:t>
        </m:r>
      </m:oMath>
      <w:r>
        <w:rPr>
          <w:rFonts w:ascii="Calibri" w:hAnsi="Calibri"/>
          <w:color w:val="000000"/>
          <w:sz w:val="24"/>
        </w:rPr>
        <w:t xml:space="preserve"> = 0.0150, </w:t>
      </w:r>
      <m:oMath>
        <m:r>
          <m:t>α</m:t>
        </m:r>
        <m:r>
          <m:t>₁</m:t>
        </m:r>
      </m:oMath>
      <w:r>
        <w:rPr>
          <w:rFonts w:ascii="Calibri" w:hAnsi="Calibri"/>
          <w:color w:val="000000"/>
          <w:sz w:val="24"/>
        </w:rPr>
        <w:t xml:space="preserve"> = 0.129,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0.229, </w:t>
      </w:r>
      <m:oMath>
        <m:r>
          <m:t>β</m:t>
        </m:r>
        <m:r>
          <m:t>₂</m:t>
        </m:r>
      </m:oMath>
      <w:r>
        <w:rPr>
          <w:rFonts w:ascii="Calibri" w:hAnsi="Calibri"/>
          <w:color w:val="000000"/>
          <w:sz w:val="24"/>
        </w:rPr>
        <w:t xml:space="preserve"> = 0.611</w:t>
      </w:r>
    </w:p>
    <w:p>
      <w:r>
        <w:rPr>
          <w:rFonts w:ascii="Calibri" w:hAnsi="Calibri"/>
          <w:color w:val="000000"/>
          <w:sz w:val="24"/>
        </w:rPr>
        <w:t xml:space="preserve">*TWI:* </w:t>
      </w:r>
      <m:oMath>
        <m:r>
          <m:t>μ</m:t>
        </m:r>
      </m:oMath>
      <w:r>
        <w:rPr>
          <w:rFonts w:ascii="Calibri" w:hAnsi="Calibri"/>
          <w:color w:val="000000"/>
          <w:sz w:val="24"/>
        </w:rPr>
        <w:t xml:space="preserve"> = −0.003, a</w:t>
      </w:r>
      <m:oMath>
        <m:r>
          <m:t>r</m:t>
        </m:r>
        <m:r>
          <m:t>₁</m:t>
        </m:r>
      </m:oMath>
      <w:r>
        <w:rPr>
          <w:rFonts w:ascii="Calibri" w:hAnsi="Calibri"/>
          <w:color w:val="000000"/>
          <w:sz w:val="24"/>
        </w:rPr>
        <w:t xml:space="preserve"> = −1.084, a</w:t>
      </w:r>
      <m:oMath>
        <m:r>
          <m:t>r</m:t>
        </m:r>
        <m:r>
          <m:t>₂</m:t>
        </m:r>
      </m:oMath>
      <w:r>
        <w:rPr>
          <w:rFonts w:ascii="Calibri" w:hAnsi="Calibri"/>
          <w:color w:val="000000"/>
          <w:sz w:val="24"/>
        </w:rPr>
        <w:t xml:space="preserve"> = −0.994, m</w:t>
      </w:r>
      <m:oMath>
        <m:r>
          <m:t>a</m:t>
        </m:r>
        <m:r>
          <m:t>₁</m:t>
        </m:r>
      </m:oMath>
      <w:r>
        <w:rPr>
          <w:rFonts w:ascii="Calibri" w:hAnsi="Calibri"/>
          <w:color w:val="000000"/>
          <w:sz w:val="24"/>
        </w:rPr>
        <w:t xml:space="preserve"> = 1.085, m</w:t>
      </w:r>
      <m:oMath>
        <m:r>
          <m:t>a</m:t>
        </m:r>
        <m:r>
          <m:t>₂</m:t>
        </m:r>
      </m:oMath>
      <w:r>
        <w:rPr>
          <w:rFonts w:ascii="Calibri" w:hAnsi="Calibri"/>
          <w:color w:val="000000"/>
          <w:sz w:val="24"/>
        </w:rPr>
        <w:t xml:space="preserve"> = 0.988, </w:t>
      </w:r>
      <m:oMath>
        <m:r>
          <m:t>ω</m:t>
        </m:r>
      </m:oMath>
      <w:r>
        <w:rPr>
          <w:rFonts w:ascii="Calibri" w:hAnsi="Calibri"/>
          <w:color w:val="000000"/>
          <w:sz w:val="24"/>
        </w:rPr>
        <w:t xml:space="preserve"> = 0.0232, </w:t>
      </w:r>
      <m:oMath>
        <m:r>
          <m:t>α</m:t>
        </m:r>
        <m:r>
          <m:t>₁</m:t>
        </m:r>
      </m:oMath>
      <w:r>
        <w:rPr>
          <w:rFonts w:ascii="Calibri" w:hAnsi="Calibri"/>
          <w:color w:val="000000"/>
          <w:sz w:val="24"/>
        </w:rPr>
        <w:t xml:space="preserve"> = 0.157,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0.224, </w:t>
      </w:r>
      <m:oMath>
        <m:r>
          <m:t>β</m:t>
        </m:r>
        <m:r>
          <m:t>₂</m:t>
        </m:r>
      </m:oMath>
      <w:r>
        <w:rPr>
          <w:rFonts w:ascii="Calibri" w:hAnsi="Calibri"/>
          <w:color w:val="000000"/>
          <w:sz w:val="24"/>
        </w:rPr>
        <w:t xml:space="preserve"> = 0.522</w:t>
      </w:r>
    </w:p>
    <w:p>
      <w:r>
        <w:rPr>
          <w:rFonts w:ascii="Calibri" w:hAnsi="Calibri"/>
          <w:color w:val="000000"/>
          <w:sz w:val="24"/>
        </w:rPr>
        <w:t xml:space="preserve">*SDR:* </w:t>
      </w:r>
      <m:oMath>
        <m:r>
          <m:t>μ</m:t>
        </m:r>
      </m:oMath>
      <w:r>
        <w:rPr>
          <w:rFonts w:ascii="Calibri" w:hAnsi="Calibri"/>
          <w:color w:val="000000"/>
          <w:sz w:val="24"/>
        </w:rPr>
        <w:t xml:space="preserve"> = −0.004, a</w:t>
      </w:r>
      <m:oMath>
        <m:r>
          <m:t>r</m:t>
        </m:r>
        <m:r>
          <m:t>₁</m:t>
        </m:r>
      </m:oMath>
      <w:r>
        <w:rPr>
          <w:rFonts w:ascii="Calibri" w:hAnsi="Calibri"/>
          <w:color w:val="000000"/>
          <w:sz w:val="24"/>
        </w:rPr>
        <w:t xml:space="preserve"> = 1.012, a</w:t>
      </w:r>
      <m:oMath>
        <m:r>
          <m:t>r</m:t>
        </m:r>
        <m:r>
          <m:t>₂</m:t>
        </m:r>
      </m:oMath>
      <w:r>
        <w:rPr>
          <w:rFonts w:ascii="Calibri" w:hAnsi="Calibri"/>
          <w:color w:val="000000"/>
          <w:sz w:val="24"/>
        </w:rPr>
        <w:t xml:space="preserve"> = −0.030, m</w:t>
      </w:r>
      <m:oMath>
        <m:r>
          <m:t>a</m:t>
        </m:r>
        <m:r>
          <m:t>₁</m:t>
        </m:r>
      </m:oMath>
      <w:r>
        <w:rPr>
          <w:rFonts w:ascii="Calibri" w:hAnsi="Calibri"/>
          <w:color w:val="000000"/>
          <w:sz w:val="24"/>
        </w:rPr>
        <w:t xml:space="preserve"> = −1.191, m</w:t>
      </w:r>
      <m:oMath>
        <m:r>
          <m:t>a</m:t>
        </m:r>
        <m:r>
          <m:t>₂</m:t>
        </m:r>
      </m:oMath>
      <w:r>
        <w:rPr>
          <w:rFonts w:ascii="Calibri" w:hAnsi="Calibri"/>
          <w:color w:val="000000"/>
          <w:sz w:val="24"/>
        </w:rPr>
        <w:t xml:space="preserve"> = 0.188, </w:t>
      </w:r>
      <m:oMath>
        <m:r>
          <m:t>ω</m:t>
        </m:r>
      </m:oMath>
      <w:r>
        <w:rPr>
          <w:rFonts w:ascii="Calibri" w:hAnsi="Calibri"/>
          <w:color w:val="000000"/>
          <w:sz w:val="24"/>
        </w:rPr>
        <w:t xml:space="preserve"> = 0.0169, </w:t>
      </w:r>
      <m:oMath>
        <m:r>
          <m:t>α</m:t>
        </m:r>
        <m:r>
          <m:t>₁</m:t>
        </m:r>
      </m:oMath>
      <w:r>
        <w:rPr>
          <w:rFonts w:ascii="Calibri" w:hAnsi="Calibri"/>
          <w:color w:val="000000"/>
          <w:sz w:val="24"/>
        </w:rPr>
        <w:t xml:space="preserve"> = 0.131, </w:t>
      </w:r>
      <m:oMath>
        <m:r>
          <m:t>β</m:t>
        </m:r>
        <m:r>
          <m:t>₁</m:t>
        </m:r>
      </m:oMath>
      <w:r>
        <w:rPr>
          <w:rFonts w:ascii="Calibri" w:hAnsi="Calibri"/>
          <w:color w:val="000000"/>
          <w:sz w:val="24"/>
        </w:rPr>
        <w:t xml:space="preserve"> = 0.232, </w:t>
      </w:r>
      <m:oMath>
        <m:r>
          <m:t>β</m:t>
        </m:r>
        <m:r>
          <m:t>₂</m:t>
        </m:r>
      </m:oMath>
      <w:r>
        <w:rPr>
          <w:rFonts w:ascii="Calibri" w:hAnsi="Calibri"/>
          <w:color w:val="000000"/>
          <w:sz w:val="24"/>
        </w:rPr>
        <w:t xml:space="preserve"> = 0.599</w:t>
      </w:r>
    </w:p>
    <w:p>
      <w:r>
        <w:rPr>
          <w:rFonts w:ascii="Calibri" w:hAnsi="Calibri"/>
          <w:color w:val="000000"/>
          <w:sz w:val="24"/>
        </w:rPr>
        <w:t>The sum of ARCH (</w:t>
      </w:r>
      <m:oMath>
        <m:r>
          <m:t>α</m:t>
        </m:r>
      </m:oMath>
      <w:r>
        <w:rPr>
          <w:rFonts w:ascii="Calibri" w:hAnsi="Calibri"/>
          <w:color w:val="000000"/>
          <w:sz w:val="24"/>
        </w:rPr>
        <w:t>) and GARCH (</w:t>
      </w:r>
      <m:oMath>
        <m:r>
          <m:t>β</m:t>
        </m:r>
      </m:oMath>
      <w:r>
        <w:rPr>
          <w:rFonts w:ascii="Calibri" w:hAnsi="Calibri"/>
          <w:color w:val="000000"/>
          <w:sz w:val="24"/>
        </w:rPr>
        <w:t>) coefficients is close to but below 1 for all series, indicating high but stationary volatility persistence — shocks to variance decay slowly. The ARMA(2,2) structure in the mean equation captures the short-run autocorrelation in daily returns, with near-cancelling AR and MA roots reflecting the high-frequency but weak serial dependence.</w:t>
      </w:r>
    </w:p>
    <w:p>
      <w:r>
        <w:rPr>
          <w:rFonts w:ascii="Calibri" w:hAnsi="Calibri"/>
          <w:b/>
          <w:color w:val="000000"/>
          <w:sz w:val="24"/>
        </w:rPr>
        <w:t>Diagnostics (Ljung-Box, 10 lags):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w:r>
              <w:rPr>
                <w:rFonts w:ascii="Calibri" w:hAnsi="Calibri"/>
                <w:b/>
                <w:color w:val="000000"/>
                <w:sz w:val="24"/>
              </w:rPr>
              <w:t>LB on z (p)</w:t>
            </w:r>
          </w:p>
        </w:tc>
        <w:tc>
          <w:tcPr>
            <w:tcW w:type="dxa" w:w="2880"/>
          </w:tcPr>
          <w:p>
            <w:r>
              <w:rPr>
                <w:rFonts w:ascii="Calibri" w:hAnsi="Calibri"/>
                <w:b/>
                <w:color w:val="000000"/>
                <w:sz w:val="24"/>
              </w:rPr>
              <w:t>LB on z² (p)</w:t>
            </w:r>
          </w:p>
        </w:tc>
      </w:tr>
      <w:tr>
        <w:tc>
          <w:tcPr>
            <w:tcW w:type="dxa" w:w="2880"/>
          </w:tcPr>
          <w:p>
            <w:r>
              <w:rPr>
                <w:rFonts w:ascii="Calibri" w:hAnsi="Calibri"/>
                <w:color w:val="000000"/>
                <w:sz w:val="24"/>
              </w:rPr>
              <w:t>CNY</w:t>
            </w:r>
          </w:p>
        </w:tc>
        <w:tc>
          <w:tcPr>
            <w:tcW w:type="dxa" w:w="2880"/>
          </w:tcPr>
          <w:p>
            <w:r>
              <w:rPr>
                <w:rFonts w:ascii="Calibri" w:hAnsi="Calibri"/>
                <w:color w:val="000000"/>
                <w:sz w:val="24"/>
              </w:rPr>
              <w:t>0.394 ✓</w:t>
            </w:r>
          </w:p>
        </w:tc>
        <w:tc>
          <w:tcPr>
            <w:tcW w:type="dxa" w:w="2880"/>
          </w:tcPr>
          <w:p>
            <w:r>
              <w:rPr>
                <w:rFonts w:ascii="Calibri" w:hAnsi="Calibri"/>
                <w:color w:val="000000"/>
                <w:sz w:val="24"/>
              </w:rPr>
              <w:t>0.010</w:t>
            </w:r>
          </w:p>
        </w:tc>
      </w:tr>
      <w:tr>
        <w:tc>
          <w:tcPr>
            <w:tcW w:type="dxa" w:w="2880"/>
          </w:tcPr>
          <w:p>
            <w:r>
              <w:rPr>
                <w:rFonts w:ascii="Calibri" w:hAnsi="Calibri"/>
                <w:color w:val="000000"/>
                <w:sz w:val="24"/>
              </w:rPr>
              <w:t>USD</w:t>
            </w:r>
          </w:p>
        </w:tc>
        <w:tc>
          <w:tcPr>
            <w:tcW w:type="dxa" w:w="2880"/>
          </w:tcPr>
          <w:p>
            <w:r>
              <w:rPr>
                <w:rFonts w:ascii="Calibri" w:hAnsi="Calibri"/>
                <w:color w:val="000000"/>
                <w:sz w:val="24"/>
              </w:rPr>
              <w:t>0.640 ✓</w:t>
            </w:r>
          </w:p>
        </w:tc>
        <w:tc>
          <w:tcPr>
            <w:tcW w:type="dxa" w:w="2880"/>
          </w:tcPr>
          <w:p>
            <w:r>
              <w:rPr>
                <w:rFonts w:ascii="Calibri" w:hAnsi="Calibri"/>
                <w:color w:val="000000"/>
                <w:sz w:val="24"/>
              </w:rPr>
              <w:t>0.083 ✓</w:t>
            </w:r>
          </w:p>
        </w:tc>
      </w:tr>
      <w:tr>
        <w:tc>
          <w:tcPr>
            <w:tcW w:type="dxa" w:w="2880"/>
          </w:tcPr>
          <w:p>
            <w:r>
              <w:rPr>
                <w:rFonts w:ascii="Calibri" w:hAnsi="Calibri"/>
                <w:color w:val="000000"/>
                <w:sz w:val="24"/>
              </w:rPr>
              <w:t>TWI</w:t>
            </w:r>
          </w:p>
        </w:tc>
        <w:tc>
          <w:tcPr>
            <w:tcW w:type="dxa" w:w="2880"/>
          </w:tcPr>
          <w:p>
            <w:r>
              <w:rPr>
                <w:rFonts w:ascii="Calibri" w:hAnsi="Calibri"/>
                <w:color w:val="000000"/>
                <w:sz w:val="24"/>
              </w:rPr>
              <w:t>0.460 ✓</w:t>
            </w:r>
          </w:p>
        </w:tc>
        <w:tc>
          <w:tcPr>
            <w:tcW w:type="dxa" w:w="2880"/>
          </w:tcPr>
          <w:p>
            <w:r>
              <w:rPr>
                <w:rFonts w:ascii="Calibri" w:hAnsi="Calibri"/>
                <w:color w:val="000000"/>
                <w:sz w:val="24"/>
              </w:rPr>
              <w:t>0.088 ✓</w:t>
            </w:r>
          </w:p>
        </w:tc>
      </w:tr>
      <w:tr>
        <w:tc>
          <w:tcPr>
            <w:tcW w:type="dxa" w:w="2880"/>
          </w:tcPr>
          <w:p>
            <w:r>
              <w:rPr>
                <w:rFonts w:ascii="Calibri" w:hAnsi="Calibri"/>
                <w:color w:val="000000"/>
                <w:sz w:val="24"/>
              </w:rPr>
              <w:t>SDR</w:t>
            </w:r>
          </w:p>
        </w:tc>
        <w:tc>
          <w:tcPr>
            <w:tcW w:type="dxa" w:w="2880"/>
          </w:tcPr>
          <w:p>
            <w:r>
              <w:rPr>
                <w:rFonts w:ascii="Calibri" w:hAnsi="Calibri"/>
                <w:color w:val="000000"/>
                <w:sz w:val="24"/>
              </w:rPr>
              <w:t>0.267 ✓</w:t>
            </w:r>
          </w:p>
        </w:tc>
        <w:tc>
          <w:tcPr>
            <w:tcW w:type="dxa" w:w="2880"/>
          </w:tcPr>
          <w:p>
            <w:r>
              <w:rPr>
                <w:rFonts w:ascii="Calibri" w:hAnsi="Calibri"/>
                <w:color w:val="000000"/>
                <w:sz w:val="24"/>
              </w:rPr>
              <w:t>0.006</w:t>
            </w:r>
          </w:p>
        </w:tc>
      </w:tr>
    </w:tbl>
    <w:p/>
    <w:p>
      <w:r>
        <w:rPr>
          <w:rFonts w:ascii="Calibri" w:hAnsi="Calibri"/>
          <w:color w:val="000000"/>
          <w:sz w:val="24"/>
        </w:rPr>
        <w:t>All mean equations are well-specified (LB on z insignificant for all). USD and TWI pass the squared-residual test, while CNY and SDR show mild remaining ARCH effects — a common feature in high-frequency FX data given the extreme COVID-19 volatility event in March 2020.</w:t>
      </w:r>
    </w:p>
    <w:p>
      <w:r>
        <w:rPr>
          <w:rFonts w:ascii="Calibri" w:hAnsi="Calibri"/>
          <w:color w:val="000000"/>
          <w:sz w:val="24"/>
        </w:rPr>
        <w:t>The combined ACF/PACF/Ljung-Box diagnostic figure for squared standardised residuals z² (lags 1–20) is shown below:</w:t>
      </w:r>
    </w:p>
    <w:p>
      <w:r>
        <w:rPr>
          <w:rFonts w:ascii="Calibri" w:hAnsi="Calibri"/>
          <w:b/>
          <w:color w:val="000000"/>
          <w:sz w:val="24"/>
        </w:rPr>
        <w:t>[INSERT fig6_sq_resid_diagnostics.png]</w:t>
      </w:r>
    </w:p>
    <w:p>
      <w:r>
        <w:rPr>
          <w:rFonts w:ascii="Calibri" w:hAnsi="Calibri"/>
          <w:b/>
          <w:color w:val="000000"/>
          <w:sz w:val="24"/>
        </w:rPr>
        <w:t>[INSERT fig6_vol_CNY.png]</w:t>
      </w:r>
    </w:p>
    <w:p>
      <w:r>
        <w:rPr>
          <w:rFonts w:ascii="Calibri" w:hAnsi="Calibri"/>
          <w:b/>
          <w:color w:val="000000"/>
          <w:sz w:val="24"/>
        </w:rPr>
        <w:t>[INSERT fig6_vol_USD.png]</w:t>
      </w:r>
    </w:p>
    <w:p>
      <w:r>
        <w:rPr>
          <w:rFonts w:ascii="Calibri" w:hAnsi="Calibri"/>
          <w:b/>
          <w:color w:val="000000"/>
          <w:sz w:val="24"/>
        </w:rPr>
        <w:t>[INSERT fig6_vol_TWI.png]</w:t>
      </w:r>
    </w:p>
    <w:p>
      <w:r>
        <w:rPr>
          <w:rFonts w:ascii="Calibri" w:hAnsi="Calibri"/>
          <w:b/>
          <w:color w:val="000000"/>
          <w:sz w:val="24"/>
        </w:rPr>
        <w:t>[INSERT fig6_vol_SDR.png]</w:t>
      </w:r>
    </w:p>
    <w:p>
      <w:r>
        <w:rPr>
          <w:rFonts w:ascii="Calibri" w:hAnsi="Calibri"/>
          <w:color w:val="000000"/>
          <w:sz w:val="24"/>
        </w:rPr>
        <w:t>The conditional volatility plots show the COVID-19 spike in March 2020 as the dominant event across all currencies, with elevated but lower volatility around 2022–2023. TWI shows the most contained spike, consistent with its lower sample variance.</w:t>
      </w:r>
    </w:p>
    <w:p>
      <w:r>
        <w:br w:type="page"/>
      </w:r>
    </w:p>
    <w:p>
      <w:pPr>
        <w:pStyle w:val="Heading2"/>
      </w:pPr>
      <w:r>
        <w:t>Question 7</w:t>
      </w:r>
    </w:p>
    <w:p>
      <w:pPr>
        <w:pStyle w:val="Heading3"/>
      </w:pPr>
      <w:r>
        <w:t>Unconditional Variance: Model vs Sample</w:t>
      </w:r>
    </w:p>
    <w:p>
      <w:r>
        <w:rPr>
          <w:rFonts w:ascii="Calibri" w:hAnsi="Calibri"/>
          <w:color w:val="000000"/>
          <w:sz w:val="24"/>
        </w:rPr>
        <w:t xml:space="preserve">For a standard sGARCH model with ARCH orders </w:t>
      </w:r>
      <m:oMath>
        <m:r>
          <m:t>α</m:t>
        </m:r>
        <m:r>
          <m:t>₁</m:t>
        </m:r>
      </m:oMath>
      <w:r>
        <w:rPr>
          <w:rFonts w:ascii="Calibri" w:hAnsi="Calibri"/>
          <w:color w:val="000000"/>
          <w:sz w:val="24"/>
        </w:rPr>
        <w:t xml:space="preserve">, …, </w:t>
      </w:r>
      <m:oMath>
        <m:r>
          <m:t>α</m:t>
        </m:r>
      </m:oMath>
      <w:r>
        <w:rPr>
          <w:rFonts w:ascii="Calibri" w:hAnsi="Calibri"/>
          <w:color w:val="000000"/>
          <w:sz w:val="24"/>
        </w:rPr>
        <w:t xml:space="preserve">ₚ and GARCH orders </w:t>
      </w:r>
      <m:oMath>
        <m:r>
          <m:t>β</m:t>
        </m:r>
        <m:r>
          <m:t>₁</m:t>
        </m:r>
      </m:oMath>
      <w:r>
        <w:rPr>
          <w:rFonts w:ascii="Calibri" w:hAnsi="Calibri"/>
          <w:color w:val="000000"/>
          <w:sz w:val="24"/>
        </w:rPr>
        <w:t xml:space="preserve">, …, </w:t>
      </w:r>
      <m:oMath>
        <m:r>
          <m:t>β</m:t>
        </m:r>
      </m:oMath>
      <w:r>
        <w:rPr>
          <w:rFonts w:ascii="Calibri" w:hAnsi="Calibri"/>
          <w:color w:val="000000"/>
          <w:sz w:val="24"/>
        </w:rPr>
        <w:t>q the unconditional variance (assuming covariance stationarity) is:</w:t>
      </w:r>
    </w:p>
    <w:p>
      <m:oMath>
        <m:r>
          <m:t>σ</m:t>
        </m:r>
        <m:r>
          <m:t>²</m:t>
        </m:r>
      </m:oMath>
      <w:r>
        <w:rPr>
          <w:rFonts w:ascii="Calibri" w:hAnsi="Calibri"/>
          <w:color w:val="000000"/>
          <w:sz w:val="24"/>
        </w:rPr>
        <w:t xml:space="preserve"> = </w:t>
      </w:r>
      <m:oMath>
        <m:r>
          <m:t>ω</m:t>
        </m:r>
      </m:oMath>
      <w:r>
        <w:rPr>
          <w:rFonts w:ascii="Calibri" w:hAnsi="Calibri"/>
          <w:color w:val="000000"/>
          <w:sz w:val="24"/>
        </w:rPr>
        <w:t xml:space="preserve"> / (1 −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w:t>
      </w:r>
    </w:p>
    <w:p>
      <w:r>
        <w:rPr>
          <w:rFonts w:ascii="Calibri" w:hAnsi="Calibri"/>
          <w:color w:val="000000"/>
          <w:sz w:val="24"/>
        </w:rPr>
        <w:t xml:space="preserve">This requires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 xml:space="preserve"> &lt; 1, which holds for all four series: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Persistence (</w:t>
            </w:r>
            <m:oMath>
              <m:r>
                <m:t>Σ</m:t>
              </m:r>
            </m:oMath>
            <m:oMath>
              <m:r>
                <m:t>α</m:t>
              </m:r>
            </m:oMath>
            <w:r>
              <w:rPr>
                <w:rFonts w:ascii="Calibri" w:hAnsi="Calibri"/>
                <w:b/>
                <w:color w:val="000000"/>
                <w:sz w:val="24"/>
              </w:rPr>
              <w:t>+</w:t>
            </w:r>
            <m:oMath>
              <m:r>
                <m:t>Σ</m:t>
              </m:r>
            </m:oMath>
            <m:oMath>
              <m:r>
                <m:t>β</m:t>
              </m:r>
            </m:oMath>
            <w:r>
              <w:rPr>
                <w:rFonts w:ascii="Calibri" w:hAnsi="Calibri"/>
                <w:b/>
                <w:color w:val="000000"/>
                <w:sz w:val="24"/>
              </w:rPr>
              <w:t>)</w:t>
            </w:r>
          </w:p>
        </w:tc>
        <w:tc>
          <w:tcPr>
            <w:tcW w:type="dxa" w:w="1728"/>
          </w:tcPr>
          <w:p>
            <m:oMath>
              <m:r>
                <m:t>σ</m:t>
              </m:r>
              <m:r>
                <m:t>²</m:t>
              </m:r>
            </m:oMath>
            <w:r>
              <w:rPr>
                <w:rFonts w:ascii="Calibri" w:hAnsi="Calibri"/>
                <w:b/>
                <w:color w:val="000000"/>
                <w:sz w:val="24"/>
              </w:rPr>
              <w:t>_model</w:t>
            </w:r>
          </w:p>
        </w:tc>
        <w:tc>
          <w:tcPr>
            <w:tcW w:type="dxa" w:w="1728"/>
          </w:tcPr>
          <w:p>
            <m:oMath>
              <m:r>
                <m:t>σ</m:t>
              </m:r>
              <m:r>
                <m:t>²</m:t>
              </m:r>
            </m:oMath>
            <w:r>
              <w:rPr>
                <w:rFonts w:ascii="Calibri" w:hAnsi="Calibri"/>
                <w:b/>
                <w:color w:val="000000"/>
                <w:sz w:val="24"/>
              </w:rPr>
              <w:t>_sample</w:t>
            </w:r>
          </w:p>
        </w:tc>
        <w:tc>
          <w:tcPr>
            <w:tcW w:type="dxa" w:w="1728"/>
          </w:tcPr>
          <w:p>
            <w:r>
              <w:rPr>
                <w:rFonts w:ascii="Calibri" w:hAnsi="Calibri"/>
                <w:b/>
                <w:color w:val="000000"/>
                <w:sz w:val="24"/>
              </w:rPr>
              <w:t>Ratio</w:t>
            </w:r>
          </w:p>
        </w:tc>
      </w:tr>
      <w:tr>
        <w:tc>
          <w:tcPr>
            <w:tcW w:type="dxa" w:w="1728"/>
          </w:tcPr>
          <w:p>
            <w:r>
              <w:rPr>
                <w:rFonts w:ascii="Calibri" w:hAnsi="Calibri"/>
                <w:color w:val="000000"/>
                <w:sz w:val="24"/>
              </w:rPr>
              <w:t>CNY</w:t>
            </w:r>
          </w:p>
        </w:tc>
        <w:tc>
          <w:tcPr>
            <w:tcW w:type="dxa" w:w="1728"/>
          </w:tcPr>
          <w:p>
            <w:r>
              <w:rPr>
                <w:rFonts w:ascii="Calibri" w:hAnsi="Calibri"/>
                <w:color w:val="000000"/>
                <w:sz w:val="24"/>
              </w:rPr>
              <w:t>0.9054</w:t>
            </w:r>
          </w:p>
        </w:tc>
        <w:tc>
          <w:tcPr>
            <w:tcW w:type="dxa" w:w="1728"/>
          </w:tcPr>
          <w:p>
            <w:r>
              <w:rPr>
                <w:rFonts w:ascii="Calibri" w:hAnsi="Calibri"/>
                <w:color w:val="000000"/>
                <w:sz w:val="24"/>
              </w:rPr>
              <w:t>0.3081</w:t>
            </w:r>
          </w:p>
        </w:tc>
        <w:tc>
          <w:tcPr>
            <w:tcW w:type="dxa" w:w="1728"/>
          </w:tcPr>
          <w:p>
            <w:r>
              <w:rPr>
                <w:rFonts w:ascii="Calibri" w:hAnsi="Calibri"/>
                <w:color w:val="000000"/>
                <w:sz w:val="24"/>
              </w:rPr>
              <w:t>0.3369</w:t>
            </w:r>
          </w:p>
        </w:tc>
        <w:tc>
          <w:tcPr>
            <w:tcW w:type="dxa" w:w="1728"/>
          </w:tcPr>
          <w:p>
            <w:r>
              <w:rPr>
                <w:rFonts w:ascii="Calibri" w:hAnsi="Calibri"/>
                <w:color w:val="000000"/>
                <w:sz w:val="24"/>
              </w:rPr>
              <w:t>0.9146</w:t>
            </w:r>
          </w:p>
        </w:tc>
      </w:tr>
      <w:tr>
        <w:tc>
          <w:tcPr>
            <w:tcW w:type="dxa" w:w="1728"/>
          </w:tcPr>
          <w:p>
            <w:r>
              <w:rPr>
                <w:rFonts w:ascii="Calibri" w:hAnsi="Calibri"/>
                <w:color w:val="000000"/>
                <w:sz w:val="24"/>
              </w:rPr>
              <w:t>USD</w:t>
            </w:r>
          </w:p>
        </w:tc>
        <w:tc>
          <w:tcPr>
            <w:tcW w:type="dxa" w:w="1728"/>
          </w:tcPr>
          <w:p>
            <w:r>
              <w:rPr>
                <w:rFonts w:ascii="Calibri" w:hAnsi="Calibri"/>
                <w:color w:val="000000"/>
                <w:sz w:val="24"/>
              </w:rPr>
              <w:t>0.9683</w:t>
            </w:r>
          </w:p>
        </w:tc>
        <w:tc>
          <w:tcPr>
            <w:tcW w:type="dxa" w:w="1728"/>
          </w:tcPr>
          <w:p>
            <w:r>
              <w:rPr>
                <w:rFonts w:ascii="Calibri" w:hAnsi="Calibri"/>
                <w:color w:val="000000"/>
                <w:sz w:val="24"/>
              </w:rPr>
              <w:t>0.4725</w:t>
            </w:r>
          </w:p>
        </w:tc>
        <w:tc>
          <w:tcPr>
            <w:tcW w:type="dxa" w:w="1728"/>
          </w:tcPr>
          <w:p>
            <w:r>
              <w:rPr>
                <w:rFonts w:ascii="Calibri" w:hAnsi="Calibri"/>
                <w:color w:val="000000"/>
                <w:sz w:val="24"/>
              </w:rPr>
              <w:t>0.4381</w:t>
            </w:r>
          </w:p>
        </w:tc>
        <w:tc>
          <w:tcPr>
            <w:tcW w:type="dxa" w:w="1728"/>
          </w:tcPr>
          <w:p>
            <w:r>
              <w:rPr>
                <w:rFonts w:ascii="Calibri" w:hAnsi="Calibri"/>
                <w:color w:val="000000"/>
                <w:sz w:val="24"/>
              </w:rPr>
              <w:t>1.0786</w:t>
            </w:r>
          </w:p>
        </w:tc>
      </w:tr>
      <w:tr>
        <w:tc>
          <w:tcPr>
            <w:tcW w:type="dxa" w:w="1728"/>
          </w:tcPr>
          <w:p>
            <w:r>
              <w:rPr>
                <w:rFonts w:ascii="Calibri" w:hAnsi="Calibri"/>
                <w:color w:val="000000"/>
                <w:sz w:val="24"/>
              </w:rPr>
              <w:t>TWI</w:t>
            </w:r>
          </w:p>
        </w:tc>
        <w:tc>
          <w:tcPr>
            <w:tcW w:type="dxa" w:w="1728"/>
          </w:tcPr>
          <w:p>
            <w:r>
              <w:rPr>
                <w:rFonts w:ascii="Calibri" w:hAnsi="Calibri"/>
                <w:color w:val="000000"/>
                <w:sz w:val="24"/>
              </w:rPr>
              <w:t>0.9030</w:t>
            </w:r>
          </w:p>
        </w:tc>
        <w:tc>
          <w:tcPr>
            <w:tcW w:type="dxa" w:w="1728"/>
          </w:tcPr>
          <w:p>
            <w:r>
              <w:rPr>
                <w:rFonts w:ascii="Calibri" w:hAnsi="Calibri"/>
                <w:color w:val="000000"/>
                <w:sz w:val="24"/>
              </w:rPr>
              <w:t>0.2393</w:t>
            </w:r>
          </w:p>
        </w:tc>
        <w:tc>
          <w:tcPr>
            <w:tcW w:type="dxa" w:w="1728"/>
          </w:tcPr>
          <w:p>
            <w:r>
              <w:rPr>
                <w:rFonts w:ascii="Calibri" w:hAnsi="Calibri"/>
                <w:color w:val="000000"/>
                <w:sz w:val="24"/>
              </w:rPr>
              <w:t>0.2675</w:t>
            </w:r>
          </w:p>
        </w:tc>
        <w:tc>
          <w:tcPr>
            <w:tcW w:type="dxa" w:w="1728"/>
          </w:tcPr>
          <w:p>
            <w:r>
              <w:rPr>
                <w:rFonts w:ascii="Calibri" w:hAnsi="Calibri"/>
                <w:color w:val="000000"/>
                <w:sz w:val="24"/>
              </w:rPr>
              <w:t>0.8947</w:t>
            </w:r>
          </w:p>
        </w:tc>
      </w:tr>
      <w:tr>
        <w:tc>
          <w:tcPr>
            <w:tcW w:type="dxa" w:w="1728"/>
          </w:tcPr>
          <w:p>
            <w:r>
              <w:rPr>
                <w:rFonts w:ascii="Calibri" w:hAnsi="Calibri"/>
                <w:color w:val="000000"/>
                <w:sz w:val="24"/>
              </w:rPr>
              <w:t>SDR</w:t>
            </w:r>
          </w:p>
        </w:tc>
        <w:tc>
          <w:tcPr>
            <w:tcW w:type="dxa" w:w="1728"/>
          </w:tcPr>
          <w:p>
            <w:r>
              <w:rPr>
                <w:rFonts w:ascii="Calibri" w:hAnsi="Calibri"/>
                <w:color w:val="000000"/>
                <w:sz w:val="24"/>
              </w:rPr>
              <w:t>0.9623</w:t>
            </w:r>
          </w:p>
        </w:tc>
        <w:tc>
          <w:tcPr>
            <w:tcW w:type="dxa" w:w="1728"/>
          </w:tcPr>
          <w:p>
            <w:r>
              <w:rPr>
                <w:rFonts w:ascii="Calibri" w:hAnsi="Calibri"/>
                <w:color w:val="000000"/>
                <w:sz w:val="24"/>
              </w:rPr>
              <w:t>0.4474</w:t>
            </w:r>
          </w:p>
        </w:tc>
        <w:tc>
          <w:tcPr>
            <w:tcW w:type="dxa" w:w="1728"/>
          </w:tcPr>
          <w:p>
            <w:r>
              <w:rPr>
                <w:rFonts w:ascii="Calibri" w:hAnsi="Calibri"/>
                <w:color w:val="000000"/>
                <w:sz w:val="24"/>
              </w:rPr>
              <w:t>0.4492</w:t>
            </w:r>
          </w:p>
        </w:tc>
        <w:tc>
          <w:tcPr>
            <w:tcW w:type="dxa" w:w="1728"/>
          </w:tcPr>
          <w:p>
            <w:r>
              <w:rPr>
                <w:rFonts w:ascii="Calibri" w:hAnsi="Calibri"/>
                <w:color w:val="000000"/>
                <w:sz w:val="24"/>
              </w:rPr>
              <w:t>0.9960</w:t>
            </w:r>
          </w:p>
        </w:tc>
      </w:tr>
    </w:tbl>
    <w:p/>
    <w:p>
      <w:r>
        <w:rPr>
          <w:rFonts w:ascii="Calibri" w:hAnsi="Calibri"/>
          <w:color w:val="000000"/>
          <w:sz w:val="24"/>
        </w:rPr>
        <w:t>Since persistence &lt; 1 for all currencies, the unconditional variance is well-defined — none of the series exhibit IGARCH behaviour.</w:t>
      </w:r>
    </w:p>
    <w:p>
      <w:r>
        <w:rPr>
          <w:rFonts w:ascii="Calibri" w:hAnsi="Calibri"/>
          <w:color w:val="000000"/>
          <w:sz w:val="24"/>
        </w:rPr>
        <w:t>For CNY, TWI, and SDR the model variance sits close to or below the sample variance. CNY (ratio = 0.91) and TWI (ratio = 0.89) sit slightly below their sample variances because the March 2020 COVID-19 spike inflates the sample average but is treated as a temporary deviation by the GARCH model. SDR has a ratio of 0.996 — the GARCH long-run variance almost exactly matches the sample, indicating the model cleanly captures the unconditional volatility level. USD's model variance slightly exceeds its sample variance (ratio = 1.08), suggesting the GARCH long-run level is marginally above the in-sample average. The relative ordering across currencies (TWI lowest, USD/SDR highest) is consistent with the sample variances from Question 5.</w:t>
      </w:r>
    </w:p>
    <w:p>
      <w:r>
        <w:br w:type="page"/>
      </w:r>
    </w:p>
    <w:p>
      <w:pPr>
        <w:pStyle w:val="Heading2"/>
      </w:pPr>
      <w:r>
        <w:t>Question 8</w:t>
      </w:r>
    </w:p>
    <w:p>
      <w:pPr>
        <w:pStyle w:val="Heading3"/>
      </w:pPr>
      <w:r>
        <w:t>Probability of Return Below 0.01%</w:t>
      </w:r>
    </w:p>
    <w:p>
      <w:r>
        <w:rPr>
          <w:rFonts w:ascii="Calibri" w:hAnsi="Calibri"/>
          <w:color w:val="000000"/>
          <w:sz w:val="24"/>
        </w:rPr>
        <w:t>Using the fitted sGARCH models, two-step ahead forecasts of conditional mean and standard deviation are computed from the last observation (12 January 2026). Under the Normal distribution assumed for the errors, the probability is:</w:t>
      </w:r>
    </w:p>
    <w:p>
      <w:r>
        <w:rPr>
          <w:rFonts w:ascii="Calibri" w:hAnsi="Calibri"/>
          <w:color w:val="000000"/>
          <w:sz w:val="24"/>
        </w:rPr>
        <w:t xml:space="preserve">P(e_{j,t} &lt; 0.01) = </w:t>
      </w:r>
      <m:oMath>
        <m:r>
          <m:t>Φ</m:t>
        </m:r>
      </m:oMath>
      <w:r>
        <w:rPr>
          <w:rFonts w:ascii="Calibri" w:hAnsi="Calibri"/>
          <w:color w:val="000000"/>
          <w:sz w:val="24"/>
        </w:rPr>
        <w:t xml:space="preserve">((0.01 − </w:t>
      </w:r>
      <m:oMath>
        <m:r>
          <m:t>μ</m:t>
        </m:r>
      </m:oMath>
      <w:r>
        <w:rPr>
          <w:rFonts w:ascii="Calibri" w:hAnsi="Calibri"/>
          <w:color w:val="000000"/>
          <w:sz w:val="24"/>
        </w:rPr>
        <w:t xml:space="preserve">_{T+h}) / </w:t>
      </w:r>
      <m:oMath>
        <m:r>
          <m:t>σ</m:t>
        </m:r>
      </m:oMath>
      <w:r>
        <w:rPr>
          <w:rFonts w:ascii="Calibri" w:hAnsi="Calibri"/>
          <w:color w:val="000000"/>
          <w:sz w:val="24"/>
        </w:rPr>
        <w:t>_{T+h})</w:t>
      </w:r>
    </w:p>
    <w:p>
      <w:r>
        <w:rPr>
          <w:rFonts w:ascii="Calibri" w:hAnsi="Calibri"/>
          <w:color w:val="000000"/>
          <w:sz w:val="24"/>
        </w:rPr>
        <w:t xml:space="preserve">where </w:t>
      </w:r>
      <m:oMath>
        <m:r>
          <m:t>Φ</m:t>
        </m:r>
      </m:oMath>
      <w:r>
        <w:rPr>
          <w:rFonts w:ascii="Calibri" w:hAnsi="Calibri"/>
          <w:color w:val="000000"/>
          <w:sz w:val="24"/>
        </w:rPr>
        <w:t xml:space="preserve"> is the standard Normal CDF.</w:t>
      </w:r>
    </w:p>
    <w:p>
      <w:r>
        <w:rPr>
          <w:rFonts w:ascii="Calibri" w:hAnsi="Calibri"/>
          <w:b/>
          <w:color w:val="000000"/>
          <w:sz w:val="24"/>
        </w:rPr>
        <w:t>Results: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alibri" w:hAnsi="Calibri"/>
                <w:b/>
                <w:color w:val="000000"/>
                <w:sz w:val="24"/>
              </w:rPr>
              <w:t>Currency</w:t>
            </w:r>
          </w:p>
        </w:tc>
        <w:tc>
          <w:tcPr>
            <w:tcW w:type="dxa" w:w="1234"/>
          </w:tcPr>
          <w:p>
            <m:oMath>
              <m:r>
                <m:t>μ</m:t>
              </m:r>
            </m:oMath>
            <w:r>
              <w:rPr>
                <w:rFonts w:ascii="Calibri" w:hAnsi="Calibri"/>
                <w:b/>
                <w:color w:val="000000"/>
                <w:sz w:val="24"/>
              </w:rPr>
              <w:t>_{T+1}</w:t>
            </w:r>
          </w:p>
        </w:tc>
        <w:tc>
          <w:tcPr>
            <w:tcW w:type="dxa" w:w="1234"/>
          </w:tcPr>
          <w:p>
            <m:oMath>
              <m:r>
                <m:t>σ</m:t>
              </m:r>
            </m:oMath>
            <w:r>
              <w:rPr>
                <w:rFonts w:ascii="Calibri" w:hAnsi="Calibri"/>
                <w:b/>
                <w:color w:val="000000"/>
                <w:sz w:val="24"/>
              </w:rPr>
              <w:t>_{T+1}</w:t>
            </w:r>
          </w:p>
        </w:tc>
        <w:tc>
          <w:tcPr>
            <w:tcW w:type="dxa" w:w="1234"/>
          </w:tcPr>
          <w:p>
            <w:r>
              <w:rPr>
                <w:rFonts w:ascii="Calibri" w:hAnsi="Calibri"/>
                <w:b/>
                <w:color w:val="000000"/>
                <w:sz w:val="24"/>
              </w:rPr>
              <w:t>P(13/01)</w:t>
            </w:r>
          </w:p>
        </w:tc>
        <w:tc>
          <w:tcPr>
            <w:tcW w:type="dxa" w:w="1234"/>
          </w:tcPr>
          <w:p>
            <m:oMath>
              <m:r>
                <m:t>μ</m:t>
              </m:r>
            </m:oMath>
            <w:r>
              <w:rPr>
                <w:rFonts w:ascii="Calibri" w:hAnsi="Calibri"/>
                <w:b/>
                <w:color w:val="000000"/>
                <w:sz w:val="24"/>
              </w:rPr>
              <w:t>_{T+2}</w:t>
            </w:r>
          </w:p>
        </w:tc>
        <w:tc>
          <w:tcPr>
            <w:tcW w:type="dxa" w:w="1234"/>
          </w:tcPr>
          <w:p>
            <m:oMath>
              <m:r>
                <m:t>σ</m:t>
              </m:r>
            </m:oMath>
            <w:r>
              <w:rPr>
                <w:rFonts w:ascii="Calibri" w:hAnsi="Calibri"/>
                <w:b/>
                <w:color w:val="000000"/>
                <w:sz w:val="24"/>
              </w:rPr>
              <w:t>_{T+2}</w:t>
            </w:r>
          </w:p>
        </w:tc>
        <w:tc>
          <w:tcPr>
            <w:tcW w:type="dxa" w:w="1234"/>
          </w:tcPr>
          <w:p>
            <w:r>
              <w:rPr>
                <w:rFonts w:ascii="Calibri" w:hAnsi="Calibri"/>
                <w:b/>
                <w:color w:val="000000"/>
                <w:sz w:val="24"/>
              </w:rPr>
              <w:t>P(14/01)</w:t>
            </w:r>
          </w:p>
        </w:tc>
      </w:tr>
      <w:tr>
        <w:tc>
          <w:tcPr>
            <w:tcW w:type="dxa" w:w="1234"/>
          </w:tcPr>
          <w:p>
            <w:r>
              <w:rPr>
                <w:rFonts w:ascii="Calibri" w:hAnsi="Calibri"/>
                <w:color w:val="000000"/>
                <w:sz w:val="24"/>
              </w:rPr>
              <w:t>CNY</w:t>
            </w:r>
          </w:p>
        </w:tc>
        <w:tc>
          <w:tcPr>
            <w:tcW w:type="dxa" w:w="1234"/>
          </w:tcPr>
          <w:p>
            <w:r>
              <w:rPr>
                <w:rFonts w:ascii="Calibri" w:hAnsi="Calibri"/>
                <w:color w:val="000000"/>
                <w:sz w:val="24"/>
              </w:rPr>
              <w:t>−0.0121</w:t>
            </w:r>
          </w:p>
        </w:tc>
        <w:tc>
          <w:tcPr>
            <w:tcW w:type="dxa" w:w="1234"/>
          </w:tcPr>
          <w:p>
            <w:r>
              <w:rPr>
                <w:rFonts w:ascii="Calibri" w:hAnsi="Calibri"/>
                <w:color w:val="000000"/>
                <w:sz w:val="24"/>
              </w:rPr>
              <w:t>0.4946</w:t>
            </w:r>
          </w:p>
        </w:tc>
        <w:tc>
          <w:tcPr>
            <w:tcW w:type="dxa" w:w="1234"/>
          </w:tcPr>
          <w:p>
            <w:r>
              <w:rPr>
                <w:rFonts w:ascii="Calibri" w:hAnsi="Calibri"/>
                <w:color w:val="000000"/>
                <w:sz w:val="24"/>
              </w:rPr>
              <w:t>0.5178</w:t>
            </w:r>
          </w:p>
        </w:tc>
        <w:tc>
          <w:tcPr>
            <w:tcW w:type="dxa" w:w="1234"/>
          </w:tcPr>
          <w:p>
            <w:r>
              <w:rPr>
                <w:rFonts w:ascii="Calibri" w:hAnsi="Calibri"/>
                <w:color w:val="000000"/>
                <w:sz w:val="24"/>
              </w:rPr>
              <w:t>−0.0118</w:t>
            </w:r>
          </w:p>
        </w:tc>
        <w:tc>
          <w:tcPr>
            <w:tcW w:type="dxa" w:w="1234"/>
          </w:tcPr>
          <w:p>
            <w:r>
              <w:rPr>
                <w:rFonts w:ascii="Calibri" w:hAnsi="Calibri"/>
                <w:color w:val="000000"/>
                <w:sz w:val="24"/>
              </w:rPr>
              <w:t>0.5004</w:t>
            </w:r>
          </w:p>
        </w:tc>
        <w:tc>
          <w:tcPr>
            <w:tcW w:type="dxa" w:w="1234"/>
          </w:tcPr>
          <w:p>
            <w:r>
              <w:rPr>
                <w:rFonts w:ascii="Calibri" w:hAnsi="Calibri"/>
                <w:color w:val="000000"/>
                <w:sz w:val="24"/>
              </w:rPr>
              <w:t>0.5174</w:t>
            </w:r>
          </w:p>
        </w:tc>
      </w:tr>
      <w:tr>
        <w:tc>
          <w:tcPr>
            <w:tcW w:type="dxa" w:w="1234"/>
          </w:tcPr>
          <w:p>
            <w:r>
              <w:rPr>
                <w:rFonts w:ascii="Calibri" w:hAnsi="Calibri"/>
                <w:color w:val="000000"/>
                <w:sz w:val="24"/>
              </w:rPr>
              <w:t>USD</w:t>
            </w:r>
          </w:p>
        </w:tc>
        <w:tc>
          <w:tcPr>
            <w:tcW w:type="dxa" w:w="1234"/>
          </w:tcPr>
          <w:p>
            <w:r>
              <w:rPr>
                <w:rFonts w:ascii="Calibri" w:hAnsi="Calibri"/>
                <w:color w:val="000000"/>
                <w:sz w:val="24"/>
              </w:rPr>
              <w:t>−0.0025</w:t>
            </w:r>
          </w:p>
        </w:tc>
        <w:tc>
          <w:tcPr>
            <w:tcW w:type="dxa" w:w="1234"/>
          </w:tcPr>
          <w:p>
            <w:r>
              <w:rPr>
                <w:rFonts w:ascii="Calibri" w:hAnsi="Calibri"/>
                <w:color w:val="000000"/>
                <w:sz w:val="24"/>
              </w:rPr>
              <w:t>0.4931</w:t>
            </w:r>
          </w:p>
        </w:tc>
        <w:tc>
          <w:tcPr>
            <w:tcW w:type="dxa" w:w="1234"/>
          </w:tcPr>
          <w:p>
            <w:r>
              <w:rPr>
                <w:rFonts w:ascii="Calibri" w:hAnsi="Calibri"/>
                <w:color w:val="000000"/>
                <w:sz w:val="24"/>
              </w:rPr>
              <w:t>0.5101</w:t>
            </w:r>
          </w:p>
        </w:tc>
        <w:tc>
          <w:tcPr>
            <w:tcW w:type="dxa" w:w="1234"/>
          </w:tcPr>
          <w:p>
            <w:r>
              <w:rPr>
                <w:rFonts w:ascii="Calibri" w:hAnsi="Calibri"/>
                <w:color w:val="000000"/>
                <w:sz w:val="24"/>
              </w:rPr>
              <w:t>−0.0023</w:t>
            </w:r>
          </w:p>
        </w:tc>
        <w:tc>
          <w:tcPr>
            <w:tcW w:type="dxa" w:w="1234"/>
          </w:tcPr>
          <w:p>
            <w:r>
              <w:rPr>
                <w:rFonts w:ascii="Calibri" w:hAnsi="Calibri"/>
                <w:color w:val="000000"/>
                <w:sz w:val="24"/>
              </w:rPr>
              <w:t>0.4844</w:t>
            </w:r>
          </w:p>
        </w:tc>
        <w:tc>
          <w:tcPr>
            <w:tcW w:type="dxa" w:w="1234"/>
          </w:tcPr>
          <w:p>
            <w:r>
              <w:rPr>
                <w:rFonts w:ascii="Calibri" w:hAnsi="Calibri"/>
                <w:color w:val="000000"/>
                <w:sz w:val="24"/>
              </w:rPr>
              <w:t>0.5101</w:t>
            </w:r>
          </w:p>
        </w:tc>
      </w:tr>
      <w:tr>
        <w:tc>
          <w:tcPr>
            <w:tcW w:type="dxa" w:w="1234"/>
          </w:tcPr>
          <w:p>
            <w:r>
              <w:rPr>
                <w:rFonts w:ascii="Calibri" w:hAnsi="Calibri"/>
                <w:color w:val="000000"/>
                <w:sz w:val="24"/>
              </w:rPr>
              <w:t>TWI</w:t>
            </w:r>
          </w:p>
        </w:tc>
        <w:tc>
          <w:tcPr>
            <w:tcW w:type="dxa" w:w="1234"/>
          </w:tcPr>
          <w:p>
            <w:r>
              <w:rPr>
                <w:rFonts w:ascii="Calibri" w:hAnsi="Calibri"/>
                <w:color w:val="000000"/>
                <w:sz w:val="24"/>
              </w:rPr>
              <w:t>−0.0543</w:t>
            </w:r>
          </w:p>
        </w:tc>
        <w:tc>
          <w:tcPr>
            <w:tcW w:type="dxa" w:w="1234"/>
          </w:tcPr>
          <w:p>
            <w:r>
              <w:rPr>
                <w:rFonts w:ascii="Calibri" w:hAnsi="Calibri"/>
                <w:color w:val="000000"/>
                <w:sz w:val="24"/>
              </w:rPr>
              <w:t>0.4005</w:t>
            </w:r>
          </w:p>
        </w:tc>
        <w:tc>
          <w:tcPr>
            <w:tcW w:type="dxa" w:w="1234"/>
          </w:tcPr>
          <w:p>
            <w:r>
              <w:rPr>
                <w:rFonts w:ascii="Calibri" w:hAnsi="Calibri"/>
                <w:color w:val="000000"/>
                <w:sz w:val="24"/>
              </w:rPr>
              <w:t>0.5638</w:t>
            </w:r>
          </w:p>
        </w:tc>
        <w:tc>
          <w:tcPr>
            <w:tcW w:type="dxa" w:w="1234"/>
          </w:tcPr>
          <w:p>
            <w:r>
              <w:rPr>
                <w:rFonts w:ascii="Calibri" w:hAnsi="Calibri"/>
                <w:color w:val="000000"/>
                <w:sz w:val="24"/>
              </w:rPr>
              <w:t>−0.0014</w:t>
            </w:r>
          </w:p>
        </w:tc>
        <w:tc>
          <w:tcPr>
            <w:tcW w:type="dxa" w:w="1234"/>
          </w:tcPr>
          <w:p>
            <w:r>
              <w:rPr>
                <w:rFonts w:ascii="Calibri" w:hAnsi="Calibri"/>
                <w:color w:val="000000"/>
                <w:sz w:val="24"/>
              </w:rPr>
              <w:t>0.4075</w:t>
            </w:r>
          </w:p>
        </w:tc>
        <w:tc>
          <w:tcPr>
            <w:tcW w:type="dxa" w:w="1234"/>
          </w:tcPr>
          <w:p>
            <w:r>
              <w:rPr>
                <w:rFonts w:ascii="Calibri" w:hAnsi="Calibri"/>
                <w:color w:val="000000"/>
                <w:sz w:val="24"/>
              </w:rPr>
              <w:t>0.5111</w:t>
            </w:r>
          </w:p>
        </w:tc>
      </w:tr>
      <w:tr>
        <w:tc>
          <w:tcPr>
            <w:tcW w:type="dxa" w:w="1234"/>
          </w:tcPr>
          <w:p>
            <w:r>
              <w:rPr>
                <w:rFonts w:ascii="Calibri" w:hAnsi="Calibri"/>
                <w:color w:val="000000"/>
                <w:sz w:val="24"/>
              </w:rPr>
              <w:t>SDR</w:t>
            </w:r>
          </w:p>
        </w:tc>
        <w:tc>
          <w:tcPr>
            <w:tcW w:type="dxa" w:w="1234"/>
          </w:tcPr>
          <w:p>
            <w:r>
              <w:rPr>
                <w:rFonts w:ascii="Calibri" w:hAnsi="Calibri"/>
                <w:color w:val="000000"/>
                <w:sz w:val="24"/>
              </w:rPr>
              <w:t>−0.0505</w:t>
            </w:r>
          </w:p>
        </w:tc>
        <w:tc>
          <w:tcPr>
            <w:tcW w:type="dxa" w:w="1234"/>
          </w:tcPr>
          <w:p>
            <w:r>
              <w:rPr>
                <w:rFonts w:ascii="Calibri" w:hAnsi="Calibri"/>
                <w:color w:val="000000"/>
                <w:sz w:val="24"/>
              </w:rPr>
              <w:t>0.4792</w:t>
            </w:r>
          </w:p>
        </w:tc>
        <w:tc>
          <w:tcPr>
            <w:tcW w:type="dxa" w:w="1234"/>
          </w:tcPr>
          <w:p>
            <w:r>
              <w:rPr>
                <w:rFonts w:ascii="Calibri" w:hAnsi="Calibri"/>
                <w:color w:val="000000"/>
                <w:sz w:val="24"/>
              </w:rPr>
              <w:t>0.5503</w:t>
            </w:r>
          </w:p>
        </w:tc>
        <w:tc>
          <w:tcPr>
            <w:tcW w:type="dxa" w:w="1234"/>
          </w:tcPr>
          <w:p>
            <w:r>
              <w:rPr>
                <w:rFonts w:ascii="Calibri" w:hAnsi="Calibri"/>
                <w:color w:val="000000"/>
                <w:sz w:val="24"/>
              </w:rPr>
              <w:t>−0.0332</w:t>
            </w:r>
          </w:p>
        </w:tc>
        <w:tc>
          <w:tcPr>
            <w:tcW w:type="dxa" w:w="1234"/>
          </w:tcPr>
          <w:p>
            <w:r>
              <w:rPr>
                <w:rFonts w:ascii="Calibri" w:hAnsi="Calibri"/>
                <w:color w:val="000000"/>
                <w:sz w:val="24"/>
              </w:rPr>
              <w:t>0.4797</w:t>
            </w:r>
          </w:p>
        </w:tc>
        <w:tc>
          <w:tcPr>
            <w:tcW w:type="dxa" w:w="1234"/>
          </w:tcPr>
          <w:p>
            <w:r>
              <w:rPr>
                <w:rFonts w:ascii="Calibri" w:hAnsi="Calibri"/>
                <w:color w:val="000000"/>
                <w:sz w:val="24"/>
              </w:rPr>
              <w:t>0.5359</w:t>
            </w:r>
          </w:p>
        </w:tc>
      </w:tr>
    </w:tbl>
    <w:p/>
    <w:p>
      <w:r>
        <w:rPr>
          <w:rFonts w:ascii="Calibri" w:hAnsi="Calibri"/>
          <w:color w:val="000000"/>
          <w:sz w:val="24"/>
        </w:rPr>
        <w:t>All probabilities are slightly above 0.50 because mean returns are slightly negative — the AUD has depreciated modestly on average over the sample, so there is a marginally higher chance any given day's return falls below the 0.01% threshold.</w:t>
      </w:r>
    </w:p>
    <w:p>
      <w:r>
        <w:rPr>
          <w:rFonts w:ascii="Calibri" w:hAnsi="Calibri"/>
          <w:color w:val="000000"/>
          <w:sz w:val="24"/>
        </w:rPr>
        <w:t xml:space="preserve">For a foreign currency investor, a higher P(e &lt; 0.01%) means a higher chance of earning essentially zero or negative returns — more downside risk. The preferred currency is the one with the </w:t>
      </w:r>
      <w:r>
        <w:rPr>
          <w:rFonts w:ascii="Calibri" w:hAnsi="Calibri"/>
          <w:b/>
          <w:color w:val="000000"/>
          <w:sz w:val="24"/>
        </w:rPr>
        <w:t>lowest</w:t>
      </w:r>
      <w:r>
        <w:rPr>
          <w:rFonts w:ascii="Calibri" w:hAnsi="Calibri"/>
          <w:color w:val="000000"/>
          <w:sz w:val="24"/>
        </w:rPr>
        <w:t xml:space="preserve"> probability.</w:t>
      </w:r>
    </w:p>
    <w:p>
      <w:r>
        <w:rPr>
          <w:rFonts w:ascii="Calibri" w:hAnsi="Calibri"/>
          <w:color w:val="000000"/>
          <w:sz w:val="24"/>
        </w:rPr>
        <w:t xml:space="preserve">On </w:t>
      </w:r>
      <w:r>
        <w:rPr>
          <w:rFonts w:ascii="Calibri" w:hAnsi="Calibri"/>
          <w:b/>
          <w:color w:val="000000"/>
          <w:sz w:val="24"/>
        </w:rPr>
        <w:t>13 January</w:t>
      </w:r>
      <w:r>
        <w:rPr>
          <w:rFonts w:ascii="Calibri" w:hAnsi="Calibri"/>
          <w:color w:val="000000"/>
          <w:sz w:val="24"/>
        </w:rPr>
        <w:t xml:space="preserve">, the safest investment is </w:t>
      </w:r>
      <w:r>
        <w:rPr>
          <w:rFonts w:ascii="Calibri" w:hAnsi="Calibri"/>
          <w:b/>
          <w:color w:val="000000"/>
          <w:sz w:val="24"/>
        </w:rPr>
        <w:t>USD</w:t>
      </w:r>
      <w:r>
        <w:rPr>
          <w:rFonts w:ascii="Calibri" w:hAnsi="Calibri"/>
          <w:color w:val="000000"/>
          <w:sz w:val="24"/>
        </w:rPr>
        <w:t xml:space="preserve"> (P = 0.5101), followed by CNY (0.5178), SDR (0.5503), and TWI (0.5638). Both SDR and TWI show elevated downside risk on this date: TWI's T+1 conditional mean is −0.0543% (driven by ARMA(2,2) momentum amplifying the most recent negative return) and SDR's mean is −0.0505%, both pushing significant probability mass below the threshold despite moderate unconditional volatility.</w:t>
      </w:r>
    </w:p>
    <w:p>
      <w:r>
        <w:rPr>
          <w:rFonts w:ascii="Calibri" w:hAnsi="Calibri"/>
          <w:color w:val="000000"/>
          <w:sz w:val="24"/>
        </w:rPr>
        <w:t xml:space="preserve">On </w:t>
      </w:r>
      <w:r>
        <w:rPr>
          <w:rFonts w:ascii="Calibri" w:hAnsi="Calibri"/>
          <w:b/>
          <w:color w:val="000000"/>
          <w:sz w:val="24"/>
        </w:rPr>
        <w:t>14 January</w:t>
      </w:r>
      <w:r>
        <w:rPr>
          <w:rFonts w:ascii="Calibri" w:hAnsi="Calibri"/>
          <w:color w:val="000000"/>
          <w:sz w:val="24"/>
        </w:rPr>
        <w:t xml:space="preserve">, the ranking shifts as the ARMA mean equations partially revert. TWI (0.5111) drops sharply to near-USD levels and becomes second-safest, while </w:t>
      </w:r>
      <w:r>
        <w:rPr>
          <w:rFonts w:ascii="Calibri" w:hAnsi="Calibri"/>
          <w:b/>
          <w:color w:val="000000"/>
          <w:sz w:val="24"/>
        </w:rPr>
        <w:t>USD</w:t>
      </w:r>
      <w:r>
        <w:rPr>
          <w:rFonts w:ascii="Calibri" w:hAnsi="Calibri"/>
          <w:color w:val="000000"/>
          <w:sz w:val="24"/>
        </w:rPr>
        <w:t xml:space="preserve"> (0.5101) remains the safest. CNY (0.5174) stays stable. SDR (0.5359), however, remains notably elevated — its ARMA(2,2) mean equation reverts more slowly, maintaining a conditional mean of −0.0332% at T+2, making it the riskiest currency on the second day.</w:t>
      </w:r>
    </w:p>
    <w:p>
      <w:r>
        <w:rPr>
          <w:rFonts w:ascii="Calibri" w:hAnsi="Calibri"/>
          <w:color w:val="000000"/>
          <w:sz w:val="24"/>
        </w:rPr>
        <w:t>This illustrates how short-run ARMA dynamics can dominate the 1-step forecast but the degree of washout by the 2-step horizon varies by currency: TWI reverts almost completely, while SDR retains meaningful downside skew.</w:t>
      </w:r>
    </w:p>
    <w:p>
      <w:r>
        <w:rPr>
          <w:rFonts w:ascii="Calibri" w:hAnsi="Calibri"/>
          <w:color w:val="000000"/>
          <w:sz w:val="24"/>
        </w:rPr>
        <w:t xml:space="preserve">In practice, a risk manager would favour </w:t>
      </w:r>
      <w:r>
        <w:rPr>
          <w:rFonts w:ascii="Calibri" w:hAnsi="Calibri"/>
          <w:b/>
          <w:color w:val="000000"/>
          <w:sz w:val="24"/>
        </w:rPr>
        <w:t>USD</w:t>
      </w:r>
      <w:r>
        <w:rPr>
          <w:rFonts w:ascii="Calibri" w:hAnsi="Calibri"/>
          <w:color w:val="000000"/>
          <w:sz w:val="24"/>
        </w:rPr>
        <w:t xml:space="preserve"> given its consistently low and stable downside probability across both horizons. This is consistent with USD/AUD having a near-zero conditional mean (close to random-walk behaviour) and moderate volatility — making it the most predictably neutral investment over a 2-day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2026-04-15T05:10:27Z</dcterms:created>
  <dcterms:modified xsi:type="dcterms:W3CDTF">2026-04-15T05:10:27Z</dcterms:modified>
  <cp:category/>
</cp:coreProperties>
</file>