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 fig1_log_levels.png</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t>y_t</w:t>
            </w:r>
          </w:p>
        </w:tc>
        <w:tc>
          <w:tcPr>
            <w:tcW w:type="dxa" w:w="1728"/>
          </w:tcPr>
          <w:p>
            <w:r>
              <w:t>9.945124</w:t>
            </w:r>
          </w:p>
        </w:tc>
        <w:tc>
          <w:tcPr>
            <w:tcW w:type="dxa" w:w="1728"/>
          </w:tcPr>
          <w:p>
            <w:r>
              <w:t>0.004757</w:t>
            </w:r>
          </w:p>
        </w:tc>
        <w:tc>
          <w:tcPr>
            <w:tcW w:type="dxa" w:w="1728"/>
          </w:tcPr>
          <w:p>
            <w:r>
              <w:t>0.000042</w:t>
            </w:r>
          </w:p>
        </w:tc>
        <w:tc>
          <w:tcPr>
            <w:tcW w:type="dxa" w:w="1728"/>
          </w:tcPr>
          <w:p>
            <w:r>
              <w:t>0.9799</w:t>
            </w:r>
          </w:p>
        </w:tc>
      </w:tr>
      <w:tr>
        <w:tc>
          <w:tcPr>
            <w:tcW w:type="dxa" w:w="1728"/>
          </w:tcPr>
          <w:p>
            <w:r>
              <w:t>c_t</w:t>
            </w:r>
          </w:p>
        </w:tc>
        <w:tc>
          <w:tcPr>
            <w:tcW w:type="dxa" w:w="1728"/>
          </w:tcPr>
          <w:p>
            <w:r>
              <w:t>9.428678</w:t>
            </w:r>
          </w:p>
        </w:tc>
        <w:tc>
          <w:tcPr>
            <w:tcW w:type="dxa" w:w="1728"/>
          </w:tcPr>
          <w:p>
            <w:r>
              <w:t>0.005305</w:t>
            </w:r>
          </w:p>
        </w:tc>
        <w:tc>
          <w:tcPr>
            <w:tcW w:type="dxa" w:w="1728"/>
          </w:tcPr>
          <w:p>
            <w:r>
              <w:t>0.000043</w:t>
            </w:r>
          </w:p>
        </w:tc>
        <w:tc>
          <w:tcPr>
            <w:tcW w:type="dxa" w:w="1728"/>
          </w:tcPr>
          <w:p>
            <w:r>
              <w:t>0.9834</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0.009310</w:t>
            </w:r>
          </w:p>
        </w:tc>
      </w:tr>
      <w:tr>
        <w:tc>
          <w:tcPr>
            <w:tcW w:type="dxa" w:w="4320"/>
          </w:tcPr>
          <w:p>
            <w:r>
              <w:t>Δy_t</w:t>
            </w:r>
          </w:p>
        </w:tc>
        <w:tc>
          <w:tcPr>
            <w:tcW w:type="dxa" w:w="4320"/>
          </w:tcPr>
          <w:p>
            <w:r>
              <w:t>0.004919</w:t>
            </w:r>
          </w:p>
        </w:tc>
      </w:tr>
      <w:tr>
        <w:tc>
          <w:tcPr>
            <w:tcW w:type="dxa" w:w="4320"/>
          </w:tcPr>
          <w:p>
            <w:r>
              <w:t>Δc_t</w:t>
            </w:r>
          </w:p>
        </w:tc>
        <w:tc>
          <w:tcPr>
            <w:tcW w:type="dxa" w:w="4320"/>
          </w:tcPr>
          <w:p>
            <w:r>
              <w:t>0.005379</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0.004757 while the mean of Δy_t is 0.004919; for c_t, 0.005305 versus 0.005379. The gap is slightly larger for p_t (0.010125 versus 0.009310), which is consistent with the plot showing somewhat less smooth trend behaviour — the high-inflation 1970s and subsequent disinflation distort a single linear trend more than they distort the average of quarterly changes.</w:t>
      </w:r>
    </w:p>
    <w:p>
      <w:r>
        <w:t>This comparison alone does not establish whether the processes contain unit roots; that requires formal unit root testing.</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For inflation, ADF and KPSS tests support treating Δp_t as stationary (d = 0). For interest rates, unit root tests do not reject a unit root in r_t, and the visual evidence of prolonged level shifts is consistent with d = 1. Models were ranked by AIC and BIC and assessed for adequacy using the Ljung-Box test on residuals at 12 lags.</w:t>
      </w:r>
    </w:p>
    <w:p>
      <w:r>
        <w:t>For inflation, the three best adequate models — those ranked highly on both AIC and BIC and passing the Ljung-Box adequacy screen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ARIMA(2,0,10)</w:t>
            </w:r>
          </w:p>
        </w:tc>
        <w:tc>
          <w:tcPr>
            <w:tcW w:type="dxa" w:w="2160"/>
          </w:tcPr>
          <w:p>
            <w:r>
              <w:t>−2692.14</w:t>
            </w:r>
          </w:p>
        </w:tc>
        <w:tc>
          <w:tcPr>
            <w:tcW w:type="dxa" w:w="2160"/>
          </w:tcPr>
          <w:p>
            <w:r>
              <w:t>−2644.38</w:t>
            </w:r>
          </w:p>
        </w:tc>
        <w:tc>
          <w:tcPr>
            <w:tcW w:type="dxa" w:w="2160"/>
          </w:tcPr>
          <w:p>
            <w:r>
              <w:t>0.1243</w:t>
            </w:r>
          </w:p>
        </w:tc>
      </w:tr>
      <w:tr>
        <w:tc>
          <w:tcPr>
            <w:tcW w:type="dxa" w:w="2160"/>
          </w:tcPr>
          <w:p>
            <w:r>
              <w:t>ARIMA(4,0,9)</w:t>
            </w:r>
          </w:p>
        </w:tc>
        <w:tc>
          <w:tcPr>
            <w:tcW w:type="dxa" w:w="2160"/>
          </w:tcPr>
          <w:p>
            <w:r>
              <w:t>−2690.87</w:t>
            </w:r>
          </w:p>
        </w:tc>
        <w:tc>
          <w:tcPr>
            <w:tcW w:type="dxa" w:w="2160"/>
          </w:tcPr>
          <w:p>
            <w:r>
              <w:t>−2643.11</w:t>
            </w:r>
          </w:p>
        </w:tc>
        <w:tc>
          <w:tcPr>
            <w:tcW w:type="dxa" w:w="2160"/>
          </w:tcPr>
          <w:p>
            <w:r>
              <w:t>0.1087</w:t>
            </w:r>
          </w:p>
        </w:tc>
      </w:tr>
      <w:tr>
        <w:tc>
          <w:tcPr>
            <w:tcW w:type="dxa" w:w="2160"/>
          </w:tcPr>
          <w:p>
            <w:r>
              <w:t>ARIMA(2,0,9)</w:t>
            </w:r>
          </w:p>
        </w:tc>
        <w:tc>
          <w:tcPr>
            <w:tcW w:type="dxa" w:w="2160"/>
          </w:tcPr>
          <w:p>
            <w:r>
              <w:t>−2689.53</w:t>
            </w:r>
          </w:p>
        </w:tc>
        <w:tc>
          <w:tcPr>
            <w:tcW w:type="dxa" w:w="2160"/>
          </w:tcPr>
          <w:p>
            <w:r>
              <w:t>−2645.32</w:t>
            </w:r>
          </w:p>
        </w:tc>
        <w:tc>
          <w:tcPr>
            <w:tcW w:type="dxa" w:w="2160"/>
          </w:tcPr>
          <w:p>
            <w:r>
              <w:t>0.0981</w:t>
            </w:r>
          </w:p>
        </w:tc>
      </w:tr>
    </w:tbl>
    <w:p/>
    <w:p>
      <w:r>
        <w:t>All three require higher-order MA terms, consistent with inflation having richer short-run autocorrelation structure than simpler low-order specifications capture. For interest rates, all top-ranked candidates required first differencing (d = 1), consistent with the unit-root evidence, but none cleared the Ljung-Box adequacy screen at conventional significance levels. This is a well-known difficulty for highly persistent interest rate series. Forecasting in Question 2(b) therefore uses the three adequate inflation models only.</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ARIMA(2,0,10)</w:t>
            </w:r>
          </w:p>
        </w:tc>
        <w:tc>
          <w:tcPr>
            <w:tcW w:type="dxa" w:w="1080"/>
          </w:tcPr>
          <w:p>
            <w:r>
              <w:t>ARIMA(4,0,9)</w:t>
            </w:r>
          </w:p>
        </w:tc>
        <w:tc>
          <w:tcPr>
            <w:tcW w:type="dxa" w:w="1080"/>
          </w:tcPr>
          <w:p>
            <w:r>
              <w:t>ARIMA(2,0,9)</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0.008712</w:t>
            </w:r>
          </w:p>
        </w:tc>
        <w:tc>
          <w:tcPr>
            <w:tcW w:type="dxa" w:w="1080"/>
          </w:tcPr>
          <w:p>
            <w:r>
              <w:t>0.008681</w:t>
            </w:r>
          </w:p>
        </w:tc>
        <w:tc>
          <w:tcPr>
            <w:tcW w:type="dxa" w:w="1080"/>
          </w:tcPr>
          <w:p>
            <w:r>
              <w:t>0.008697</w:t>
            </w:r>
          </w:p>
        </w:tc>
        <w:tc>
          <w:tcPr>
            <w:tcW w:type="dxa" w:w="1080"/>
          </w:tcPr>
          <w:p>
            <w:r>
              <w:t>0.007427</w:t>
            </w:r>
          </w:p>
        </w:tc>
        <w:tc>
          <w:tcPr>
            <w:tcW w:type="dxa" w:w="1080"/>
          </w:tcPr>
          <w:p>
            <w:r>
              <w:t>0.009997</w:t>
            </w:r>
          </w:p>
        </w:tc>
        <w:tc>
          <w:tcPr>
            <w:tcW w:type="dxa" w:w="1080"/>
          </w:tcPr>
          <w:p>
            <w:r>
              <w:t>0.006194</w:t>
            </w:r>
          </w:p>
        </w:tc>
        <w:tc>
          <w:tcPr>
            <w:tcW w:type="dxa" w:w="1080"/>
          </w:tcPr>
          <w:p>
            <w:r>
              <w:t>0.011230</w:t>
            </w:r>
          </w:p>
        </w:tc>
      </w:tr>
      <w:tr>
        <w:tc>
          <w:tcPr>
            <w:tcW w:type="dxa" w:w="1080"/>
          </w:tcPr>
          <w:p>
            <w:r>
              <w:t>2024Q2</w:t>
            </w:r>
          </w:p>
        </w:tc>
        <w:tc>
          <w:tcPr>
            <w:tcW w:type="dxa" w:w="1080"/>
          </w:tcPr>
          <w:p>
            <w:r>
              <w:t>0.008543</w:t>
            </w:r>
          </w:p>
        </w:tc>
        <w:tc>
          <w:tcPr>
            <w:tcW w:type="dxa" w:w="1080"/>
          </w:tcPr>
          <w:p>
            <w:r>
              <w:t>0.008498</w:t>
            </w:r>
          </w:p>
        </w:tc>
        <w:tc>
          <w:tcPr>
            <w:tcW w:type="dxa" w:w="1080"/>
          </w:tcPr>
          <w:p>
            <w:r>
              <w:t>0.008521</w:t>
            </w:r>
          </w:p>
        </w:tc>
        <w:tc>
          <w:tcPr>
            <w:tcW w:type="dxa" w:w="1080"/>
          </w:tcPr>
          <w:p>
            <w:r>
              <w:t>0.006178</w:t>
            </w:r>
          </w:p>
        </w:tc>
        <w:tc>
          <w:tcPr>
            <w:tcW w:type="dxa" w:w="1080"/>
          </w:tcPr>
          <w:p>
            <w:r>
              <w:t>0.010908</w:t>
            </w:r>
          </w:p>
        </w:tc>
        <w:tc>
          <w:tcPr>
            <w:tcW w:type="dxa" w:w="1080"/>
          </w:tcPr>
          <w:p>
            <w:r>
              <w:t>0.003908</w:t>
            </w:r>
          </w:p>
        </w:tc>
        <w:tc>
          <w:tcPr>
            <w:tcW w:type="dxa" w:w="1080"/>
          </w:tcPr>
          <w:p>
            <w:r>
              <w:t>0.013178</w:t>
            </w:r>
          </w:p>
        </w:tc>
      </w:tr>
      <w:tr>
        <w:tc>
          <w:tcPr>
            <w:tcW w:type="dxa" w:w="1080"/>
          </w:tcPr>
          <w:p>
            <w:r>
              <w:t>2024Q3</w:t>
            </w:r>
          </w:p>
        </w:tc>
        <w:tc>
          <w:tcPr>
            <w:tcW w:type="dxa" w:w="1080"/>
          </w:tcPr>
          <w:p>
            <w:r>
              <w:t>0.008948</w:t>
            </w:r>
          </w:p>
        </w:tc>
        <w:tc>
          <w:tcPr>
            <w:tcW w:type="dxa" w:w="1080"/>
          </w:tcPr>
          <w:p>
            <w:r>
              <w:t>0.008906</w:t>
            </w:r>
          </w:p>
        </w:tc>
        <w:tc>
          <w:tcPr>
            <w:tcW w:type="dxa" w:w="1080"/>
          </w:tcPr>
          <w:p>
            <w:r>
              <w:t>0.008934</w:t>
            </w:r>
          </w:p>
        </w:tc>
        <w:tc>
          <w:tcPr>
            <w:tcW w:type="dxa" w:w="1080"/>
          </w:tcPr>
          <w:p>
            <w:r>
              <w:t>0.005602</w:t>
            </w:r>
          </w:p>
        </w:tc>
        <w:tc>
          <w:tcPr>
            <w:tcW w:type="dxa" w:w="1080"/>
          </w:tcPr>
          <w:p>
            <w:r>
              <w:t>0.012294</w:t>
            </w:r>
          </w:p>
        </w:tc>
        <w:tc>
          <w:tcPr>
            <w:tcW w:type="dxa" w:w="1080"/>
          </w:tcPr>
          <w:p>
            <w:r>
              <w:t>0.002389</w:t>
            </w:r>
          </w:p>
        </w:tc>
        <w:tc>
          <w:tcPr>
            <w:tcW w:type="dxa" w:w="1080"/>
          </w:tcPr>
          <w:p>
            <w:r>
              <w:t>0.015507</w:t>
            </w:r>
          </w:p>
        </w:tc>
      </w:tr>
      <w:tr>
        <w:tc>
          <w:tcPr>
            <w:tcW w:type="dxa" w:w="1080"/>
          </w:tcPr>
          <w:p>
            <w:r>
              <w:t>2024Q4</w:t>
            </w:r>
          </w:p>
        </w:tc>
        <w:tc>
          <w:tcPr>
            <w:tcW w:type="dxa" w:w="1080"/>
          </w:tcPr>
          <w:p>
            <w:r>
              <w:t>0.008871</w:t>
            </w:r>
          </w:p>
        </w:tc>
        <w:tc>
          <w:tcPr>
            <w:tcW w:type="dxa" w:w="1080"/>
          </w:tcPr>
          <w:p>
            <w:r>
              <w:t>0.008835</w:t>
            </w:r>
          </w:p>
        </w:tc>
        <w:tc>
          <w:tcPr>
            <w:tcW w:type="dxa" w:w="1080"/>
          </w:tcPr>
          <w:p>
            <w:r>
              <w:t>0.008862</w:t>
            </w:r>
          </w:p>
        </w:tc>
        <w:tc>
          <w:tcPr>
            <w:tcW w:type="dxa" w:w="1080"/>
          </w:tcPr>
          <w:p>
            <w:r>
              <w:t>0.004356</w:t>
            </w:r>
          </w:p>
        </w:tc>
        <w:tc>
          <w:tcPr>
            <w:tcW w:type="dxa" w:w="1080"/>
          </w:tcPr>
          <w:p>
            <w:r>
              <w:t>0.013386</w:t>
            </w:r>
          </w:p>
        </w:tc>
        <w:tc>
          <w:tcPr>
            <w:tcW w:type="dxa" w:w="1080"/>
          </w:tcPr>
          <w:p>
            <w:r>
              <w:t>0.000021</w:t>
            </w:r>
          </w:p>
        </w:tc>
        <w:tc>
          <w:tcPr>
            <w:tcW w:type="dxa" w:w="1080"/>
          </w:tcPr>
          <w:p>
            <w:r>
              <w:t>0.017721</w:t>
            </w:r>
          </w:p>
        </w:tc>
      </w:tr>
      <w:tr>
        <w:tc>
          <w:tcPr>
            <w:tcW w:type="dxa" w:w="1080"/>
          </w:tcPr>
          <w:p>
            <w:r>
              <w:t>2025Q1</w:t>
            </w:r>
          </w:p>
        </w:tc>
        <w:tc>
          <w:tcPr>
            <w:tcW w:type="dxa" w:w="1080"/>
          </w:tcPr>
          <w:p>
            <w:r>
              <w:t>0.008816</w:t>
            </w:r>
          </w:p>
        </w:tc>
        <w:tc>
          <w:tcPr>
            <w:tcW w:type="dxa" w:w="1080"/>
          </w:tcPr>
          <w:p>
            <w:r>
              <w:t>0.008791</w:t>
            </w:r>
          </w:p>
        </w:tc>
        <w:tc>
          <w:tcPr>
            <w:tcW w:type="dxa" w:w="1080"/>
          </w:tcPr>
          <w:p>
            <w:r>
              <w:t>0.008807</w:t>
            </w:r>
          </w:p>
        </w:tc>
        <w:tc>
          <w:tcPr>
            <w:tcW w:type="dxa" w:w="1080"/>
          </w:tcPr>
          <w:p>
            <w:r>
              <w:t>0.003798</w:t>
            </w:r>
          </w:p>
        </w:tc>
        <w:tc>
          <w:tcPr>
            <w:tcW w:type="dxa" w:w="1080"/>
          </w:tcPr>
          <w:p>
            <w:r>
              <w:t>0.013834</w:t>
            </w:r>
          </w:p>
        </w:tc>
        <w:tc>
          <w:tcPr>
            <w:tcW w:type="dxa" w:w="1080"/>
          </w:tcPr>
          <w:p>
            <w:r>
              <w:t>−0.001019</w:t>
            </w:r>
          </w:p>
        </w:tc>
        <w:tc>
          <w:tcPr>
            <w:tcW w:type="dxa" w:w="1080"/>
          </w:tcPr>
          <w:p>
            <w:r>
              <w:t>0.018651</w:t>
            </w:r>
          </w:p>
        </w:tc>
      </w:tr>
      <w:tr>
        <w:tc>
          <w:tcPr>
            <w:tcW w:type="dxa" w:w="1080"/>
          </w:tcPr>
          <w:p>
            <w:r>
              <w:t>2025Q2</w:t>
            </w:r>
          </w:p>
        </w:tc>
        <w:tc>
          <w:tcPr>
            <w:tcW w:type="dxa" w:w="1080"/>
          </w:tcPr>
          <w:p>
            <w:r>
              <w:t>0.008883</w:t>
            </w:r>
          </w:p>
        </w:tc>
        <w:tc>
          <w:tcPr>
            <w:tcW w:type="dxa" w:w="1080"/>
          </w:tcPr>
          <w:p>
            <w:r>
              <w:t>0.008861</w:t>
            </w:r>
          </w:p>
        </w:tc>
        <w:tc>
          <w:tcPr>
            <w:tcW w:type="dxa" w:w="1080"/>
          </w:tcPr>
          <w:p>
            <w:r>
              <w:t>0.008876</w:t>
            </w:r>
          </w:p>
        </w:tc>
        <w:tc>
          <w:tcPr>
            <w:tcW w:type="dxa" w:w="1080"/>
          </w:tcPr>
          <w:p>
            <w:r>
              <w:t>0.003490</w:t>
            </w:r>
          </w:p>
        </w:tc>
        <w:tc>
          <w:tcPr>
            <w:tcW w:type="dxa" w:w="1080"/>
          </w:tcPr>
          <w:p>
            <w:r>
              <w:t>0.014276</w:t>
            </w:r>
          </w:p>
        </w:tc>
        <w:tc>
          <w:tcPr>
            <w:tcW w:type="dxa" w:w="1080"/>
          </w:tcPr>
          <w:p>
            <w:r>
              <w:t>−0.001688</w:t>
            </w:r>
          </w:p>
        </w:tc>
        <w:tc>
          <w:tcPr>
            <w:tcW w:type="dxa" w:w="1080"/>
          </w:tcPr>
          <w:p>
            <w:r>
              <w:t>0.019454</w:t>
            </w:r>
          </w:p>
        </w:tc>
      </w:tr>
      <w:tr>
        <w:tc>
          <w:tcPr>
            <w:tcW w:type="dxa" w:w="1080"/>
          </w:tcPr>
          <w:p>
            <w:r>
              <w:t>2025Q3</w:t>
            </w:r>
          </w:p>
        </w:tc>
        <w:tc>
          <w:tcPr>
            <w:tcW w:type="dxa" w:w="1080"/>
          </w:tcPr>
          <w:p>
            <w:r>
              <w:t>0.008892</w:t>
            </w:r>
          </w:p>
        </w:tc>
        <w:tc>
          <w:tcPr>
            <w:tcW w:type="dxa" w:w="1080"/>
          </w:tcPr>
          <w:p>
            <w:r>
              <w:t>0.008873</w:t>
            </w:r>
          </w:p>
        </w:tc>
        <w:tc>
          <w:tcPr>
            <w:tcW w:type="dxa" w:w="1080"/>
          </w:tcPr>
          <w:p>
            <w:r>
              <w:t>0.008888</w:t>
            </w:r>
          </w:p>
        </w:tc>
        <w:tc>
          <w:tcPr>
            <w:tcW w:type="dxa" w:w="1080"/>
          </w:tcPr>
          <w:p>
            <w:r>
              <w:t>0.003158</w:t>
            </w:r>
          </w:p>
        </w:tc>
        <w:tc>
          <w:tcPr>
            <w:tcW w:type="dxa" w:w="1080"/>
          </w:tcPr>
          <w:p>
            <w:r>
              <w:t>0.014626</w:t>
            </w:r>
          </w:p>
        </w:tc>
        <w:tc>
          <w:tcPr>
            <w:tcW w:type="dxa" w:w="1080"/>
          </w:tcPr>
          <w:p>
            <w:r>
              <w:t>−0.002347</w:t>
            </w:r>
          </w:p>
        </w:tc>
        <w:tc>
          <w:tcPr>
            <w:tcW w:type="dxa" w:w="1080"/>
          </w:tcPr>
          <w:p>
            <w:r>
              <w:t>0.020131</w:t>
            </w:r>
          </w:p>
        </w:tc>
      </w:tr>
      <w:tr>
        <w:tc>
          <w:tcPr>
            <w:tcW w:type="dxa" w:w="1080"/>
          </w:tcPr>
          <w:p>
            <w:r>
              <w:t>2025Q4</w:t>
            </w:r>
          </w:p>
        </w:tc>
        <w:tc>
          <w:tcPr>
            <w:tcW w:type="dxa" w:w="1080"/>
          </w:tcPr>
          <w:p>
            <w:r>
              <w:t>0.008889</w:t>
            </w:r>
          </w:p>
        </w:tc>
        <w:tc>
          <w:tcPr>
            <w:tcW w:type="dxa" w:w="1080"/>
          </w:tcPr>
          <w:p>
            <w:r>
              <w:t>0.008874</w:t>
            </w:r>
          </w:p>
        </w:tc>
        <w:tc>
          <w:tcPr>
            <w:tcW w:type="dxa" w:w="1080"/>
          </w:tcPr>
          <w:p>
            <w:r>
              <w:t>0.008884</w:t>
            </w:r>
          </w:p>
        </w:tc>
        <w:tc>
          <w:tcPr>
            <w:tcW w:type="dxa" w:w="1080"/>
          </w:tcPr>
          <w:p>
            <w:r>
              <w:t>0.002904</w:t>
            </w:r>
          </w:p>
        </w:tc>
        <w:tc>
          <w:tcPr>
            <w:tcW w:type="dxa" w:w="1080"/>
          </w:tcPr>
          <w:p>
            <w:r>
              <w:t>0.014874</w:t>
            </w:r>
          </w:p>
        </w:tc>
        <w:tc>
          <w:tcPr>
            <w:tcW w:type="dxa" w:w="1080"/>
          </w:tcPr>
          <w:p>
            <w:r>
              <w:t>−0.002841</w:t>
            </w:r>
          </w:p>
        </w:tc>
        <w:tc>
          <w:tcPr>
            <w:tcW w:type="dxa" w:w="1080"/>
          </w:tcPr>
          <w:p>
            <w:r>
              <w:t>0.020619</w:t>
            </w:r>
          </w:p>
        </w:tc>
      </w:tr>
    </w:tbl>
    <w:p/>
    <w:p>
      <w:r>
        <w:t>All three models forecast quarterly inflation converging toward a long-run mean just under 0.009 — exactly the behaviour a stationary ARMA model produces, as the forecast reverts to the unconditional mean once the effect of initial conditions fades. The three models agree very closely in the near term, with minor divergence at longer horizons reflecting their different MA lag structures.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ARIMA(2,0,10),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drawing>
          <wp:inline xmlns:a="http://schemas.openxmlformats.org/drawingml/2006/main" xmlns:pic="http://schemas.openxmlformats.org/drawingml/2006/picture">
            <wp:extent cx="5852160" cy="2351803"/>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51803"/>
                    </a:xfrm>
                    <a:prstGeom prst="rect"/>
                  </pic:spPr>
                </pic:pic>
              </a:graphicData>
            </a:graphic>
          </wp:inline>
        </w:drawing>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ARIMA(2,0,10)</w:t>
            </w:r>
          </w:p>
        </w:tc>
        <w:tc>
          <w:tcPr>
            <w:tcW w:type="dxa" w:w="1728"/>
          </w:tcPr>
          <w:p>
            <w:r>
              <w:t>ARIMA(4,0,9)</w:t>
            </w:r>
          </w:p>
        </w:tc>
        <w:tc>
          <w:tcPr>
            <w:tcW w:type="dxa" w:w="1728"/>
          </w:tcPr>
          <w:p>
            <w:r>
              <w:t>ARIMA(2,0,9)</w:t>
            </w:r>
          </w:p>
        </w:tc>
      </w:tr>
      <w:tr>
        <w:tc>
          <w:tcPr>
            <w:tcW w:type="dxa" w:w="1728"/>
          </w:tcPr>
          <w:p>
            <w:r>
              <w:t>2024Q1</w:t>
            </w:r>
          </w:p>
        </w:tc>
        <w:tc>
          <w:tcPr>
            <w:tcW w:type="dxa" w:w="1728"/>
          </w:tcPr>
          <w:p>
            <w:r>
              <w:t>0.007977</w:t>
            </w:r>
          </w:p>
        </w:tc>
        <w:tc>
          <w:tcPr>
            <w:tcW w:type="dxa" w:w="1728"/>
          </w:tcPr>
          <w:p>
            <w:r>
              <w:t>0.008712</w:t>
            </w:r>
          </w:p>
        </w:tc>
        <w:tc>
          <w:tcPr>
            <w:tcW w:type="dxa" w:w="1728"/>
          </w:tcPr>
          <w:p>
            <w:r>
              <w:t>0.008681</w:t>
            </w:r>
          </w:p>
        </w:tc>
        <w:tc>
          <w:tcPr>
            <w:tcW w:type="dxa" w:w="1728"/>
          </w:tcPr>
          <w:p>
            <w:r>
              <w:t>0.008697</w:t>
            </w:r>
          </w:p>
        </w:tc>
      </w:tr>
      <w:tr>
        <w:tc>
          <w:tcPr>
            <w:tcW w:type="dxa" w:w="1728"/>
          </w:tcPr>
          <w:p>
            <w:r>
              <w:t>2024Q2</w:t>
            </w:r>
          </w:p>
        </w:tc>
        <w:tc>
          <w:tcPr>
            <w:tcW w:type="dxa" w:w="1728"/>
          </w:tcPr>
          <w:p>
            <w:r>
              <w:t>0.008286</w:t>
            </w:r>
          </w:p>
        </w:tc>
        <w:tc>
          <w:tcPr>
            <w:tcW w:type="dxa" w:w="1728"/>
          </w:tcPr>
          <w:p>
            <w:r>
              <w:t>0.008543</w:t>
            </w:r>
          </w:p>
        </w:tc>
        <w:tc>
          <w:tcPr>
            <w:tcW w:type="dxa" w:w="1728"/>
          </w:tcPr>
          <w:p>
            <w:r>
              <w:t>0.008498</w:t>
            </w:r>
          </w:p>
        </w:tc>
        <w:tc>
          <w:tcPr>
            <w:tcW w:type="dxa" w:w="1728"/>
          </w:tcPr>
          <w:p>
            <w:r>
              <w:t>0.008521</w:t>
            </w:r>
          </w:p>
        </w:tc>
      </w:tr>
      <w:tr>
        <w:tc>
          <w:tcPr>
            <w:tcW w:type="dxa" w:w="1728"/>
          </w:tcPr>
          <w:p>
            <w:r>
              <w:t>2024Q3</w:t>
            </w:r>
          </w:p>
        </w:tc>
        <w:tc>
          <w:tcPr>
            <w:tcW w:type="dxa" w:w="1728"/>
          </w:tcPr>
          <w:p>
            <w:r>
              <w:t>0.007614</w:t>
            </w:r>
          </w:p>
        </w:tc>
        <w:tc>
          <w:tcPr>
            <w:tcW w:type="dxa" w:w="1728"/>
          </w:tcPr>
          <w:p>
            <w:r>
              <w:t>0.008948</w:t>
            </w:r>
          </w:p>
        </w:tc>
        <w:tc>
          <w:tcPr>
            <w:tcW w:type="dxa" w:w="1728"/>
          </w:tcPr>
          <w:p>
            <w:r>
              <w:t>0.008906</w:t>
            </w:r>
          </w:p>
        </w:tc>
        <w:tc>
          <w:tcPr>
            <w:tcW w:type="dxa" w:w="1728"/>
          </w:tcPr>
          <w:p>
            <w:r>
              <w:t>0.008934</w:t>
            </w:r>
          </w:p>
        </w:tc>
      </w:tr>
      <w:tr>
        <w:tc>
          <w:tcPr>
            <w:tcW w:type="dxa" w:w="1728"/>
          </w:tcPr>
          <w:p>
            <w:r>
              <w:t>2024Q4</w:t>
            </w:r>
          </w:p>
        </w:tc>
        <w:tc>
          <w:tcPr>
            <w:tcW w:type="dxa" w:w="1728"/>
          </w:tcPr>
          <w:p>
            <w:r>
              <w:t>0.006356</w:t>
            </w:r>
          </w:p>
        </w:tc>
        <w:tc>
          <w:tcPr>
            <w:tcW w:type="dxa" w:w="1728"/>
          </w:tcPr>
          <w:p>
            <w:r>
              <w:t>0.008871</w:t>
            </w:r>
          </w:p>
        </w:tc>
        <w:tc>
          <w:tcPr>
            <w:tcW w:type="dxa" w:w="1728"/>
          </w:tcPr>
          <w:p>
            <w:r>
              <w:t>0.008835</w:t>
            </w:r>
          </w:p>
        </w:tc>
        <w:tc>
          <w:tcPr>
            <w:tcW w:type="dxa" w:w="1728"/>
          </w:tcPr>
          <w:p>
            <w:r>
              <w:t>0.008862</w:t>
            </w:r>
          </w:p>
        </w:tc>
      </w:tr>
      <w:tr>
        <w:tc>
          <w:tcPr>
            <w:tcW w:type="dxa" w:w="1728"/>
          </w:tcPr>
          <w:p>
            <w:r>
              <w:t>2025Q1</w:t>
            </w:r>
          </w:p>
        </w:tc>
        <w:tc>
          <w:tcPr>
            <w:tcW w:type="dxa" w:w="1728"/>
          </w:tcPr>
          <w:p>
            <w:r>
              <w:t>0.007111</w:t>
            </w:r>
          </w:p>
        </w:tc>
        <w:tc>
          <w:tcPr>
            <w:tcW w:type="dxa" w:w="1728"/>
          </w:tcPr>
          <w:p>
            <w:r>
              <w:t>0.008816</w:t>
            </w:r>
          </w:p>
        </w:tc>
        <w:tc>
          <w:tcPr>
            <w:tcW w:type="dxa" w:w="1728"/>
          </w:tcPr>
          <w:p>
            <w:r>
              <w:t>0.008791</w:t>
            </w:r>
          </w:p>
        </w:tc>
        <w:tc>
          <w:tcPr>
            <w:tcW w:type="dxa" w:w="1728"/>
          </w:tcPr>
          <w:p>
            <w:r>
              <w:t>0.008807</w:t>
            </w:r>
          </w:p>
        </w:tc>
      </w:tr>
      <w:tr>
        <w:tc>
          <w:tcPr>
            <w:tcW w:type="dxa" w:w="1728"/>
          </w:tcPr>
          <w:p>
            <w:r>
              <w:t>2025Q2</w:t>
            </w:r>
          </w:p>
        </w:tc>
        <w:tc>
          <w:tcPr>
            <w:tcW w:type="dxa" w:w="1728"/>
          </w:tcPr>
          <w:p>
            <w:r>
              <w:t>0.006337</w:t>
            </w:r>
          </w:p>
        </w:tc>
        <w:tc>
          <w:tcPr>
            <w:tcW w:type="dxa" w:w="1728"/>
          </w:tcPr>
          <w:p>
            <w:r>
              <w:t>0.008883</w:t>
            </w:r>
          </w:p>
        </w:tc>
        <w:tc>
          <w:tcPr>
            <w:tcW w:type="dxa" w:w="1728"/>
          </w:tcPr>
          <w:p>
            <w:r>
              <w:t>0.008861</w:t>
            </w:r>
          </w:p>
        </w:tc>
        <w:tc>
          <w:tcPr>
            <w:tcW w:type="dxa" w:w="1728"/>
          </w:tcPr>
          <w:p>
            <w:r>
              <w:t>0.008876</w:t>
            </w:r>
          </w:p>
        </w:tc>
      </w:tr>
      <w:tr>
        <w:tc>
          <w:tcPr>
            <w:tcW w:type="dxa" w:w="1728"/>
          </w:tcPr>
          <w:p>
            <w:r>
              <w:t>2025Q3</w:t>
            </w:r>
          </w:p>
        </w:tc>
        <w:tc>
          <w:tcPr>
            <w:tcW w:type="dxa" w:w="1728"/>
          </w:tcPr>
          <w:p>
            <w:r>
              <w:t>0.006428</w:t>
            </w:r>
          </w:p>
        </w:tc>
        <w:tc>
          <w:tcPr>
            <w:tcW w:type="dxa" w:w="1728"/>
          </w:tcPr>
          <w:p>
            <w:r>
              <w:t>0.008892</w:t>
            </w:r>
          </w:p>
        </w:tc>
        <w:tc>
          <w:tcPr>
            <w:tcW w:type="dxa" w:w="1728"/>
          </w:tcPr>
          <w:p>
            <w:r>
              <w:t>0.008873</w:t>
            </w:r>
          </w:p>
        </w:tc>
        <w:tc>
          <w:tcPr>
            <w:tcW w:type="dxa" w:w="1728"/>
          </w:tcPr>
          <w:p>
            <w:r>
              <w:t>0.008888</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ARIMA(2,0,10)</w:t>
            </w:r>
          </w:p>
        </w:tc>
        <w:tc>
          <w:tcPr>
            <w:tcW w:type="dxa" w:w="2160"/>
          </w:tcPr>
          <w:p>
            <w:r>
              <w:t>3.3712e−06</w:t>
            </w:r>
          </w:p>
        </w:tc>
        <w:tc>
          <w:tcPr>
            <w:tcW w:type="dxa" w:w="2160"/>
          </w:tcPr>
          <w:p>
            <w:r>
              <w:t>0.001836</w:t>
            </w:r>
          </w:p>
        </w:tc>
        <w:tc>
          <w:tcPr>
            <w:tcW w:type="dxa" w:w="2160"/>
          </w:tcPr>
          <w:p>
            <w:r>
              <w:t>0.001624</w:t>
            </w:r>
          </w:p>
        </w:tc>
      </w:tr>
      <w:tr>
        <w:tc>
          <w:tcPr>
            <w:tcW w:type="dxa" w:w="2160"/>
          </w:tcPr>
          <w:p>
            <w:r>
              <w:t>ARIMA(4,0,9)</w:t>
            </w:r>
          </w:p>
        </w:tc>
        <w:tc>
          <w:tcPr>
            <w:tcW w:type="dxa" w:w="2160"/>
          </w:tcPr>
          <w:p>
            <w:r>
              <w:t>3.1084e−06</w:t>
            </w:r>
          </w:p>
        </w:tc>
        <w:tc>
          <w:tcPr>
            <w:tcW w:type="dxa" w:w="2160"/>
          </w:tcPr>
          <w:p>
            <w:r>
              <w:t>0.001763</w:t>
            </w:r>
          </w:p>
        </w:tc>
        <w:tc>
          <w:tcPr>
            <w:tcW w:type="dxa" w:w="2160"/>
          </w:tcPr>
          <w:p>
            <w:r>
              <w:t>0.001538</w:t>
            </w:r>
          </w:p>
        </w:tc>
      </w:tr>
      <w:tr>
        <w:tc>
          <w:tcPr>
            <w:tcW w:type="dxa" w:w="2160"/>
          </w:tcPr>
          <w:p>
            <w:r>
              <w:t>ARIMA(2,0,9)</w:t>
            </w:r>
          </w:p>
        </w:tc>
        <w:tc>
          <w:tcPr>
            <w:tcW w:type="dxa" w:w="2160"/>
          </w:tcPr>
          <w:p>
            <w:r>
              <w:t>3.2418e−06</w:t>
            </w:r>
          </w:p>
        </w:tc>
        <w:tc>
          <w:tcPr>
            <w:tcW w:type="dxa" w:w="2160"/>
          </w:tcPr>
          <w:p>
            <w:r>
              <w:t>0.001800</w:t>
            </w:r>
          </w:p>
        </w:tc>
        <w:tc>
          <w:tcPr>
            <w:tcW w:type="dxa" w:w="2160"/>
          </w:tcPr>
          <w:p>
            <w:r>
              <w:t>0.001582</w:t>
            </w:r>
          </w:p>
        </w:tc>
      </w:tr>
    </w:tbl>
    <w:p/>
    <w:p>
      <w:r>
        <w:t>ARIMA(4,0,9) ranks first on all three measures, though the differences across models are small. The more important observation is that all three models produce the same directional failure: every model over-predicts inflation throughout the hold-out window. All three anchored their forecasts near the in-sample unconditional mean of approximately 0.0089,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rate and expected inflation share a common stochastic trend, then rr_t acts as the cointegrating residual between them and is I(0). This motivates including d = 0 models in the search alongside d = 1 models.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1284.73</w:t>
            </w:r>
          </w:p>
        </w:tc>
        <w:tc>
          <w:tcPr>
            <w:tcW w:type="dxa" w:w="2160"/>
          </w:tcPr>
          <w:p>
            <w:r>
              <w:t>1336.49</w:t>
            </w:r>
          </w:p>
        </w:tc>
        <w:tc>
          <w:tcPr>
            <w:tcW w:type="dxa" w:w="2160"/>
          </w:tcPr>
          <w:p>
            <w:r>
              <w:t>0.3102</w:t>
            </w:r>
          </w:p>
        </w:tc>
      </w:tr>
    </w:tbl>
    <w:p/>
    <w:p>
      <w:r>
        <w:t>Key estimated coefficients: ar1 = 1.1823, ar2 = −0.2814, ar3 = −0.0492, ar4 = −0.0331, ar5 = 0.0214, ar6 = −0.0108, ar7 = −0.0673, ar8 = −0.1193, ma1 = −0.8462, intercept = 3.614.</w:t>
      </w:r>
    </w:p>
    <w:p>
      <w:r>
        <w:t>The choice of d = 0 is consistent with the real rate being a stationary, mean-reverting process — despite long cycles, it does eventually revert to a positive mean, as seen in the plot. The relatively high autoregressive order captures the very slow speed of mean-reversion: shocks to the real rate are highly persistent, and lower-order specifications left systematic patterns in the residuals. The large ar1 coefficient close to 1 (pulled back by subsequent AR terms) is the model's way of capturing the prolonged swings visible in the Q4(a) plot without requiring a unit root. The moving-average term captures short-run dependence in shocks.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directly captures the persistent upward movement visible in the Q4(b) plot — the series is not fluctuating around a fixed level, and d = 1 is the appropriate treatment. The small positive drift term (0.0003 per quarter) quantifies the average rate at which the consumption share rises once the short-run ARMA dynamics are accounted for, which directly mirrors the slow upward trend in the plot. The ARMA(3,3) structure then captures quarter-to-quarter deviations around that trend. In this sense the model closely matches what the plot shows: a steadily rising long-run share with persistent but mean-reverting fluctuations.</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using AIC, BIC, and Ljung-Box tests on raw returns gave the following decisions for the mean equation:</w:t>
      </w:r>
    </w:p>
    <w:p>
      <w:r>
        <w:t>- CNY: ARMA(0,0) — no low-order model provides a substantial improvement on information criteria, and the variance model accounts for the remaining dependence in the squared process.</w:t>
      </w:r>
    </w:p>
    <w:p>
      <w:r>
        <w:t>- USD: ARMA(0,0) — produces acceptable Ljung-Box p-values on the returns.</w:t>
      </w:r>
    </w:p>
    <w:p>
      <w:r>
        <w:t>- TWI: ARMA(1,0) — the simplest adequate mean model, picking up a mild AR(1) component.</w:t>
      </w:r>
    </w:p>
    <w:p>
      <w:r>
        <w:t>- SDR: ARMA(0,1) — best information criteria among adequate low-order candidates.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GJR-GARCH(1,1)</w:t>
            </w:r>
          </w:p>
        </w:tc>
        <w:tc>
          <w:tcPr>
            <w:tcW w:type="dxa" w:w="1440"/>
          </w:tcPr>
          <w:p>
            <w:r>
              <w:t>Student-t</w:t>
            </w:r>
          </w:p>
        </w:tc>
        <w:tc>
          <w:tcPr>
            <w:tcW w:type="dxa" w:w="1440"/>
          </w:tcPr>
          <w:p>
            <w:r>
              <w:t>1.5243</w:t>
            </w:r>
          </w:p>
        </w:tc>
        <w:tc>
          <w:tcPr>
            <w:tcW w:type="dxa" w:w="1440"/>
          </w:tcPr>
          <w:p>
            <w:r>
              <w:t>1.5410</w:t>
            </w:r>
          </w:p>
        </w:tc>
      </w:tr>
      <w:tr>
        <w:tc>
          <w:tcPr>
            <w:tcW w:type="dxa" w:w="1440"/>
          </w:tcPr>
          <w:p>
            <w:r>
              <w:t>USD</w:t>
            </w:r>
          </w:p>
        </w:tc>
        <w:tc>
          <w:tcPr>
            <w:tcW w:type="dxa" w:w="1440"/>
          </w:tcPr>
          <w:p>
            <w:r>
              <w:t>ARMA(0,0)</w:t>
            </w:r>
          </w:p>
        </w:tc>
        <w:tc>
          <w:tcPr>
            <w:tcW w:type="dxa" w:w="1440"/>
          </w:tcPr>
          <w:p>
            <w:r>
              <w:t>GJR-GARCH(1,1)</w:t>
            </w:r>
          </w:p>
        </w:tc>
        <w:tc>
          <w:tcPr>
            <w:tcW w:type="dxa" w:w="1440"/>
          </w:tcPr>
          <w:p>
            <w:r>
              <w:t>Student-t</w:t>
            </w:r>
          </w:p>
        </w:tc>
        <w:tc>
          <w:tcPr>
            <w:tcW w:type="dxa" w:w="1440"/>
          </w:tcPr>
          <w:p>
            <w:r>
              <w:t>1.7963</w:t>
            </w:r>
          </w:p>
        </w:tc>
        <w:tc>
          <w:tcPr>
            <w:tcW w:type="dxa" w:w="1440"/>
          </w:tcPr>
          <w:p>
            <w:r>
              <w:t>1.8130</w:t>
            </w:r>
          </w:p>
        </w:tc>
      </w:tr>
      <w:tr>
        <w:tc>
          <w:tcPr>
            <w:tcW w:type="dxa" w:w="1440"/>
          </w:tcPr>
          <w:p>
            <w:r>
              <w:t>TWI</w:t>
            </w:r>
          </w:p>
        </w:tc>
        <w:tc>
          <w:tcPr>
            <w:tcW w:type="dxa" w:w="1440"/>
          </w:tcPr>
          <w:p>
            <w:r>
              <w:t>ARMA(1,0)</w:t>
            </w:r>
          </w:p>
        </w:tc>
        <w:tc>
          <w:tcPr>
            <w:tcW w:type="dxa" w:w="1440"/>
          </w:tcPr>
          <w:p>
            <w:r>
              <w:t>GJR-GARCH(1,1)</w:t>
            </w:r>
          </w:p>
        </w:tc>
        <w:tc>
          <w:tcPr>
            <w:tcW w:type="dxa" w:w="1440"/>
          </w:tcPr>
          <w:p>
            <w:r>
              <w:t>Student-t</w:t>
            </w:r>
          </w:p>
        </w:tc>
        <w:tc>
          <w:tcPr>
            <w:tcW w:type="dxa" w:w="1440"/>
          </w:tcPr>
          <w:p>
            <w:r>
              <w:t>1.2830</w:t>
            </w:r>
          </w:p>
        </w:tc>
        <w:tc>
          <w:tcPr>
            <w:tcW w:type="dxa" w:w="1440"/>
          </w:tcPr>
          <w:p>
            <w:r>
              <w:t>1.3024</w:t>
            </w:r>
          </w:p>
        </w:tc>
      </w:tr>
      <w:tr>
        <w:tc>
          <w:tcPr>
            <w:tcW w:type="dxa" w:w="1440"/>
          </w:tcPr>
          <w:p>
            <w:r>
              <w:t>SDR</w:t>
            </w:r>
          </w:p>
        </w:tc>
        <w:tc>
          <w:tcPr>
            <w:tcW w:type="dxa" w:w="1440"/>
          </w:tcPr>
          <w:p>
            <w:r>
              <w:t>ARMA(0,1)</w:t>
            </w:r>
          </w:p>
        </w:tc>
        <w:tc>
          <w:tcPr>
            <w:tcW w:type="dxa" w:w="1440"/>
          </w:tcPr>
          <w:p>
            <w:r>
              <w:t>GJR-GARCH(1,1)</w:t>
            </w:r>
          </w:p>
        </w:tc>
        <w:tc>
          <w:tcPr>
            <w:tcW w:type="dxa" w:w="1440"/>
          </w:tcPr>
          <w:p>
            <w:r>
              <w:t>Student-t</w:t>
            </w:r>
          </w:p>
        </w:tc>
        <w:tc>
          <w:tcPr>
            <w:tcW w:type="dxa" w:w="1440"/>
          </w:tcPr>
          <w:p>
            <w:r>
              <w:t>1.7938</w:t>
            </w:r>
          </w:p>
        </w:tc>
        <w:tc>
          <w:tcPr>
            <w:tcW w:type="dxa" w:w="1440"/>
          </w:tcPr>
          <w:p>
            <w:r>
              <w:t>1.8132</w:t>
            </w:r>
          </w:p>
        </w:tc>
      </w:tr>
    </w:tbl>
    <w:p/>
    <w:p>
      <w:r>
        <w:t>Estimated coefficients: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Currency</w:t>
            </w:r>
          </w:p>
        </w:tc>
        <w:tc>
          <w:tcPr>
            <w:tcW w:type="dxa" w:w="960"/>
          </w:tcPr>
          <w:p>
            <w:r>
              <w:t>mu</w:t>
            </w:r>
          </w:p>
        </w:tc>
        <w:tc>
          <w:tcPr>
            <w:tcW w:type="dxa" w:w="960"/>
          </w:tcPr>
          <w:p>
            <w:r>
              <w:t>ar1</w:t>
            </w:r>
          </w:p>
        </w:tc>
        <w:tc>
          <w:tcPr>
            <w:tcW w:type="dxa" w:w="960"/>
          </w:tcPr>
          <w:p>
            <w:r>
              <w:t>ma1</w:t>
            </w:r>
          </w:p>
        </w:tc>
        <w:tc>
          <w:tcPr>
            <w:tcW w:type="dxa" w:w="960"/>
          </w:tcPr>
          <w:p>
            <w:r>
              <w:t>omega</w:t>
            </w:r>
          </w:p>
        </w:tc>
        <w:tc>
          <w:tcPr>
            <w:tcW w:type="dxa" w:w="960"/>
          </w:tcPr>
          <w:p>
            <w:r>
              <w:t>alpha1</w:t>
            </w:r>
          </w:p>
        </w:tc>
        <w:tc>
          <w:tcPr>
            <w:tcW w:type="dxa" w:w="960"/>
          </w:tcPr>
          <w:p>
            <w:r>
              <w:t>beta1</w:t>
            </w:r>
          </w:p>
        </w:tc>
        <w:tc>
          <w:tcPr>
            <w:tcW w:type="dxa" w:w="960"/>
          </w:tcPr>
          <w:p>
            <w:r>
              <w:t>gamma1</w:t>
            </w:r>
          </w:p>
        </w:tc>
        <w:tc>
          <w:tcPr>
            <w:tcW w:type="dxa" w:w="960"/>
          </w:tcPr>
          <w:p>
            <w:r>
              <w:t>shape</w:t>
            </w:r>
          </w:p>
        </w:tc>
      </w:tr>
      <w:tr>
        <w:tc>
          <w:tcPr>
            <w:tcW w:type="dxa" w:w="960"/>
          </w:tcPr>
          <w:p>
            <w:r>
              <w:t>CNY</w:t>
            </w:r>
          </w:p>
        </w:tc>
        <w:tc>
          <w:tcPr>
            <w:tcW w:type="dxa" w:w="960"/>
          </w:tcPr>
          <w:p>
            <w:r>
              <w:t>−0.0143</w:t>
            </w:r>
          </w:p>
        </w:tc>
        <w:tc>
          <w:tcPr>
            <w:tcW w:type="dxa" w:w="960"/>
          </w:tcPr>
          <w:p>
            <w:r>
              <w:t>—</w:t>
            </w:r>
          </w:p>
        </w:tc>
        <w:tc>
          <w:tcPr>
            <w:tcW w:type="dxa" w:w="960"/>
          </w:tcPr>
          <w:p>
            <w:r>
              <w:t>—</w:t>
            </w:r>
          </w:p>
        </w:tc>
        <w:tc>
          <w:tcPr>
            <w:tcW w:type="dxa" w:w="960"/>
          </w:tcPr>
          <w:p>
            <w:r>
              <w:t>0.0067</w:t>
            </w:r>
          </w:p>
        </w:tc>
        <w:tc>
          <w:tcPr>
            <w:tcW w:type="dxa" w:w="960"/>
          </w:tcPr>
          <w:p>
            <w:r>
              <w:t>0.0143</w:t>
            </w:r>
          </w:p>
        </w:tc>
        <w:tc>
          <w:tcPr>
            <w:tcW w:type="dxa" w:w="960"/>
          </w:tcPr>
          <w:p>
            <w:r>
              <w:t>0.9316</w:t>
            </w:r>
          </w:p>
        </w:tc>
        <w:tc>
          <w:tcPr>
            <w:tcW w:type="dxa" w:w="960"/>
          </w:tcPr>
          <w:p>
            <w:r>
              <w:t>0.0623</w:t>
            </w:r>
          </w:p>
        </w:tc>
        <w:tc>
          <w:tcPr>
            <w:tcW w:type="dxa" w:w="960"/>
          </w:tcPr>
          <w:p>
            <w:r>
              <w:t>8.0011</w:t>
            </w:r>
          </w:p>
        </w:tc>
      </w:tr>
      <w:tr>
        <w:tc>
          <w:tcPr>
            <w:tcW w:type="dxa" w:w="960"/>
          </w:tcPr>
          <w:p>
            <w:r>
              <w:t>USD</w:t>
            </w:r>
          </w:p>
        </w:tc>
        <w:tc>
          <w:tcPr>
            <w:tcW w:type="dxa" w:w="960"/>
          </w:tcPr>
          <w:p>
            <w:r>
              <w:t>−0.0140</w:t>
            </w:r>
          </w:p>
        </w:tc>
        <w:tc>
          <w:tcPr>
            <w:tcW w:type="dxa" w:w="960"/>
          </w:tcPr>
          <w:p>
            <w:r>
              <w:t>—</w:t>
            </w:r>
          </w:p>
        </w:tc>
        <w:tc>
          <w:tcPr>
            <w:tcW w:type="dxa" w:w="960"/>
          </w:tcPr>
          <w:p>
            <w:r>
              <w:t>—</w:t>
            </w:r>
          </w:p>
        </w:tc>
        <w:tc>
          <w:tcPr>
            <w:tcW w:type="dxa" w:w="960"/>
          </w:tcPr>
          <w:p>
            <w:r>
              <w:t>0.0042</w:t>
            </w:r>
          </w:p>
        </w:tc>
        <w:tc>
          <w:tcPr>
            <w:tcW w:type="dxa" w:w="960"/>
          </w:tcPr>
          <w:p>
            <w:r>
              <w:t>0.0013</w:t>
            </w:r>
          </w:p>
        </w:tc>
        <w:tc>
          <w:tcPr>
            <w:tcW w:type="dxa" w:w="960"/>
          </w:tcPr>
          <w:p>
            <w:r>
              <w:t>0.9607</w:t>
            </w:r>
          </w:p>
        </w:tc>
        <w:tc>
          <w:tcPr>
            <w:tcW w:type="dxa" w:w="960"/>
          </w:tcPr>
          <w:p>
            <w:r>
              <w:t>0.0519</w:t>
            </w:r>
          </w:p>
        </w:tc>
        <w:tc>
          <w:tcPr>
            <w:tcW w:type="dxa" w:w="960"/>
          </w:tcPr>
          <w:p>
            <w:r>
              <w:t>8.4778</w:t>
            </w:r>
          </w:p>
        </w:tc>
      </w:tr>
      <w:tr>
        <w:tc>
          <w:tcPr>
            <w:tcW w:type="dxa" w:w="960"/>
          </w:tcPr>
          <w:p>
            <w:r>
              <w:t>TWI</w:t>
            </w:r>
          </w:p>
        </w:tc>
        <w:tc>
          <w:tcPr>
            <w:tcW w:type="dxa" w:w="960"/>
          </w:tcPr>
          <w:p>
            <w:r>
              <w:t>−0.0068</w:t>
            </w:r>
          </w:p>
        </w:tc>
        <w:tc>
          <w:tcPr>
            <w:tcW w:type="dxa" w:w="960"/>
          </w:tcPr>
          <w:p>
            <w:r>
              <w:t>−0.0400</w:t>
            </w:r>
          </w:p>
        </w:tc>
        <w:tc>
          <w:tcPr>
            <w:tcW w:type="dxa" w:w="960"/>
          </w:tcPr>
          <w:p>
            <w:r>
              <w:t>—</w:t>
            </w:r>
          </w:p>
        </w:tc>
        <w:tc>
          <w:tcPr>
            <w:tcW w:type="dxa" w:w="960"/>
          </w:tcPr>
          <w:p>
            <w:r>
              <w:t>0.0070</w:t>
            </w:r>
          </w:p>
        </w:tc>
        <w:tc>
          <w:tcPr>
            <w:tcW w:type="dxa" w:w="960"/>
          </w:tcPr>
          <w:p>
            <w:r>
              <w:t>0.0225</w:t>
            </w:r>
          </w:p>
        </w:tc>
        <w:tc>
          <w:tcPr>
            <w:tcW w:type="dxa" w:w="960"/>
          </w:tcPr>
          <w:p>
            <w:r>
              <w:t>0.9186</w:t>
            </w:r>
          </w:p>
        </w:tc>
        <w:tc>
          <w:tcPr>
            <w:tcW w:type="dxa" w:w="960"/>
          </w:tcPr>
          <w:p>
            <w:r>
              <w:t>0.0547</w:t>
            </w:r>
          </w:p>
        </w:tc>
        <w:tc>
          <w:tcPr>
            <w:tcW w:type="dxa" w:w="960"/>
          </w:tcPr>
          <w:p>
            <w:r>
              <w:t>8.0324</w:t>
            </w:r>
          </w:p>
        </w:tc>
      </w:tr>
      <w:tr>
        <w:tc>
          <w:tcPr>
            <w:tcW w:type="dxa" w:w="960"/>
          </w:tcPr>
          <w:p>
            <w:r>
              <w:t>SDR</w:t>
            </w:r>
          </w:p>
        </w:tc>
        <w:tc>
          <w:tcPr>
            <w:tcW w:type="dxa" w:w="960"/>
          </w:tcPr>
          <w:p>
            <w:r>
              <w:t>−0.0084</w:t>
            </w:r>
          </w:p>
        </w:tc>
        <w:tc>
          <w:tcPr>
            <w:tcW w:type="dxa" w:w="960"/>
          </w:tcPr>
          <w:p>
            <w:r>
              <w:t>—</w:t>
            </w:r>
          </w:p>
        </w:tc>
        <w:tc>
          <w:tcPr>
            <w:tcW w:type="dxa" w:w="960"/>
          </w:tcPr>
          <w:p>
            <w:r>
              <w:t>−0.1812</w:t>
            </w:r>
          </w:p>
        </w:tc>
        <w:tc>
          <w:tcPr>
            <w:tcW w:type="dxa" w:w="960"/>
          </w:tcPr>
          <w:p>
            <w:r>
              <w:t>0.0055</w:t>
            </w:r>
          </w:p>
        </w:tc>
        <w:tc>
          <w:tcPr>
            <w:tcW w:type="dxa" w:w="960"/>
          </w:tcPr>
          <w:p>
            <w:r>
              <w:t>0.0182</w:t>
            </w:r>
          </w:p>
        </w:tc>
        <w:tc>
          <w:tcPr>
            <w:tcW w:type="dxa" w:w="960"/>
          </w:tcPr>
          <w:p>
            <w:r>
              <w:t>0.9486</w:t>
            </w:r>
          </w:p>
        </w:tc>
        <w:tc>
          <w:tcPr>
            <w:tcW w:type="dxa" w:w="960"/>
          </w:tcPr>
          <w:p>
            <w:r>
              <w:t>0.0359</w:t>
            </w:r>
          </w:p>
        </w:tc>
        <w:tc>
          <w:tcPr>
            <w:tcW w:type="dxa" w:w="960"/>
          </w:tcPr>
          <w:p>
            <w:r>
              <w:t>7.7614</w:t>
            </w:r>
          </w:p>
        </w:tc>
      </w:tr>
    </w:tbl>
    <w:p/>
    <w:p>
      <w:r>
        <w:t>The beta1 estimates are all close to 1,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7–8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0.4394</w:t>
            </w:r>
          </w:p>
        </w:tc>
        <w:tc>
          <w:tcPr>
            <w:tcW w:type="dxa" w:w="2880"/>
          </w:tcPr>
          <w:p>
            <w:r>
              <w:t>0.0000</w:t>
            </w:r>
          </w:p>
        </w:tc>
      </w:tr>
      <w:tr>
        <w:tc>
          <w:tcPr>
            <w:tcW w:type="dxa" w:w="2880"/>
          </w:tcPr>
          <w:p>
            <w:r>
              <w:t>USD</w:t>
            </w:r>
          </w:p>
        </w:tc>
        <w:tc>
          <w:tcPr>
            <w:tcW w:type="dxa" w:w="2880"/>
          </w:tcPr>
          <w:p>
            <w:r>
              <w:t>0.6937</w:t>
            </w:r>
          </w:p>
        </w:tc>
        <w:tc>
          <w:tcPr>
            <w:tcW w:type="dxa" w:w="2880"/>
          </w:tcPr>
          <w:p>
            <w:r>
              <w:t>0.0000</w:t>
            </w:r>
          </w:p>
        </w:tc>
      </w:tr>
      <w:tr>
        <w:tc>
          <w:tcPr>
            <w:tcW w:type="dxa" w:w="2880"/>
          </w:tcPr>
          <w:p>
            <w:r>
              <w:t>TWI</w:t>
            </w:r>
          </w:p>
        </w:tc>
        <w:tc>
          <w:tcPr>
            <w:tcW w:type="dxa" w:w="2880"/>
          </w:tcPr>
          <w:p>
            <w:r>
              <w:t>0.5976</w:t>
            </w:r>
          </w:p>
        </w:tc>
        <w:tc>
          <w:tcPr>
            <w:tcW w:type="dxa" w:w="2880"/>
          </w:tcPr>
          <w:p>
            <w:r>
              <w:t>0.0000</w:t>
            </w:r>
          </w:p>
        </w:tc>
      </w:tr>
      <w:tr>
        <w:tc>
          <w:tcPr>
            <w:tcW w:type="dxa" w:w="2880"/>
          </w:tcPr>
          <w:p>
            <w:r>
              <w:t>SDR</w:t>
            </w:r>
          </w:p>
        </w:tc>
        <w:tc>
          <w:tcPr>
            <w:tcW w:type="dxa" w:w="2880"/>
          </w:tcPr>
          <w:p>
            <w:r>
              <w:t>0.8967</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GJR-GARCH(1,1) specification does not capture every aspect of the variance dynamics. Despite this, the selected models represent a substantial improvement over constant-variance alternatives and capture the main features of interest: volatility clustering, high persistence, asymmetric shock response, and heavy tails.</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GJR-GARCH(1,1) model the unconditional variance exists when α + β + γ/2 &lt; 1, and is given by:</w:t>
      </w:r>
    </w:p>
    <w:p>
      <w:r>
        <w:t>σ²_j = ω / (1 − α − β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0.9771</w:t>
            </w:r>
          </w:p>
        </w:tc>
        <w:tc>
          <w:tcPr>
            <w:tcW w:type="dxa" w:w="1728"/>
          </w:tcPr>
          <w:p>
            <w:r>
              <w:t>0.2925</w:t>
            </w:r>
          </w:p>
        </w:tc>
        <w:tc>
          <w:tcPr>
            <w:tcW w:type="dxa" w:w="1728"/>
          </w:tcPr>
          <w:p>
            <w:r>
              <w:t>0.3369</w:t>
            </w:r>
          </w:p>
        </w:tc>
        <w:tc>
          <w:tcPr>
            <w:tcW w:type="dxa" w:w="1728"/>
          </w:tcPr>
          <w:p>
            <w:r>
              <w:t>0.8682</w:t>
            </w:r>
          </w:p>
        </w:tc>
      </w:tr>
      <w:tr>
        <w:tc>
          <w:tcPr>
            <w:tcW w:type="dxa" w:w="1728"/>
          </w:tcPr>
          <w:p>
            <w:r>
              <w:t>USD</w:t>
            </w:r>
          </w:p>
        </w:tc>
        <w:tc>
          <w:tcPr>
            <w:tcW w:type="dxa" w:w="1728"/>
          </w:tcPr>
          <w:p>
            <w:r>
              <w:t>0.9879</w:t>
            </w:r>
          </w:p>
        </w:tc>
        <w:tc>
          <w:tcPr>
            <w:tcW w:type="dxa" w:w="1728"/>
          </w:tcPr>
          <w:p>
            <w:r>
              <w:t>0.3456</w:t>
            </w:r>
          </w:p>
        </w:tc>
        <w:tc>
          <w:tcPr>
            <w:tcW w:type="dxa" w:w="1728"/>
          </w:tcPr>
          <w:p>
            <w:r>
              <w:t>0.4381</w:t>
            </w:r>
          </w:p>
        </w:tc>
        <w:tc>
          <w:tcPr>
            <w:tcW w:type="dxa" w:w="1728"/>
          </w:tcPr>
          <w:p>
            <w:r>
              <w:t>0.7888</w:t>
            </w:r>
          </w:p>
        </w:tc>
      </w:tr>
      <w:tr>
        <w:tc>
          <w:tcPr>
            <w:tcW w:type="dxa" w:w="1728"/>
          </w:tcPr>
          <w:p>
            <w:r>
              <w:t>TWI</w:t>
            </w:r>
          </w:p>
        </w:tc>
        <w:tc>
          <w:tcPr>
            <w:tcW w:type="dxa" w:w="1728"/>
          </w:tcPr>
          <w:p>
            <w:r>
              <w:t>0.9685</w:t>
            </w:r>
          </w:p>
        </w:tc>
        <w:tc>
          <w:tcPr>
            <w:tcW w:type="dxa" w:w="1728"/>
          </w:tcPr>
          <w:p>
            <w:r>
              <w:t>0.2234</w:t>
            </w:r>
          </w:p>
        </w:tc>
        <w:tc>
          <w:tcPr>
            <w:tcW w:type="dxa" w:w="1728"/>
          </w:tcPr>
          <w:p>
            <w:r>
              <w:t>0.2675</w:t>
            </w:r>
          </w:p>
        </w:tc>
        <w:tc>
          <w:tcPr>
            <w:tcW w:type="dxa" w:w="1728"/>
          </w:tcPr>
          <w:p>
            <w:r>
              <w:t>0.8352</w:t>
            </w:r>
          </w:p>
        </w:tc>
      </w:tr>
      <w:tr>
        <w:tc>
          <w:tcPr>
            <w:tcW w:type="dxa" w:w="1728"/>
          </w:tcPr>
          <w:p>
            <w:r>
              <w:t>SDR</w:t>
            </w:r>
          </w:p>
        </w:tc>
        <w:tc>
          <w:tcPr>
            <w:tcW w:type="dxa" w:w="1728"/>
          </w:tcPr>
          <w:p>
            <w:r>
              <w:t>0.9848</w:t>
            </w:r>
          </w:p>
        </w:tc>
        <w:tc>
          <w:tcPr>
            <w:tcW w:type="dxa" w:w="1728"/>
          </w:tcPr>
          <w:p>
            <w:r>
              <w:t>0.3638</w:t>
            </w:r>
          </w:p>
        </w:tc>
        <w:tc>
          <w:tcPr>
            <w:tcW w:type="dxa" w:w="1728"/>
          </w:tcPr>
          <w:p>
            <w:r>
              <w:t>0.4492</w:t>
            </w:r>
          </w:p>
        </w:tc>
        <w:tc>
          <w:tcPr>
            <w:tcW w:type="dxa" w:w="1728"/>
          </w:tcPr>
          <w:p>
            <w:r>
              <w:t>0.8099</w:t>
            </w:r>
          </w:p>
        </w:tc>
      </w:tr>
    </w:tbl>
    <w:p/>
    <w:p>
      <w:r>
        <w:t>All four persistence measures are below 1, so finite unconditional variances exist for every currency. The persistence values are all high, particularly for USD and SDR, indicating that volatility shocks decay only gradually — consistent with the clustering patterns in the absolute return plots.</w:t>
      </w:r>
    </w:p>
    <w:p>
      <w:r>
        <w:t>The model-implied variances are uniformly lower than the corresponding sample variances, with ratios ranging from about 0.79 to 0.87.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0.01% on 13/01/2026 and 14/01/2026 is computed from the one-step-ahead and two-step-ahead GJR-GARCH forecasts, using the Student-t CDF with the estimated shape parameter so that the heavy-tail behaviour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−0.0143</w:t>
            </w:r>
          </w:p>
        </w:tc>
        <w:tc>
          <w:tcPr>
            <w:tcW w:type="dxa" w:w="1234"/>
          </w:tcPr>
          <w:p>
            <w:r>
              <w:t>0.4524</w:t>
            </w:r>
          </w:p>
        </w:tc>
        <w:tc>
          <w:tcPr>
            <w:tcW w:type="dxa" w:w="1234"/>
          </w:tcPr>
          <w:p>
            <w:r>
              <w:t>0.5239</w:t>
            </w:r>
          </w:p>
        </w:tc>
        <w:tc>
          <w:tcPr>
            <w:tcW w:type="dxa" w:w="1234"/>
          </w:tcPr>
          <w:p>
            <w:r>
              <w:t>−0.0143</w:t>
            </w:r>
          </w:p>
        </w:tc>
        <w:tc>
          <w:tcPr>
            <w:tcW w:type="dxa" w:w="1234"/>
          </w:tcPr>
          <w:p>
            <w:r>
              <w:t>0.4547</w:t>
            </w:r>
          </w:p>
        </w:tc>
        <w:tc>
          <w:tcPr>
            <w:tcW w:type="dxa" w:w="1234"/>
          </w:tcPr>
          <w:p>
            <w:r>
              <w:t>0.5238</w:t>
            </w:r>
          </w:p>
        </w:tc>
      </w:tr>
      <w:tr>
        <w:tc>
          <w:tcPr>
            <w:tcW w:type="dxa" w:w="1234"/>
          </w:tcPr>
          <w:p>
            <w:r>
              <w:t>USD</w:t>
            </w:r>
          </w:p>
        </w:tc>
        <w:tc>
          <w:tcPr>
            <w:tcW w:type="dxa" w:w="1234"/>
          </w:tcPr>
          <w:p>
            <w:r>
              <w:t>−0.0140</w:t>
            </w:r>
          </w:p>
        </w:tc>
        <w:tc>
          <w:tcPr>
            <w:tcW w:type="dxa" w:w="1234"/>
          </w:tcPr>
          <w:p>
            <w:r>
              <w:t>0.4432</w:t>
            </w:r>
          </w:p>
        </w:tc>
        <w:tc>
          <w:tcPr>
            <w:tcW w:type="dxa" w:w="1234"/>
          </w:tcPr>
          <w:p>
            <w:r>
              <w:t>0.5240</w:t>
            </w:r>
          </w:p>
        </w:tc>
        <w:tc>
          <w:tcPr>
            <w:tcW w:type="dxa" w:w="1234"/>
          </w:tcPr>
          <w:p>
            <w:r>
              <w:t>−0.0140</w:t>
            </w:r>
          </w:p>
        </w:tc>
        <w:tc>
          <w:tcPr>
            <w:tcW w:type="dxa" w:w="1234"/>
          </w:tcPr>
          <w:p>
            <w:r>
              <w:t>0.4453</w:t>
            </w:r>
          </w:p>
        </w:tc>
        <w:tc>
          <w:tcPr>
            <w:tcW w:type="dxa" w:w="1234"/>
          </w:tcPr>
          <w:p>
            <w:r>
              <w:t>0.5239</w:t>
            </w:r>
          </w:p>
        </w:tc>
      </w:tr>
      <w:tr>
        <w:tc>
          <w:tcPr>
            <w:tcW w:type="dxa" w:w="1234"/>
          </w:tcPr>
          <w:p>
            <w:r>
              <w:t>TWI</w:t>
            </w:r>
          </w:p>
        </w:tc>
        <w:tc>
          <w:tcPr>
            <w:tcW w:type="dxa" w:w="1234"/>
          </w:tcPr>
          <w:p>
            <w:r>
              <w:t>−0.0070</w:t>
            </w:r>
          </w:p>
        </w:tc>
        <w:tc>
          <w:tcPr>
            <w:tcW w:type="dxa" w:w="1234"/>
          </w:tcPr>
          <w:p>
            <w:r>
              <w:t>0.3775</w:t>
            </w:r>
          </w:p>
        </w:tc>
        <w:tc>
          <w:tcPr>
            <w:tcW w:type="dxa" w:w="1234"/>
          </w:tcPr>
          <w:p>
            <w:r>
              <w:t>0.5201</w:t>
            </w:r>
          </w:p>
        </w:tc>
        <w:tc>
          <w:tcPr>
            <w:tcW w:type="dxa" w:w="1234"/>
          </w:tcPr>
          <w:p>
            <w:r>
              <w:t>−0.0067</w:t>
            </w:r>
          </w:p>
        </w:tc>
        <w:tc>
          <w:tcPr>
            <w:tcW w:type="dxa" w:w="1234"/>
          </w:tcPr>
          <w:p>
            <w:r>
              <w:t>0.3809</w:t>
            </w:r>
          </w:p>
        </w:tc>
        <w:tc>
          <w:tcPr>
            <w:tcW w:type="dxa" w:w="1234"/>
          </w:tcPr>
          <w:p>
            <w:r>
              <w:t>0.5196</w:t>
            </w:r>
          </w:p>
        </w:tc>
      </w:tr>
      <w:tr>
        <w:tc>
          <w:tcPr>
            <w:tcW w:type="dxa" w:w="1234"/>
          </w:tcPr>
          <w:p>
            <w:r>
              <w:t>SDR</w:t>
            </w:r>
          </w:p>
        </w:tc>
        <w:tc>
          <w:tcPr>
            <w:tcW w:type="dxa" w:w="1234"/>
          </w:tcPr>
          <w:p>
            <w:r>
              <w:t>−0.0230</w:t>
            </w:r>
          </w:p>
        </w:tc>
        <w:tc>
          <w:tcPr>
            <w:tcW w:type="dxa" w:w="1234"/>
          </w:tcPr>
          <w:p>
            <w:r>
              <w:t>0.4449</w:t>
            </w:r>
          </w:p>
        </w:tc>
        <w:tc>
          <w:tcPr>
            <w:tcW w:type="dxa" w:w="1234"/>
          </w:tcPr>
          <w:p>
            <w:r>
              <w:t>0.5332</w:t>
            </w:r>
          </w:p>
        </w:tc>
        <w:tc>
          <w:tcPr>
            <w:tcW w:type="dxa" w:w="1234"/>
          </w:tcPr>
          <w:p>
            <w:r>
              <w:t>−0.0084</w:t>
            </w:r>
          </w:p>
        </w:tc>
        <w:tc>
          <w:tcPr>
            <w:tcW w:type="dxa" w:w="1234"/>
          </w:tcPr>
          <w:p>
            <w:r>
              <w:t>0.4477</w:t>
            </w:r>
          </w:p>
        </w:tc>
        <w:tc>
          <w:tcPr>
            <w:tcW w:type="dxa" w:w="1234"/>
          </w:tcPr>
          <w:p>
            <w:r>
              <w:t>0.5184</w:t>
            </w:r>
          </w:p>
        </w:tc>
      </w:tr>
    </w:tbl>
    <w:p/>
    <w:p>
      <w:r>
        <w:t>All probabilities are slightly above 0.5. This occurs because the forecast conditional means are negative for all four series while the threshold 0.01% is close to zero, so on both dates there is a somewhat greater than 50% chance that the return falls below the threshold.</w:t>
      </w:r>
    </w:p>
    <w:p>
      <w:r>
        <w:t>A lower probability is preferable from a downside-risk perspective, since it means a smaller chance of earning less than the 0.01% threshold. On 13 January 2026, the ranking from least to most downside risk is TWI (0.5201), CNY (0.5239), USD (0.5240), SDR (0.5332). On 14 January 2026, the ranking shifts to SDR (0.5184), TWI (0.5196), CNY (0.5238), USD (0.5239).</w:t>
      </w:r>
    </w:p>
    <w:p>
      <w:r>
        <w:t>TWI is the most consistently attractive currency across both dates, sitting near the bottom of the risk ranking on both days. The main reason is that TWI combines the least negative forecast mean with the lowest conditional volatility — around 0.38 versus 0.44–0.45 for the other three — which reflects the diversification benefit of a trade-weighted basket. SDR's large jump in rank between the two days reflects its notably lower mean return on 13 January (μ_{T+1} = −0.0230 versus around −0.014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