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STRUCTURAL ENGINEER'S POST CONCRETE CHECKLIST</w:t>
              <w:cr/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rHeight w:val="392" w:hRule="atLeast"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Were T.O.C.levels inspected for after striking support work of slabs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Honeycombing so, did the contractor inform the engineer before patching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there any cracking noted?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there any corner of the structure damaged during de-shuttering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Have surface been prepared for finishes(waterproofing</w:t>
              <w:cr/>
              <w:t>, plaster, paint)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the required strength of the cube as given in IS 456 archived during de-shuttering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ascii="Calibri" w:cs="Arial" w:eastAsia="Arial" w:hAnsi="Century Gothic" w:hint="default"/>
                <w:b w:val="false"/>
                <w:bCs w:val="false"/>
                <w:i w:val="false"/>
                <w:iCs w:val="false"/>
                <w:color w:val="222a35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Has the contractor planned for striking, cleaning and</w:t>
              <w:cr/>
              <w:t xml:space="preserve"> stoning formwork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Is there a need for back-propping. If so, what is the </w:t>
              <w:cr/>
              <w:t>back-prop time duration.Has the Engineer approved?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157</Words>
  <Pages>11</Pages>
  <Characters>906</Characters>
  <Application>WPS Office</Application>
  <DocSecurity>0</DocSecurity>
  <Paragraphs>137</Paragraphs>
  <ScaleCrop>false</ScaleCrop>
  <LinksUpToDate>false</LinksUpToDate>
  <CharactersWithSpaces>1097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2024-02-06T15:05:31Z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105a84435e324c0db130c37962772e32</vt:lpwstr>
  </property>
</Properties>
</file>