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0547" w14:textId="77777777" w:rsidR="000B1DB5" w:rsidRDefault="00000000">
      <w:pPr>
        <w:pStyle w:val="Title"/>
      </w:pPr>
      <w:r>
        <w:t>One-Page Credit Memo | EB-ALPHA-2025-001</w:t>
      </w:r>
    </w:p>
    <w:p w14:paraId="2805615E" w14:textId="77777777" w:rsidR="000B1DB5" w:rsidRDefault="00000000">
      <w:r>
        <w:t>Doanh nghiệp: CTCP Tập đoàn Đầu tư Alpha (mô phỏng ẩn danh)</w:t>
      </w:r>
    </w:p>
    <w:p w14:paraId="71750E30" w14:textId="77777777" w:rsidR="000B1DB5" w:rsidRDefault="00000000">
      <w:r>
        <w:t>MST: 0318999888 | Ngành: Đầu tư, xây lắp BĐS và thương mại</w:t>
      </w:r>
    </w:p>
    <w:p w14:paraId="32AE4CBC" w14:textId="77777777" w:rsidR="000B1DB5" w:rsidRDefault="00000000">
      <w:r>
        <w:t>Kỳ phân tích: FY2025 | Nguồn: BCTC, workbook, VAT, sao kê ngân hàng và payload DSP đã cung cấp</w:t>
      </w:r>
    </w:p>
    <w:p w14:paraId="63C2A787" w14:textId="77777777" w:rsidR="000B1DB5" w:rsidRDefault="00000000">
      <w:r>
        <w:t>Kết luận sơ bộ: `MANUAL REVIEW REQUIRED` - chỉ xem xét có điều kiện sau khi hoàn tất xác minh.</w:t>
      </w:r>
    </w:p>
    <w:p w14:paraId="3DA1E113" w14:textId="77777777" w:rsidR="000B1DB5" w:rsidRDefault="00000000">
      <w:pPr>
        <w:pStyle w:val="Heading1"/>
      </w:pPr>
      <w:r>
        <w:t>1. Tóm tắt tín dụng</w:t>
      </w:r>
    </w:p>
    <w:p w14:paraId="0644797C" w14:textId="77777777" w:rsidR="000B1DB5" w:rsidRDefault="00000000">
      <w:pPr>
        <w:pStyle w:val="ListBullet"/>
      </w:pPr>
      <w:r>
        <w:t>Đề nghị cấp tín dụng ghi nhận trong hồ sơ: **VND 15,0 tỷ** trên hợp đồng đầu ra **VND 20,0 tỷ**.</w:t>
      </w:r>
    </w:p>
    <w:p w14:paraId="0BF54CE3" w14:textId="77777777" w:rsidR="000B1DB5" w:rsidRDefault="00000000">
      <w:pPr>
        <w:pStyle w:val="ListBullet"/>
      </w:pPr>
      <w:r>
        <w:t>Doanh nghiệp có vốn chủ sở hữu **VND 581,0 tỷ** và NWC dương **VND 128,1 tỷ**; không phát sinh red flag mất cân đối vốn theo rule engine.</w:t>
      </w:r>
    </w:p>
    <w:p w14:paraId="5C9354D7" w14:textId="77777777" w:rsidR="000B1DB5" w:rsidRDefault="00000000">
      <w:pPr>
        <w:pStyle w:val="ListBullet"/>
      </w:pPr>
      <w:r>
        <w:t>Khả năng trả nợ là điểm chặn chính: CFO **VND 8,62 tỷ** không đủ trang trải nghĩa vụ gốc **VND 15,0 tỷ**; DSCR theo proxy CFO/(gốc đến hạn + lãi tiền mặt) chỉ **0,37x**, thấp hơn ngưỡng 1,00x.</w:t>
      </w:r>
    </w:p>
    <w:p w14:paraId="1B2A94AC" w14:textId="77777777" w:rsidR="000B1DB5" w:rsidRDefault="00000000">
      <w:pPr>
        <w:pStyle w:val="ListBullet"/>
      </w:pPr>
      <w:r>
        <w:t>Khuyến nghị: **không phê duyệt tự động**. Chỉ trình cấp thẩm quyền sau khi thỏa mãn các điều kiện tiên quyết bên dưới.</w:t>
      </w:r>
    </w:p>
    <w:p w14:paraId="4B9658C9" w14:textId="77777777" w:rsidR="000B1DB5" w:rsidRDefault="00000000">
      <w:pPr>
        <w:pStyle w:val="Heading1"/>
      </w:pPr>
      <w:r>
        <w:t>2. Sức khỏe tài chính FY2025</w:t>
      </w:r>
    </w:p>
    <w:tbl>
      <w:tblPr>
        <w:tblStyle w:val="LightShading-Accent1"/>
        <w:tblW w:w="0" w:type="auto"/>
        <w:tblLook w:val="04A0" w:firstRow="1" w:lastRow="0" w:firstColumn="1" w:lastColumn="0" w:noHBand="0" w:noVBand="1"/>
      </w:tblPr>
      <w:tblGrid>
        <w:gridCol w:w="2880"/>
        <w:gridCol w:w="2880"/>
        <w:gridCol w:w="2880"/>
      </w:tblGrid>
      <w:tr w:rsidR="000B1DB5" w14:paraId="57980CA2" w14:textId="77777777" w:rsidTr="000B1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8E9BD" w14:textId="77777777" w:rsidR="000B1DB5" w:rsidRDefault="00000000">
            <w:r>
              <w:t>Chỉ tiêu</w:t>
            </w:r>
          </w:p>
        </w:tc>
        <w:tc>
          <w:tcPr>
            <w:tcW w:w="2880" w:type="dxa"/>
          </w:tcPr>
          <w:p w14:paraId="598BE5E1" w14:textId="77777777" w:rsidR="000B1DB5" w:rsidRDefault="00000000">
            <w:pPr>
              <w:cnfStyle w:val="100000000000" w:firstRow="1" w:lastRow="0" w:firstColumn="0" w:lastColumn="0" w:oddVBand="0" w:evenVBand="0" w:oddHBand="0" w:evenHBand="0" w:firstRowFirstColumn="0" w:firstRowLastColumn="0" w:lastRowFirstColumn="0" w:lastRowLastColumn="0"/>
            </w:pPr>
            <w:r>
              <w:t>Giá trị</w:t>
            </w:r>
          </w:p>
        </w:tc>
        <w:tc>
          <w:tcPr>
            <w:tcW w:w="2880" w:type="dxa"/>
          </w:tcPr>
          <w:p w14:paraId="66FEC9FE" w14:textId="77777777" w:rsidR="000B1DB5" w:rsidRDefault="00000000">
            <w:pPr>
              <w:cnfStyle w:val="100000000000" w:firstRow="1" w:lastRow="0" w:firstColumn="0" w:lastColumn="0" w:oddVBand="0" w:evenVBand="0" w:oddHBand="0" w:evenHBand="0" w:firstRowFirstColumn="0" w:firstRowLastColumn="0" w:lastRowFirstColumn="0" w:lastRowLastColumn="0"/>
            </w:pPr>
            <w:r>
              <w:t>Nhận định</w:t>
            </w:r>
          </w:p>
        </w:tc>
      </w:tr>
      <w:tr w:rsidR="000B1DB5" w14:paraId="224187B5" w14:textId="77777777" w:rsidTr="000B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298A40" w14:textId="77777777" w:rsidR="000B1DB5" w:rsidRDefault="00000000">
            <w:r>
              <w:t>Doanh thu BCTC</w:t>
            </w:r>
          </w:p>
        </w:tc>
        <w:tc>
          <w:tcPr>
            <w:tcW w:w="2880" w:type="dxa"/>
          </w:tcPr>
          <w:p w14:paraId="77A9AC90" w14:textId="77777777" w:rsidR="000B1DB5" w:rsidRDefault="00000000">
            <w:pPr>
              <w:cnfStyle w:val="000000100000" w:firstRow="0" w:lastRow="0" w:firstColumn="0" w:lastColumn="0" w:oddVBand="0" w:evenVBand="0" w:oddHBand="1" w:evenHBand="0" w:firstRowFirstColumn="0" w:firstRowLastColumn="0" w:lastRowFirstColumn="0" w:lastRowLastColumn="0"/>
            </w:pPr>
            <w:r>
              <w:t>VND 90,11 tỷ</w:t>
            </w:r>
          </w:p>
        </w:tc>
        <w:tc>
          <w:tcPr>
            <w:tcW w:w="2880" w:type="dxa"/>
          </w:tcPr>
          <w:p w14:paraId="434DFF22" w14:textId="77777777" w:rsidR="000B1DB5" w:rsidRDefault="00000000">
            <w:pPr>
              <w:cnfStyle w:val="000000100000" w:firstRow="0" w:lastRow="0" w:firstColumn="0" w:lastColumn="0" w:oddVBand="0" w:evenVBand="0" w:oddHBand="1" w:evenHBand="0" w:firstRowFirstColumn="0" w:firstRowLastColumn="0" w:lastRowFirstColumn="0" w:lastRowLastColumn="0"/>
            </w:pPr>
            <w:r>
              <w:t>VAT 2025 cộng dồn khớp doanh thu BCTC.</w:t>
            </w:r>
          </w:p>
        </w:tc>
      </w:tr>
      <w:tr w:rsidR="000B1DB5" w14:paraId="286E6449" w14:textId="77777777" w:rsidTr="000B1DB5">
        <w:tc>
          <w:tcPr>
            <w:cnfStyle w:val="001000000000" w:firstRow="0" w:lastRow="0" w:firstColumn="1" w:lastColumn="0" w:oddVBand="0" w:evenVBand="0" w:oddHBand="0" w:evenHBand="0" w:firstRowFirstColumn="0" w:firstRowLastColumn="0" w:lastRowFirstColumn="0" w:lastRowLastColumn="0"/>
            <w:tcW w:w="2880" w:type="dxa"/>
          </w:tcPr>
          <w:p w14:paraId="46FFE1C0" w14:textId="77777777" w:rsidR="000B1DB5" w:rsidRDefault="00000000">
            <w:r>
              <w:t>Lợi nhuận sau thuế</w:t>
            </w:r>
          </w:p>
        </w:tc>
        <w:tc>
          <w:tcPr>
            <w:tcW w:w="2880" w:type="dxa"/>
          </w:tcPr>
          <w:p w14:paraId="61846907" w14:textId="77777777" w:rsidR="000B1DB5" w:rsidRDefault="00000000">
            <w:pPr>
              <w:cnfStyle w:val="000000000000" w:firstRow="0" w:lastRow="0" w:firstColumn="0" w:lastColumn="0" w:oddVBand="0" w:evenVBand="0" w:oddHBand="0" w:evenHBand="0" w:firstRowFirstColumn="0" w:firstRowLastColumn="0" w:lastRowFirstColumn="0" w:lastRowLastColumn="0"/>
            </w:pPr>
            <w:r>
              <w:t>VND 23,3 triệu</w:t>
            </w:r>
          </w:p>
        </w:tc>
        <w:tc>
          <w:tcPr>
            <w:tcW w:w="2880" w:type="dxa"/>
          </w:tcPr>
          <w:p w14:paraId="2FBE090F" w14:textId="77777777" w:rsidR="000B1DB5" w:rsidRDefault="00000000">
            <w:pPr>
              <w:cnfStyle w:val="000000000000" w:firstRow="0" w:lastRow="0" w:firstColumn="0" w:lastColumn="0" w:oddVBand="0" w:evenVBand="0" w:oddHBand="0" w:evenHBand="0" w:firstRowFirstColumn="0" w:firstRowLastColumn="0" w:lastRowFirstColumn="0" w:lastRowLastColumn="0"/>
            </w:pPr>
            <w:r>
              <w:t>Biên lợi nhuận rất mỏng, cần giải trình biến động/khả năng duy trì.</w:t>
            </w:r>
          </w:p>
        </w:tc>
      </w:tr>
      <w:tr w:rsidR="000B1DB5" w14:paraId="7AE25CA1" w14:textId="77777777" w:rsidTr="000B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A0436" w14:textId="77777777" w:rsidR="000B1DB5" w:rsidRDefault="00000000">
            <w:r>
              <w:t>CFO</w:t>
            </w:r>
          </w:p>
        </w:tc>
        <w:tc>
          <w:tcPr>
            <w:tcW w:w="2880" w:type="dxa"/>
          </w:tcPr>
          <w:p w14:paraId="51504E3A" w14:textId="77777777" w:rsidR="000B1DB5" w:rsidRDefault="00000000">
            <w:pPr>
              <w:cnfStyle w:val="000000100000" w:firstRow="0" w:lastRow="0" w:firstColumn="0" w:lastColumn="0" w:oddVBand="0" w:evenVBand="0" w:oddHBand="1" w:evenHBand="0" w:firstRowFirstColumn="0" w:firstRowLastColumn="0" w:lastRowFirstColumn="0" w:lastRowLastColumn="0"/>
            </w:pPr>
            <w:r>
              <w:t>VND 8,62 tỷ</w:t>
            </w:r>
          </w:p>
        </w:tc>
        <w:tc>
          <w:tcPr>
            <w:tcW w:w="2880" w:type="dxa"/>
          </w:tcPr>
          <w:p w14:paraId="10D5F345" w14:textId="77777777" w:rsidR="000B1DB5" w:rsidRDefault="00000000">
            <w:pPr>
              <w:cnfStyle w:val="000000100000" w:firstRow="0" w:lastRow="0" w:firstColumn="0" w:lastColumn="0" w:oddVBand="0" w:evenVBand="0" w:oddHBand="1" w:evenHBand="0" w:firstRowFirstColumn="0" w:firstRowLastColumn="0" w:lastRowFirstColumn="0" w:lastRowLastColumn="0"/>
            </w:pPr>
            <w:r>
              <w:t>Dương nhưng thấp hơn gốc vay đến hạn.</w:t>
            </w:r>
          </w:p>
        </w:tc>
      </w:tr>
      <w:tr w:rsidR="000B1DB5" w14:paraId="32512492" w14:textId="77777777" w:rsidTr="000B1DB5">
        <w:tc>
          <w:tcPr>
            <w:cnfStyle w:val="001000000000" w:firstRow="0" w:lastRow="0" w:firstColumn="1" w:lastColumn="0" w:oddVBand="0" w:evenVBand="0" w:oddHBand="0" w:evenHBand="0" w:firstRowFirstColumn="0" w:firstRowLastColumn="0" w:lastRowFirstColumn="0" w:lastRowLastColumn="0"/>
            <w:tcW w:w="2880" w:type="dxa"/>
          </w:tcPr>
          <w:p w14:paraId="59088007" w14:textId="77777777" w:rsidR="000B1DB5" w:rsidRDefault="00000000">
            <w:r>
              <w:t>Dòng tiền thuần</w:t>
            </w:r>
          </w:p>
        </w:tc>
        <w:tc>
          <w:tcPr>
            <w:tcW w:w="2880" w:type="dxa"/>
          </w:tcPr>
          <w:p w14:paraId="362469FB" w14:textId="77777777" w:rsidR="000B1DB5" w:rsidRDefault="00000000">
            <w:pPr>
              <w:cnfStyle w:val="000000000000" w:firstRow="0" w:lastRow="0" w:firstColumn="0" w:lastColumn="0" w:oddVBand="0" w:evenVBand="0" w:oddHBand="0" w:evenHBand="0" w:firstRowFirstColumn="0" w:firstRowLastColumn="0" w:lastRowFirstColumn="0" w:lastRowLastColumn="0"/>
            </w:pPr>
            <w:r>
              <w:t>VND 0,60 tỷ</w:t>
            </w:r>
          </w:p>
        </w:tc>
        <w:tc>
          <w:tcPr>
            <w:tcW w:w="2880" w:type="dxa"/>
          </w:tcPr>
          <w:p w14:paraId="2E028911" w14:textId="77777777" w:rsidR="000B1DB5" w:rsidRDefault="00000000">
            <w:pPr>
              <w:cnfStyle w:val="000000000000" w:firstRow="0" w:lastRow="0" w:firstColumn="0" w:lastColumn="0" w:oddVBand="0" w:evenVBand="0" w:oddHBand="0" w:evenHBand="0" w:firstRowFirstColumn="0" w:firstRowLastColumn="0" w:lastRowFirstColumn="0" w:lastRowLastColumn="0"/>
            </w:pPr>
            <w:r>
              <w:t>Dư địa thanh khoản thấp.</w:t>
            </w:r>
          </w:p>
        </w:tc>
      </w:tr>
      <w:tr w:rsidR="000B1DB5" w14:paraId="65618F19" w14:textId="77777777" w:rsidTr="000B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F4D53F" w14:textId="77777777" w:rsidR="000B1DB5" w:rsidRDefault="00000000">
            <w:r>
              <w:t>NWC / WCR</w:t>
            </w:r>
          </w:p>
        </w:tc>
        <w:tc>
          <w:tcPr>
            <w:tcW w:w="2880" w:type="dxa"/>
          </w:tcPr>
          <w:p w14:paraId="64A5B46A" w14:textId="77777777" w:rsidR="000B1DB5" w:rsidRDefault="00000000">
            <w:pPr>
              <w:cnfStyle w:val="000000100000" w:firstRow="0" w:lastRow="0" w:firstColumn="0" w:lastColumn="0" w:oddVBand="0" w:evenVBand="0" w:oddHBand="1" w:evenHBand="0" w:firstRowFirstColumn="0" w:firstRowLastColumn="0" w:lastRowFirstColumn="0" w:lastRowLastColumn="0"/>
            </w:pPr>
            <w:r>
              <w:t>VND 128,06 tỷ / 13,27 tỷ</w:t>
            </w:r>
          </w:p>
        </w:tc>
        <w:tc>
          <w:tcPr>
            <w:tcW w:w="2880" w:type="dxa"/>
          </w:tcPr>
          <w:p w14:paraId="44074151" w14:textId="77777777" w:rsidR="000B1DB5" w:rsidRDefault="00000000">
            <w:pPr>
              <w:cnfStyle w:val="000000100000" w:firstRow="0" w:lastRow="0" w:firstColumn="0" w:lastColumn="0" w:oddVBand="0" w:evenVBand="0" w:oddHBand="1" w:evenHBand="0" w:firstRowFirstColumn="0" w:firstRowLastColumn="0" w:lastRowFirstColumn="0" w:lastRowLastColumn="0"/>
            </w:pPr>
            <w:r>
              <w:t>NWC dương; cần đánh giá chất lượng tài sản ngắn hạn.</w:t>
            </w:r>
          </w:p>
        </w:tc>
      </w:tr>
      <w:tr w:rsidR="000B1DB5" w14:paraId="18F7423C" w14:textId="77777777" w:rsidTr="000B1DB5">
        <w:tc>
          <w:tcPr>
            <w:cnfStyle w:val="001000000000" w:firstRow="0" w:lastRow="0" w:firstColumn="1" w:lastColumn="0" w:oddVBand="0" w:evenVBand="0" w:oddHBand="0" w:evenHBand="0" w:firstRowFirstColumn="0" w:firstRowLastColumn="0" w:lastRowFirstColumn="0" w:lastRowLastColumn="0"/>
            <w:tcW w:w="2880" w:type="dxa"/>
          </w:tcPr>
          <w:p w14:paraId="6ABBA7A4" w14:textId="77777777" w:rsidR="000B1DB5" w:rsidRDefault="00000000">
            <w:r>
              <w:t>Nợ vay ngắn hạn / Tổng nợ phải trả</w:t>
            </w:r>
          </w:p>
        </w:tc>
        <w:tc>
          <w:tcPr>
            <w:tcW w:w="2880" w:type="dxa"/>
          </w:tcPr>
          <w:p w14:paraId="3C1B3E8E" w14:textId="77777777" w:rsidR="000B1DB5" w:rsidRDefault="00000000">
            <w:pPr>
              <w:cnfStyle w:val="000000000000" w:firstRow="0" w:lastRow="0" w:firstColumn="0" w:lastColumn="0" w:oddVBand="0" w:evenVBand="0" w:oddHBand="0" w:evenHBand="0" w:firstRowFirstColumn="0" w:firstRowLastColumn="0" w:lastRowFirstColumn="0" w:lastRowLastColumn="0"/>
            </w:pPr>
            <w:r>
              <w:t>27,26%</w:t>
            </w:r>
          </w:p>
        </w:tc>
        <w:tc>
          <w:tcPr>
            <w:tcW w:w="2880" w:type="dxa"/>
          </w:tcPr>
          <w:p w14:paraId="7C3BB0B6" w14:textId="77777777" w:rsidR="000B1DB5" w:rsidRDefault="00000000">
            <w:pPr>
              <w:cnfStyle w:val="000000000000" w:firstRow="0" w:lastRow="0" w:firstColumn="0" w:lastColumn="0" w:oddVBand="0" w:evenVBand="0" w:oddHBand="0" w:evenHBand="0" w:firstRowFirstColumn="0" w:firstRowLastColumn="0" w:lastRowFirstColumn="0" w:lastRowLastColumn="0"/>
            </w:pPr>
            <w:r>
              <w:t>Dưới ngưỡng rule 50%.</w:t>
            </w:r>
          </w:p>
        </w:tc>
      </w:tr>
      <w:tr w:rsidR="000B1DB5" w14:paraId="40C109B8" w14:textId="77777777" w:rsidTr="000B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4C50C" w14:textId="77777777" w:rsidR="000B1DB5" w:rsidRDefault="00000000">
            <w:r>
              <w:t>DSCR</w:t>
            </w:r>
          </w:p>
        </w:tc>
        <w:tc>
          <w:tcPr>
            <w:tcW w:w="2880" w:type="dxa"/>
          </w:tcPr>
          <w:p w14:paraId="11F8419E" w14:textId="77777777" w:rsidR="000B1DB5" w:rsidRDefault="00000000">
            <w:pPr>
              <w:cnfStyle w:val="000000100000" w:firstRow="0" w:lastRow="0" w:firstColumn="0" w:lastColumn="0" w:oddVBand="0" w:evenVBand="0" w:oddHBand="1" w:evenHBand="0" w:firstRowFirstColumn="0" w:firstRowLastColumn="0" w:lastRowFirstColumn="0" w:lastRowLastColumn="0"/>
            </w:pPr>
            <w:r>
              <w:t>**0,37x**</w:t>
            </w:r>
          </w:p>
        </w:tc>
        <w:tc>
          <w:tcPr>
            <w:tcW w:w="2880" w:type="dxa"/>
          </w:tcPr>
          <w:p w14:paraId="7BF9FF38" w14:textId="77777777" w:rsidR="000B1DB5" w:rsidRDefault="00000000">
            <w:pPr>
              <w:cnfStyle w:val="000000100000" w:firstRow="0" w:lastRow="0" w:firstColumn="0" w:lastColumn="0" w:oddVBand="0" w:evenVBand="0" w:oddHBand="1" w:evenHBand="0" w:firstRowFirstColumn="0" w:firstRowLastColumn="0" w:lastRowFirstColumn="0" w:lastRowLastColumn="0"/>
            </w:pPr>
            <w:r>
              <w:t>**CRITICAL** - không đạt ngưỡng 1,00x.</w:t>
            </w:r>
          </w:p>
        </w:tc>
      </w:tr>
      <w:tr w:rsidR="000B1DB5" w14:paraId="3FAD31B2" w14:textId="77777777" w:rsidTr="000B1DB5">
        <w:tc>
          <w:tcPr>
            <w:cnfStyle w:val="001000000000" w:firstRow="0" w:lastRow="0" w:firstColumn="1" w:lastColumn="0" w:oddVBand="0" w:evenVBand="0" w:oddHBand="0" w:evenHBand="0" w:firstRowFirstColumn="0" w:firstRowLastColumn="0" w:lastRowFirstColumn="0" w:lastRowLastColumn="0"/>
            <w:tcW w:w="2880" w:type="dxa"/>
          </w:tcPr>
          <w:p w14:paraId="489EB3C8" w14:textId="77777777" w:rsidR="000B1DB5" w:rsidRDefault="00000000">
            <w:r>
              <w:t>ICR (payload)</w:t>
            </w:r>
          </w:p>
        </w:tc>
        <w:tc>
          <w:tcPr>
            <w:tcW w:w="2880" w:type="dxa"/>
          </w:tcPr>
          <w:p w14:paraId="0B63D4A1" w14:textId="77777777" w:rsidR="000B1DB5" w:rsidRDefault="00000000">
            <w:pPr>
              <w:cnfStyle w:val="000000000000" w:firstRow="0" w:lastRow="0" w:firstColumn="0" w:lastColumn="0" w:oddVBand="0" w:evenVBand="0" w:oddHBand="0" w:evenHBand="0" w:firstRowFirstColumn="0" w:firstRowLastColumn="0" w:lastRowFirstColumn="0" w:lastRowLastColumn="0"/>
            </w:pPr>
            <w:r>
              <w:t>1,45x</w:t>
            </w:r>
          </w:p>
        </w:tc>
        <w:tc>
          <w:tcPr>
            <w:tcW w:w="2880" w:type="dxa"/>
          </w:tcPr>
          <w:p w14:paraId="0FE0D738" w14:textId="77777777" w:rsidR="000B1DB5" w:rsidRDefault="00000000">
            <w:pPr>
              <w:cnfStyle w:val="000000000000" w:firstRow="0" w:lastRow="0" w:firstColumn="0" w:lastColumn="0" w:oddVBand="0" w:evenVBand="0" w:oddHBand="0" w:evenHBand="0" w:firstRowFirstColumn="0" w:firstRowLastColumn="0" w:lastRowFirstColumn="0" w:lastRowLastColumn="0"/>
            </w:pPr>
            <w:r>
              <w:t>Dưới ngưỡng 1,50x; không dùng để quyết định cho đến khi tái phân loại.</w:t>
            </w:r>
          </w:p>
        </w:tc>
      </w:tr>
    </w:tbl>
    <w:p w14:paraId="725855E6" w14:textId="77777777" w:rsidR="000B1DB5" w:rsidRDefault="00000000">
      <w:r>
        <w:t>Chất lượng thanh khoản: Tiền cuối kỳ chỉ khoảng VND 0,62 tỷ. Tài sản ngắn hạn VND 293,37 tỷ tập trung tại chứng khoán kinh doanh khoảng VND 169,91 tỷ và phải thu ngắn hạn khác khoảng VND 96,88 tỷ, không tương đương tiền sẵn sàng trả nợ.</w:t>
      </w:r>
    </w:p>
    <w:p w14:paraId="41E44966" w14:textId="77777777" w:rsidR="000B1DB5" w:rsidRDefault="00000000">
      <w:pPr>
        <w:pStyle w:val="Heading1"/>
      </w:pPr>
      <w:r>
        <w:t>3. Đối soát và Red Flags</w:t>
      </w:r>
    </w:p>
    <w:p w14:paraId="6DE096CF" w14:textId="77777777" w:rsidR="000B1DB5" w:rsidRDefault="00000000">
      <w:pPr>
        <w:pStyle w:val="ListBullet"/>
      </w:pPr>
      <w:r>
        <w:t>**RF05 - CRITICAL:** DSCR 0,37x; engine yêu cầu thẩm định thủ công.</w:t>
      </w:r>
    </w:p>
    <w:p w14:paraId="5C066B59" w14:textId="77777777" w:rsidR="000B1DB5" w:rsidRDefault="00000000">
      <w:pPr>
        <w:pStyle w:val="ListBullet"/>
      </w:pPr>
      <w:r>
        <w:lastRenderedPageBreak/>
        <w:t>DSP doanh thu **VND 89,50 tỷ**, thấp hơn BCTC/VAT khoảng **VND 0,61 tỷ (0,67%)**; phải thu DSP **VND 1,05 tỷ** so với BCTC **VND 1,03 tỷ**, chênh khoảng **VND 19 triệu**. Chênh lệch trong ngưỡng 5% của engine nhưng vẫn cần xác nhận kỳ cut-off và nguồn DSP.</w:t>
      </w:r>
    </w:p>
    <w:p w14:paraId="7D5121C0" w14:textId="77777777" w:rsidR="000B1DB5" w:rsidRDefault="00000000">
      <w:pPr>
        <w:pStyle w:val="ListBullet"/>
      </w:pPr>
      <w:r>
        <w:t>`IS_EBIT` trong payload **VND 12,41 tỷ** không phải EBIT thể hiện trên KQKD: giá trị này gồm lợi nhuận hoạt động khoảng **VND 0,27 tỷ** cộng toàn bộ chi phí tài chính. Tương tự, lãi vay **VND 8,58 tỷ** trong payload là lãi đã trả trên lưu chuyển tiền tệ, trong khi KQKD thể hiện chi phí lãi vay kế toán bằng 0. **Tái lập EBIT, lãi vay và DSCR là điều kiện bắt buộc.**</w:t>
      </w:r>
    </w:p>
    <w:p w14:paraId="2C88BC96" w14:textId="77777777" w:rsidR="000B1DB5" w:rsidRDefault="00000000">
      <w:pPr>
        <w:pStyle w:val="ListBullet"/>
      </w:pPr>
      <w:r>
        <w:t>BCTC chưa kiểm toán; trường định danh người nộp thuế trên BCTC để trống và tên pháp nhân trong payload khác workbook/BCTC. Cần xác minh MST, pháp nhân và liên kết dữ liệu gốc.</w:t>
      </w:r>
    </w:p>
    <w:p w14:paraId="14B78775" w14:textId="77777777" w:rsidR="000B1DB5" w:rsidRPr="00077B91" w:rsidRDefault="00000000">
      <w:pPr>
        <w:pStyle w:val="ListBullet"/>
        <w:rPr>
          <w:color w:val="EE0000"/>
        </w:rPr>
      </w:pPr>
      <w:r w:rsidRPr="00077B91">
        <w:rPr>
          <w:color w:val="EE0000"/>
        </w:rPr>
        <w:t>Sao kê cho thấy các khoản chuyển vào/chuyển ra đối ứng quy mô lớn với đối tác xây dựng, gồm giao dịch cùng ngày khoảng **VND 6 tỷ** và vòng quay khoảng **VND 0,6 tỷ**. Yêu cầu giải trình bản chất, hợp đồng, hóa đơn, nghiệm thu và quan hệ liên quan.</w:t>
      </w:r>
    </w:p>
    <w:p w14:paraId="5FD4597C" w14:textId="77777777" w:rsidR="000B1DB5" w:rsidRDefault="00000000">
      <w:pPr>
        <w:pStyle w:val="Heading1"/>
      </w:pPr>
      <w:r>
        <w:t>4. Điều kiện tín dụng đề xuất</w:t>
      </w:r>
    </w:p>
    <w:p w14:paraId="7079DCE9" w14:textId="77777777" w:rsidR="000B1DB5" w:rsidRDefault="00000000">
      <w:pPr>
        <w:pStyle w:val="ListNumber"/>
      </w:pPr>
      <w:r>
        <w:t>Xác minh pháp nhân, MST, người ký, BCTC và tài liệu thuế gốc; cập nhật BCTC được kiểm toán hoặc xác nhận bởi cơ quan có thẩm quyền.</w:t>
      </w:r>
    </w:p>
    <w:p w14:paraId="0E1CC1F2" w14:textId="77777777" w:rsidR="000B1DB5" w:rsidRDefault="00000000">
      <w:pPr>
        <w:pStyle w:val="ListNumber"/>
      </w:pPr>
      <w:r>
        <w:t>Tái lập mô hình trả nợ từ dòng tiền hợp đồng, phân loại đúng EBIT/lãi vay, lịch gốc lãi và nguồn trả nợ; không dùng ICR/DSCR hiện tại làm cơ sở duy nhất.</w:t>
      </w:r>
    </w:p>
    <w:p w14:paraId="00491897" w14:textId="77777777" w:rsidR="000B1DB5" w:rsidRDefault="00000000">
      <w:pPr>
        <w:pStyle w:val="ListNumber"/>
      </w:pPr>
      <w:r>
        <w:t>Bổ sung hợp đồng đầu ra VND 20,0 tỷ, năng lực tài chính bên mua, hóa đơn, nghiệm thu, đối chiếu công nợ và chứng từ luồng tiền.</w:t>
      </w:r>
    </w:p>
    <w:p w14:paraId="0F410AC3" w14:textId="77777777" w:rsidR="000B1DB5" w:rsidRDefault="00000000">
      <w:pPr>
        <w:pStyle w:val="ListNumber"/>
      </w:pPr>
      <w:r>
        <w:t>Giải trình các giao dịch quay vòng và xác nhận không phải luồng tiền vay mượn/chuyển nội bộ làm đẹp doanh thu.</w:t>
      </w:r>
    </w:p>
    <w:p w14:paraId="4D468D44" w14:textId="77777777" w:rsidR="000B1DB5" w:rsidRDefault="00000000">
      <w:pPr>
        <w:pStyle w:val="ListNumber"/>
      </w:pPr>
      <w:r>
        <w:t>Tài sản bảo đảm bên thứ ba: rà soát quyền sở hữu, đăng ký giao dịch bảo đảm tại MB, thứ tự ưu tiên, giải chấp, ý kiến pháp lý và định giá cập nhật trước giải ngân.</w:t>
      </w:r>
    </w:p>
    <w:p w14:paraId="26A65B47" w14:textId="77777777" w:rsidR="000B1DB5" w:rsidRDefault="00000000">
      <w:r>
        <w:t>Lưu ý: Memo là kết quả hỗ trợ thẩm định dựa trên hồ sơ mô phỏng ẩn danh; không phải phê duyệt tín dụng hay kết luận pháp lý cuối cùng.</w:t>
      </w:r>
    </w:p>
    <w:sectPr w:rsidR="000B1DB5"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223893">
    <w:abstractNumId w:val="8"/>
  </w:num>
  <w:num w:numId="2" w16cid:durableId="1088385412">
    <w:abstractNumId w:val="6"/>
  </w:num>
  <w:num w:numId="3" w16cid:durableId="825053496">
    <w:abstractNumId w:val="5"/>
  </w:num>
  <w:num w:numId="4" w16cid:durableId="700545560">
    <w:abstractNumId w:val="4"/>
  </w:num>
  <w:num w:numId="5" w16cid:durableId="599796833">
    <w:abstractNumId w:val="7"/>
  </w:num>
  <w:num w:numId="6" w16cid:durableId="1374695235">
    <w:abstractNumId w:val="3"/>
  </w:num>
  <w:num w:numId="7" w16cid:durableId="1483694093">
    <w:abstractNumId w:val="2"/>
  </w:num>
  <w:num w:numId="8" w16cid:durableId="664238823">
    <w:abstractNumId w:val="1"/>
  </w:num>
  <w:num w:numId="9" w16cid:durableId="211308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B91"/>
    <w:rsid w:val="000B1DB5"/>
    <w:rsid w:val="0015074B"/>
    <w:rsid w:val="0029639D"/>
    <w:rsid w:val="00326F90"/>
    <w:rsid w:val="00AA1D8D"/>
    <w:rsid w:val="00B41E9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3C2AA4-AFB0-4E68-8E8F-8F6313225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565</Words>
  <Characters>3224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Nguyen</cp:lastModifiedBy>
  <cp:revision>2</cp:revision>
  <dcterms:created xsi:type="dcterms:W3CDTF">2013-12-23T23:15:00Z</dcterms:created>
  <dcterms:modified xsi:type="dcterms:W3CDTF">2026-08-30T11:18:00Z</dcterms:modified>
  <cp:category/>
</cp:coreProperties>
</file>