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C41230"/>
        </w:rPr>
        <w:t>NGÂN HÀNG TMCP HÀNG HẢI VIỆT NAM (MSB)</w:t>
      </w:r>
    </w:p>
    <w:p>
      <w:pPr>
        <w:jc w:val="center"/>
      </w:pPr>
      <w:r>
        <w:rPr>
          <w:b/>
          <w:color w:val="C41230"/>
          <w:sz w:val="28"/>
        </w:rPr>
        <w:t>TỜ TRÌNH THẨM ĐỊNH &amp; PHÊ DUYỆT TÍN DỤNG</w:t>
        <w:br/>
        <w:t>KHÁCH HÀNG DOANH NGHIỆP</w:t>
      </w:r>
    </w:p>
    <w:p>
      <w:r>
        <w:t>Mã số tờ trình: MSB/TTTD/2025/EB-ALPHA-2025-001</w:t>
        <w:br/>
        <w:t>Ngày lập: 30/08/2026</w:t>
      </w:r>
    </w:p>
    <w:p>
      <w:pPr>
        <w:pStyle w:val="Heading1"/>
      </w:pPr>
      <w:r>
        <w:t>I. THÔNG TIN KHÁCH HÀNG &amp; PHÁP LÝ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Thông tin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Nội dung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Tên doanh nghiệp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CÔNG TY CỔ PHẦN TẬP ĐOÀN ĐẦU TƯ ALPHA (MOCK AN DANH)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Mã số thuế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0318999888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Mã CIF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Năm thành lập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Địa chỉ trụ sở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Người đại diện pháp luật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NGUYỄN VĂN ALPHA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Vốn điều lệ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Ngành nghề kinh doanh chính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Đầu tư &amp; Xây lắp Bất động sản / Thương mại</w:t>
            </w:r>
          </w:p>
        </w:tc>
      </w:tr>
    </w:tbl>
    <w:p>
      <w:pPr>
        <w:pStyle w:val="Heading1"/>
      </w:pPr>
      <w:r>
        <w:t>II. TÌNH HÌNH TÀI CHÍNH &amp; ĐỐI SOÁT DỮ LIỆU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Chỉ tiêu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Chưa cung cấp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Chưa cung cấp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FY2025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Tổng tài sản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Nợ ngắn hạn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165.307.940.854 VND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Nợ dài hạn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Vốn chủ sở hữu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580.965.107.518 VND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Doanh thu thuần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90.105.893.754 VND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Lợi nhuận trước thuế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Lợi nhuận sau thuế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23.267.766 VND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Dòng tiền thuần HĐKD (CFO)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8.624.346.207 VND</w:t>
            </w:r>
          </w:p>
        </w:tc>
      </w:tr>
    </w:tbl>
    <w:p>
      <w:pPr>
        <w:pStyle w:val="Heading2"/>
      </w:pPr>
      <w:r>
        <w:t>Chỉ số an toàn tài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Chỉ số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Giá trị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Nhận xét tự động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NWC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128.061.897.765 VND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Dương: duy trì vốn lưu động ròng.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WCR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13.267.275.304 VND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Theo dõi nhu cầu vốn lưu động.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DSCR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0.37x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Dưới ngưỡng 1,00x.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ICR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1.45x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Dưới ngưỡng 1,50x.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Dòng tiền thuần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599.000.421 VND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Dòng tiền thuần theo BCTC.</w:t>
            </w:r>
          </w:p>
        </w:tc>
      </w:tr>
    </w:tbl>
    <w:p>
      <w:pPr>
        <w:pStyle w:val="Heading2"/>
      </w:pPr>
      <w:r>
        <w:t>Đối soát Digisale (DSP)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Chỉ tiêu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BCTC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DSP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Chênh lệch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Tỷ lệ lệch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Doanh thu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90.105.893.754 VND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89.500.000.000 VND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605.893.754 VND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0.67%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Phải thu thương mại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1.030.523.666 VND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1.050.000.000 VND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19.476.334 VND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1.89%</w:t>
            </w:r>
          </w:p>
        </w:tc>
      </w:tr>
    </w:tbl>
    <w:p>
      <w:pPr>
        <w:pStyle w:val="Heading1"/>
      </w:pPr>
      <w:r>
        <w:t>III. KẾT QUẢ RÀ SOÁT RỦI RO &amp; RED FLAGS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Mã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Rủi ro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Trạng thái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Mức độ</w:t>
            </w:r>
          </w:p>
        </w:tc>
        <w:tc>
          <w:tcPr>
            <w:tcW w:type="dxa" w:w="2131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Bằng chứng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RF01_CAPITAL_IMBALANCE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Mất cân đối vốn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Equity &lt;= 0 or NWC &lt; 0.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RF02_NEGATIVE_CFO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Dòng tiền HĐKD âm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Operating cash flow is below zero.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RF03_SHORT_TERM_DEBT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Nợ ngắn hạn vượt ngưỡng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Short-term debt / total liabilities exceeds policy threshold.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RF04_DSP_MISMATCH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Lệch số liệu Digisale (DSP)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Largest relative variance for revenue or trade receivables.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RF05_DEBT_SERVICE_CAPACITY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Khả năng trả nợ yếu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RED FLAG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DSCR &lt; minimum or ICR &lt; minimum.</w:t>
            </w:r>
          </w:p>
        </w:tc>
      </w:tr>
      <w:tr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OUTDATED_DATA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Dữ liệu BCTC quá hạn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PASS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NONE</w:t>
            </w:r>
          </w:p>
        </w:tc>
        <w:tc>
          <w:tcPr>
            <w:tcW w:type="dxa" w:w="2131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Financial statement is within the 12-month policy window and has not expired.</w:t>
            </w:r>
          </w:p>
        </w:tc>
      </w:tr>
    </w:tbl>
    <w:p>
      <w:pPr>
        <w:pStyle w:val="Heading1"/>
      </w:pPr>
      <w:r>
        <w:t>IV. THẨM ĐỊNH ĐIỀU KIỆN SẢN PHẨM ĐẦU RA 039</w:t>
      </w:r>
    </w:p>
    <w:p>
      <w:r>
        <w:t>Kết quả sơ bộ: TỪ CHỐI / YÊU CẦU NGOẠI LỆ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Điều kiện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Kết quả</w:t>
            </w:r>
          </w:p>
        </w:tc>
        <w:tc>
          <w:tcPr>
            <w:tcW w:type="dxa" w:w="3552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Bằng chứng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Tư cách Khách hàng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PASS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SoNamHoatDong=8.0; VCSH=580965107518.0; yêu cầu &gt;=3 năm và VCSH &gt; 0.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Tư cách Người mua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RED FLAG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  <w:shd w:fill="FFF2CC"/>
          </w:tcPr>
          <w:p>
            <w:r>
              <w:rPr>
                <w:b/>
                <w:color w:val="C00000"/>
              </w:rPr>
              <w:t>DT_BQ_2Nam=None; SoNamHoatDong_Buyer=5.0; yêu cầu DT_BQ &gt;= 50 tỷ và &gt;=3 năm.</w:t>
            </w:r>
          </w:p>
        </w:tc>
      </w:tr>
      <w:tr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Tỷ lệ tài trợ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PASS</w:t>
            </w:r>
          </w:p>
        </w:tc>
        <w:tc>
          <w:tcPr>
            <w:tcW w:type="dxa" w:w="3552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TyLeTaiTro=0.75; yêu cầu &lt;= 0.80.</w:t>
            </w:r>
          </w:p>
        </w:tc>
      </w:tr>
    </w:tbl>
    <w:p>
      <w:pPr>
        <w:pStyle w:val="Heading1"/>
      </w:pPr>
      <w:r>
        <w:t>V. KẾT LUẬN &amp; ĐỀ XUẤT PHÊ DUYỆT CẤP TÍN DỤNG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Nội dung</w:t>
            </w:r>
          </w:p>
        </w:tc>
        <w:tc>
          <w:tcPr>
            <w:tcW w:type="dxa" w:w="5328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Đề xuất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Hạn mức đề xuất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15.000.000.000 VND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Thời hạn cấp hạn mức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Biện pháp bảo đảm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Lãi suất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  <w:tr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Điều kiện giải ngân</w:t>
            </w:r>
          </w:p>
        </w:tc>
        <w:tc>
          <w:tcPr>
            <w:tcW w:type="dxa" w:w="5328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t>Chưa cung cấp</w:t>
            </w:r>
          </w:p>
        </w:tc>
      </w:tr>
    </w:tbl>
    <w:p>
      <w:r>
        <w:t>Khuyến nghị hệ thống: manual_review_required. Kết quả là công cụ hỗ trợ; cấp có thẩm quyền thực hiện phê duyệt cuối cùng sau khi kiểm tra hồ sơ gốc.</w:t>
      </w:r>
    </w:p>
    <w:p>
      <w:pPr>
        <w:pStyle w:val="Heading2"/>
      </w:pPr>
      <w:r>
        <w:t>XÁC NHẬN /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Chuyên viên QLKH (RM)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Trưởng phòng KHDN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Giám đốc Chi nhánh/Hub</w:t>
            </w:r>
          </w:p>
        </w:tc>
        <w:tc>
          <w:tcPr>
            <w:tcW w:type="dxa" w:w="2664"/>
            <w:shd w:fill="C41230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rPr>
                <w:b/>
                <w:color w:val="FFFFFF"/>
              </w:rPr>
              <w:t>Cấp Phê duyệt Rủi ro</w:t>
            </w:r>
          </w:p>
        </w:tc>
      </w:tr>
      <w:tr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br/>
              <w:br/>
              <w:br/>
              <w:t>(Ký, ghi rõ họ tên)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br/>
              <w:br/>
              <w:br/>
              <w:t>(Ký, ghi rõ họ tên)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br/>
              <w:br/>
              <w:br/>
              <w:t>(Ký, ghi rõ họ tên)</w:t>
            </w:r>
          </w:p>
        </w:tc>
        <w:tc>
          <w:tcPr>
            <w:tcW w:type="dxa" w:w="2664"/>
            <w:tcBorders>
              <w:top w:val="single" w:sz="4" w:color="B7B7B7"/>
              <w:left w:val="single" w:sz="4" w:color="B7B7B7"/>
              <w:bottom w:val="single" w:sz="4" w:color="B7B7B7"/>
              <w:right w:val="single" w:sz="4" w:color="B7B7B7"/>
            </w:tcBorders>
          </w:tcPr>
          <w:p>
            <w:r>
              <w:br/>
              <w:br/>
              <w:br/>
              <w:t>(Ký, ghi rõ họ tên)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20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Tài liệu hỗ trợ thẩm định nội bộ | M-Credit 360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