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C41230"/>
          <w:sz w:val="24"/>
        </w:rPr>
        <w:t>NGÂN HÀNG TMCP HÀNG HẢI VIỆT NAM (MSB)</w:t>
      </w:r>
    </w:p>
    <w:p>
      <w:pPr>
        <w:jc w:val="center"/>
      </w:pPr>
      <w:r>
        <w:rPr>
          <w:i/>
          <w:sz w:val="20"/>
        </w:rPr>
        <w:t>Mã biểu mẫu: MB02a/QT.RR.037</w:t>
      </w:r>
    </w:p>
    <w:p>
      <w:pPr>
        <w:jc w:val="center"/>
      </w:pPr>
      <w:r>
        <w:rPr>
          <w:b/>
          <w:color w:val="C41230"/>
          <w:sz w:val="28"/>
        </w:rPr>
        <w:t>TỜ TRÌNH THẨM ĐỊNH &amp; PHÊ DUYỆT TÍN DỤNG DOANH NGHIỆP</w:t>
      </w:r>
    </w:p>
    <w:p>
      <w:pPr>
        <w:jc w:val="center"/>
      </w:pPr>
      <w:r>
        <w:rPr>
          <w:sz w:val="20"/>
        </w:rPr>
        <w:t>Số tờ trình: MSB/TTTD/2026/EB-QA-TEST  |  Ngày lập: 16/09/2026</w:t>
      </w:r>
    </w:p>
    <w:p>
      <w:pPr>
        <w:pStyle w:val="Heading1"/>
      </w:pPr>
      <w:r>
        <w:rPr>
          <w:rFonts w:ascii="Arial" w:hAnsi="Arial"/>
          <w:color w:val="C41230"/>
        </w:rPr>
        <w:t>I. THÔNG TIN KHÁCH HÀNG &amp; PHÁP LÝ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Hạng mục</w:t>
            </w:r>
          </w:p>
        </w:tc>
        <w:tc>
          <w:tcPr>
            <w:tcW w:type="dxa" w:w="2664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  <w:tc>
          <w:tcPr>
            <w:tcW w:type="dxa" w:w="2664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Hạng mục</w:t>
            </w:r>
          </w:p>
        </w:tc>
        <w:tc>
          <w:tcPr>
            <w:tcW w:type="dxa" w:w="2664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Tên Doanh nghiệp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QA Corp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Mã CIF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Mã số thuế (MST)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0311807068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Tình trạng KH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Mới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Đối tượng KH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SME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Số ĐKKD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Ngày cấp ĐKKD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Nơi cấp ĐKKD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Số năm hoạt động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Vốn điều lệ đăng ký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Vốn điều lệ thực góp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Ngành nghề cấp 3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Ngành nghề cấp 5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Nhóm ngành rủi ro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Địa chỉ trụ sở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Người đại diện PL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Số CCCD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Ngày cấp CCCD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</w:r>
          </w:p>
        </w:tc>
      </w:tr>
    </w:tbl>
    <w:p>
      <w:pPr>
        <w:pStyle w:val="Heading1"/>
      </w:pPr>
      <w:r>
        <w:rPr>
          <w:rFonts w:ascii="Arial" w:hAnsi="Arial"/>
          <w:color w:val="C41230"/>
        </w:rPr>
        <w:t>II. ĐỀ XUẤT CẤP TÍN DỤNG &amp; TÀI SẢN BẢO ĐẢM</w:t>
      </w:r>
    </w:p>
    <w:p>
      <w:pPr>
        <w:pStyle w:val="Heading2"/>
      </w:pPr>
      <w:r>
        <w:rPr>
          <w:rFonts w:ascii="Arial" w:hAnsi="Arial"/>
          <w:color w:val="3C3C3C"/>
        </w:rPr>
        <w:t>1. Đề xuất Hạn mức Tín dụng (B5)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Hạng mục</w:t>
            </w:r>
          </w:p>
        </w:tc>
        <w:tc>
          <w:tcPr>
            <w:tcW w:type="dxa" w:w="2664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Hạn mức (VND)</w:t>
            </w:r>
          </w:p>
        </w:tc>
        <w:tc>
          <w:tcPr>
            <w:tcW w:type="dxa" w:w="2664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Thời hạn</w:t>
            </w:r>
          </w:p>
        </w:tc>
        <w:tc>
          <w:tcPr>
            <w:tcW w:type="dxa" w:w="2664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Cho vay ngắn hạn (Main 1)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12 tháng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Tài trợ TM L/C (Main 2)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12 tháng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Bảo lãnh ngoại bảng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12 tháng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Tổng giới hạn HMTD (MCL)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Tỷ lệ HMTD/Doanh thu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</w:r>
          </w:p>
        </w:tc>
      </w:tr>
    </w:tbl>
    <w:p>
      <w:pPr>
        <w:pStyle w:val="Heading2"/>
      </w:pPr>
      <w:r>
        <w:rPr>
          <w:rFonts w:ascii="Arial" w:hAnsi="Arial"/>
          <w:color w:val="3C3C3C"/>
        </w:rPr>
        <w:t>2. Tài sản Bảo đảm (B7)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Loại TS</w:t>
            </w:r>
          </w:p>
        </w:tc>
        <w:tc>
          <w:tcPr>
            <w:tcW w:type="dxa" w:w="1776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Tên tài sản</w:t>
            </w:r>
          </w:p>
        </w:tc>
        <w:tc>
          <w:tcPr>
            <w:tcW w:type="dxa" w:w="1776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Chủ TS</w:t>
            </w:r>
          </w:p>
        </w:tc>
        <w:tc>
          <w:tcPr>
            <w:tcW w:type="dxa" w:w="1776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Mối QH</w:t>
            </w:r>
          </w:p>
        </w:tc>
        <w:tc>
          <w:tcPr>
            <w:tcW w:type="dxa" w:w="1776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Giá trị định giá</w:t>
            </w:r>
          </w:p>
        </w:tc>
        <w:tc>
          <w:tcPr>
            <w:tcW w:type="dxa" w:w="1776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Tỷ lệ K</w:t>
            </w:r>
          </w:p>
        </w:tc>
      </w:tr>
      <w:tr>
        <w:tc>
          <w:tcPr>
            <w:tcW w:type="dxa" w:w="177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77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177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77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77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77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</w:r>
          </w:p>
        </w:tc>
      </w:tr>
    </w:tbl>
    <w:p>
      <w:pPr>
        <w:pStyle w:val="Heading2"/>
      </w:pPr>
      <w:r>
        <w:rPr>
          <w:rFonts w:ascii="Arial" w:hAnsi="Arial"/>
          <w:color w:val="3C3C3C"/>
        </w:rPr>
        <w:t>3. Điều kiện Tín dụng (B13)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Điều kiện</w:t>
            </w:r>
          </w:p>
        </w:tc>
        <w:tc>
          <w:tcPr>
            <w:tcW w:type="dxa" w:w="3552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  <w:tc>
          <w:tcPr>
            <w:tcW w:type="dxa" w:w="3552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Thời hạn duy trì HMTD</w:t>
            </w:r>
          </w:p>
        </w:tc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12 tháng</w:t>
            </w:r>
          </w:p>
        </w:tc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Lãi suất cho vay</w:t>
            </w:r>
          </w:p>
        </w:tc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Tỷ lệ ký quỹ tối thiểu</w:t>
            </w:r>
          </w:p>
        </w:tc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</w:r>
          </w:p>
        </w:tc>
      </w:tr>
    </w:tbl>
    <w:p>
      <w:pPr>
        <w:pStyle w:val="Heading1"/>
      </w:pPr>
      <w:r>
        <w:rPr>
          <w:rFonts w:ascii="Arial" w:hAnsi="Arial"/>
          <w:color w:val="C41230"/>
        </w:rPr>
        <w:t>III. NỘI DUNG THẨM ĐỊNH &amp; TÀI CHÍNH BCTC 3 KỲ</w:t>
      </w:r>
    </w:p>
    <w:p>
      <w:pPr>
        <w:pStyle w:val="Heading2"/>
      </w:pPr>
      <w:r>
        <w:rPr>
          <w:rFonts w:ascii="Arial" w:hAnsi="Arial"/>
          <w:color w:val="3C3C3C"/>
        </w:rPr>
        <w:t>1. Quan hệ tín dụng &amp; CIC (B16)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Chỉ tiêu</w:t>
            </w:r>
          </w:p>
        </w:tc>
        <w:tc>
          <w:tcPr>
            <w:tcW w:type="dxa" w:w="2131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Tại MSB</w:t>
            </w:r>
          </w:p>
        </w:tc>
        <w:tc>
          <w:tcPr>
            <w:tcW w:type="dxa" w:w="2131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Tại TCTD khác</w:t>
            </w:r>
          </w:p>
        </w:tc>
        <w:tc>
          <w:tcPr>
            <w:tcW w:type="dxa" w:w="2131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Tổng</w:t>
            </w:r>
          </w:p>
        </w:tc>
        <w:tc>
          <w:tcPr>
            <w:tcW w:type="dxa" w:w="2131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Dư nợ ngắn hạn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Dư nợ TD dài hạn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Nhóm nợ CIC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Nhóm 1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Lịch sử trả nợ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Tốt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</w:r>
          </w:p>
        </w:tc>
      </w:tr>
    </w:tbl>
    <w:p>
      <w:pPr>
        <w:pStyle w:val="Heading2"/>
      </w:pPr>
      <w:r>
        <w:rPr>
          <w:rFonts w:ascii="Arial" w:hAnsi="Arial"/>
          <w:color w:val="3C3C3C"/>
        </w:rPr>
        <w:t>2. Tổng hợp BCTC 3 năm (B32)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Chỉ tiêu</w:t>
            </w:r>
          </w:p>
        </w:tc>
        <w:tc>
          <w:tcPr>
            <w:tcW w:type="dxa" w:w="2664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Chưa cung cấp</w:t>
            </w:r>
          </w:p>
        </w:tc>
        <w:tc>
          <w:tcPr>
            <w:tcW w:type="dxa" w:w="2664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Chưa cung cấp</w:t>
            </w:r>
          </w:p>
        </w:tc>
        <w:tc>
          <w:tcPr>
            <w:tcW w:type="dxa" w:w="2664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Chưa cung cấp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Doanh thu thuần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318.000.000.000 VND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Tổng tài sản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Nợ ngắn hạn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145.000.000.000 VND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Nợ dài hạn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Vốn chủ sở hữu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Lợi nhuận gộp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EBIT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Chi phí lãi vay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Lợi nhuận sau thuế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Dòng tiền HĐKD (CFO)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</w:tr>
    </w:tbl>
    <w:p>
      <w:pPr>
        <w:pStyle w:val="Heading2"/>
      </w:pPr>
      <w:r>
        <w:rPr>
          <w:rFonts w:ascii="Arial" w:hAnsi="Arial"/>
          <w:color w:val="3C3C3C"/>
        </w:rPr>
        <w:t>3. Chỉ số an toàn tài chính &amp; Dòng tiền (B33)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Chỉ số</w:t>
            </w:r>
          </w:p>
        </w:tc>
        <w:tc>
          <w:tcPr>
            <w:tcW w:type="dxa" w:w="2664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2664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Ngưởng</w:t>
            </w:r>
          </w:p>
        </w:tc>
        <w:tc>
          <w:tcPr>
            <w:tcW w:type="dxa" w:w="2664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Nhận xét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FF3CD"/>
          </w:tcPr>
          <w:p>
            <w:r>
              <w:rPr>
                <w:b/>
                <w:color w:val="856404"/>
                <w:sz w:val="20"/>
              </w:rPr>
              <w:t>NWC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FF3CD"/>
          </w:tcPr>
          <w:p>
            <w:r>
              <w:rPr>
                <w:b/>
                <w:color w:val="856404"/>
                <w:sz w:val="20"/>
              </w:rPr>
              <w:t>-25.000.000.000 VND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FF3CD"/>
          </w:tcPr>
          <w:p>
            <w:r>
              <w:rPr>
                <w:b/>
                <w:color w:val="856404"/>
                <w:sz w:val="20"/>
              </w:rPr>
              <w:t>&gt; 0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FF3CD"/>
          </w:tcPr>
          <w:p>
            <w:r>
              <w:rPr>
                <w:b/>
                <w:color w:val="856404"/>
                <w:sz w:val="20"/>
              </w:rPr>
              <w:t>Âm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WCR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Theo dõi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DSCR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≥ 1,00x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Dưới ngưởng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ICR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≥ 1,50x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Dưới ngưởng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Dòng tiền thủan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Theo BCTC</w:t>
            </w:r>
          </w:p>
        </w:tc>
      </w:tr>
    </w:tbl>
    <w:p>
      <w:pPr>
        <w:pStyle w:val="Heading2"/>
      </w:pPr>
      <w:r>
        <w:rPr>
          <w:rFonts w:ascii="Arial" w:hAnsi="Arial"/>
          <w:color w:val="3C3C3C"/>
        </w:rPr>
        <w:t>4. Đối soát Digisale (DSP) &amp; 5 Red Flags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Chỉ tiêu</w:t>
            </w:r>
          </w:p>
        </w:tc>
        <w:tc>
          <w:tcPr>
            <w:tcW w:type="dxa" w:w="2131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BCTC</w:t>
            </w:r>
          </w:p>
        </w:tc>
        <w:tc>
          <w:tcPr>
            <w:tcW w:type="dxa" w:w="2131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DSP</w:t>
            </w:r>
          </w:p>
        </w:tc>
        <w:tc>
          <w:tcPr>
            <w:tcW w:type="dxa" w:w="2131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Chênh lệch</w:t>
            </w:r>
          </w:p>
        </w:tc>
        <w:tc>
          <w:tcPr>
            <w:tcW w:type="dxa" w:w="2131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Tỷ lệ lệch</w:t>
            </w:r>
          </w:p>
        </w:tc>
      </w:tr>
      <w:tr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Doanh thu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318.000.000.000 VND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</w:tr>
      <w:tr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Phải thu TM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Mã</w:t>
            </w:r>
          </w:p>
        </w:tc>
        <w:tc>
          <w:tcPr>
            <w:tcW w:type="dxa" w:w="2131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Rủi ro</w:t>
            </w:r>
          </w:p>
        </w:tc>
        <w:tc>
          <w:tcPr>
            <w:tcW w:type="dxa" w:w="2131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Trạng thái</w:t>
            </w:r>
          </w:p>
        </w:tc>
        <w:tc>
          <w:tcPr>
            <w:tcW w:type="dxa" w:w="2131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Mức độ</w:t>
            </w:r>
          </w:p>
        </w:tc>
        <w:tc>
          <w:tcPr>
            <w:tcW w:type="dxa" w:w="2131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Bằng chứng</w:t>
            </w:r>
          </w:p>
        </w:tc>
      </w:tr>
      <w:tr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FF3CD"/>
          </w:tcPr>
          <w:p>
            <w:r>
              <w:rPr>
                <w:b/>
                <w:color w:val="856404"/>
                <w:sz w:val="20"/>
              </w:rPr>
              <w:t>RF01_CAPITAL_IMBALANCE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FF3CD"/>
          </w:tcPr>
          <w:p>
            <w:r>
              <w:rPr>
                <w:b/>
                <w:color w:val="856404"/>
                <w:sz w:val="20"/>
              </w:rPr>
              <w:t>Mất cân đối vốn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FF3CD"/>
          </w:tcPr>
          <w:p>
            <w:r>
              <w:rPr>
                <w:b/>
                <w:color w:val="856404"/>
                <w:sz w:val="20"/>
              </w:rPr>
              <w:t>RED FLAG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FF3CD"/>
          </w:tcPr>
          <w:p>
            <w:r>
              <w:rPr>
                <w:b/>
                <w:color w:val="856404"/>
                <w:sz w:val="20"/>
              </w:rPr>
              <w:t>HIGH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FF3CD"/>
          </w:tcPr>
          <w:p>
            <w:r>
              <w:rPr>
                <w:b/>
                <w:color w:val="856404"/>
                <w:sz w:val="20"/>
              </w:rPr>
              <w:t>Equity &lt;= 0 or NWC &lt; 0.</w:t>
            </w:r>
          </w:p>
        </w:tc>
      </w:tr>
      <w:tr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RF02_NEGATIVE_CFO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Dòng tiền HĐKD âm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Operating cash flow is below zero.</w:t>
            </w:r>
          </w:p>
        </w:tc>
      </w:tr>
      <w:tr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RF03_SHORT_TERM_DEBT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Nợ ngắn hạn vượt ngưỡng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Short-term debt / total liabilities exceeds policy threshold.</w:t>
            </w:r>
          </w:p>
        </w:tc>
      </w:tr>
      <w:tr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RF04_DSP_MISMATCH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Lệch số liệu Digisale (DSP)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Largest relative variance for revenue or trade receivables.</w:t>
            </w:r>
          </w:p>
        </w:tc>
      </w:tr>
      <w:tr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RF05_DEBT_SERVICE_CAPACITY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Khả năng trả nợ yếu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DSCR &lt; minimum or ICR &lt; minimum.</w:t>
            </w:r>
          </w:p>
        </w:tc>
      </w:tr>
      <w:tr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OUTDATED_DATA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Dữ liệu BCTC quá hạn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Financial statement is within the 12-month policy window and has not expired.</w:t>
            </w:r>
          </w:p>
        </w:tc>
      </w:tr>
    </w:tbl>
    <w:p>
      <w:pPr>
        <w:pStyle w:val="Heading2"/>
      </w:pPr>
      <w:r>
        <w:rPr>
          <w:rFonts w:ascii="Arial" w:hAnsi="Arial"/>
          <w:color w:val="3C3C3C"/>
        </w:rPr>
        <w:t>5. Phân tích chuyên sâu sức khỏe tài chính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Lĩnh vực</w:t>
            </w:r>
          </w:p>
        </w:tc>
        <w:tc>
          <w:tcPr>
            <w:tcW w:type="dxa" w:w="3552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Quan sát</w:t>
            </w:r>
          </w:p>
        </w:tc>
        <w:tc>
          <w:tcPr>
            <w:tcW w:type="dxa" w:w="3552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Đánh giá</w:t>
            </w:r>
          </w:p>
        </w:tc>
      </w:tr>
      <w:tr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Thanh khoản &amp; Vốn lưu động</w:t>
            </w:r>
          </w:p>
        </w:tc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NWC = -25000000000.0 VND; Current ratio = 0.8275862068965517x</w:t>
            </w:r>
          </w:p>
        </w:tc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NWC âm — cảnh báo thanh khoản</w:t>
            </w:r>
          </w:p>
        </w:tc>
      </w:tr>
      <w:tr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Khả năng trả nợ</w:t>
            </w:r>
          </w:p>
        </w:tc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DSCR = Nonex; ICR = Nonex</w:t>
            </w:r>
          </w:p>
        </w:tc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đủ cơ sở đánh giá</w:t>
            </w:r>
          </w:p>
        </w:tc>
      </w:tr>
      <w:tr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Hiệu quả hoạt động</w:t>
            </w:r>
          </w:p>
        </w:tc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Biên lãi ròng = None; ROE = None</w:t>
            </w:r>
          </w:p>
        </w:tc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đủ cơ sở đánh giá</w:t>
            </w:r>
          </w:p>
        </w:tc>
      </w:tr>
      <w:tr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Đòn bẩy tài chính</w:t>
            </w:r>
          </w:p>
        </w:tc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D/E = Nonex</w:t>
            </w:r>
          </w:p>
        </w:tc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đủ cơ sở đánh giá</w:t>
            </w:r>
          </w:p>
        </w:tc>
      </w:tr>
      <w:tr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Dòng tiền HĐKD</w:t>
            </w:r>
          </w:p>
        </w:tc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CFO = None VND</w:t>
            </w:r>
          </w:p>
        </w:tc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đủ cơ sở đánh giá</w:t>
            </w:r>
          </w:p>
        </w:tc>
      </w:tr>
    </w:tbl>
    <w:p>
      <w:pPr>
        <w:pStyle w:val="Heading1"/>
      </w:pPr>
      <w:r>
        <w:rPr>
          <w:rFonts w:ascii="Arial" w:hAnsi="Arial"/>
          <w:color w:val="C41230"/>
        </w:rPr>
        <w:t>IV. PHÂN TÍCH CHUỔI CUNG ỨNG (TOP 5)</w:t>
      </w:r>
    </w:p>
    <w:p>
      <w:pPr>
        <w:pStyle w:val="Heading2"/>
      </w:pPr>
      <w:r>
        <w:rPr>
          <w:rFonts w:ascii="Arial" w:hAnsi="Arial"/>
          <w:color w:val="3C3C3C"/>
        </w:rPr>
        <w:t>1. Top 5 Nhà cung cấp (Suppliers)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76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Tên nhà cung cấp</w:t>
            </w:r>
          </w:p>
        </w:tc>
        <w:tc>
          <w:tcPr>
            <w:tcW w:type="dxa" w:w="1776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Giá trị mua</w:t>
            </w:r>
          </w:p>
        </w:tc>
        <w:tc>
          <w:tcPr>
            <w:tcW w:type="dxa" w:w="1776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Tỷ lệ</w:t>
            </w:r>
          </w:p>
        </w:tc>
        <w:tc>
          <w:tcPr>
            <w:tcW w:type="dxa" w:w="1776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Terms</w:t>
            </w:r>
          </w:p>
        </w:tc>
        <w:tc>
          <w:tcPr>
            <w:tcW w:type="dxa" w:w="1776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Số năm QH</w:t>
            </w:r>
          </w:p>
        </w:tc>
      </w:tr>
    </w:tbl>
    <w:p>
      <w:r>
        <w:rPr>
          <w:i/>
          <w:sz w:val="20"/>
        </w:rPr>
        <w:t>Tổng tỷ lệ Top 5: 0.00%  |  Mức độ tập trung: Thấp</w:t>
      </w:r>
    </w:p>
    <w:p>
      <w:pPr>
        <w:pStyle w:val="Heading2"/>
      </w:pPr>
      <w:r>
        <w:rPr>
          <w:rFonts w:ascii="Arial" w:hAnsi="Arial"/>
          <w:color w:val="3C3C3C"/>
        </w:rPr>
        <w:t>2. Top 5 Khách hàng (Buyers)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76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Tên khách hàng</w:t>
            </w:r>
          </w:p>
        </w:tc>
        <w:tc>
          <w:tcPr>
            <w:tcW w:type="dxa" w:w="1776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Giá trị bán</w:t>
            </w:r>
          </w:p>
        </w:tc>
        <w:tc>
          <w:tcPr>
            <w:tcW w:type="dxa" w:w="1776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Tỷ lệ</w:t>
            </w:r>
          </w:p>
        </w:tc>
        <w:tc>
          <w:tcPr>
            <w:tcW w:type="dxa" w:w="1776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Terms</w:t>
            </w:r>
          </w:p>
        </w:tc>
        <w:tc>
          <w:tcPr>
            <w:tcW w:type="dxa" w:w="1776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Số năm QH</w:t>
            </w:r>
          </w:p>
        </w:tc>
      </w:tr>
    </w:tbl>
    <w:p>
      <w:r>
        <w:rPr>
          <w:i/>
          <w:sz w:val="20"/>
        </w:rPr>
        <w:t>Tổng tỷ lệ Top 5: 0.00%  |  Mức độ tập trung: Thấp</w:t>
      </w:r>
    </w:p>
    <w:p>
      <w:pPr>
        <w:pStyle w:val="Heading1"/>
      </w:pPr>
      <w:r>
        <w:rPr>
          <w:rFonts w:ascii="Arial" w:hAnsi="Arial"/>
          <w:color w:val="C41230"/>
        </w:rPr>
        <w:t>V. PHÂN TÍCH SAO KÊ NGÂN HÀNG &amp; ANOMALY ENGINE</w:t>
      </w:r>
    </w:p>
    <w:p>
      <w:pPr>
        <w:pStyle w:val="Heading2"/>
      </w:pPr>
      <w:r>
        <w:rPr>
          <w:rFonts w:ascii="Arial" w:hAnsi="Arial"/>
          <w:color w:val="3C3C3C"/>
        </w:rPr>
        <w:t>1. Tổng quan dòng tiền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Chỉ tiêu</w:t>
            </w:r>
          </w:p>
        </w:tc>
        <w:tc>
          <w:tcPr>
            <w:tcW w:type="dxa" w:w="5328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Tổng inflow (12 tháng)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Tổng outflow (12 tháng)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Số dư bình quân tháng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Số tháng phân tích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None</w:t>
            </w:r>
          </w:p>
        </w:tc>
      </w:tr>
    </w:tbl>
    <w:p>
      <w:pPr>
        <w:pStyle w:val="Heading2"/>
      </w:pPr>
      <w:r>
        <w:rPr>
          <w:rFonts w:ascii="Arial" w:hAnsi="Arial"/>
          <w:color w:val="3C3C3C"/>
        </w:rPr>
        <w:t>2. Cờ báo động anomaly (5 flags)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Mã</w:t>
            </w:r>
          </w:p>
        </w:tc>
        <w:tc>
          <w:tcPr>
            <w:tcW w:type="dxa" w:w="1522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Tieu de</w:t>
            </w:r>
          </w:p>
        </w:tc>
        <w:tc>
          <w:tcPr>
            <w:tcW w:type="dxa" w:w="1522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Trạng thái</w:t>
            </w:r>
          </w:p>
        </w:tc>
        <w:tc>
          <w:tcPr>
            <w:tcW w:type="dxa" w:w="1522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Mức độ</w:t>
            </w:r>
          </w:p>
        </w:tc>
        <w:tc>
          <w:tcPr>
            <w:tcW w:type="dxa" w:w="1522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Số lần</w:t>
            </w:r>
          </w:p>
        </w:tc>
        <w:tc>
          <w:tcPr>
            <w:tcW w:type="dxa" w:w="1522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Tổng giá trị</w:t>
            </w:r>
          </w:p>
        </w:tc>
        <w:tc>
          <w:tcPr>
            <w:tcW w:type="dxa" w:w="1522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Bằng chứng</w:t>
            </w:r>
          </w:p>
        </w:tc>
      </w:tr>
    </w:tbl>
    <w:p>
      <w:pPr>
        <w:pStyle w:val="Heading1"/>
      </w:pPr>
      <w:r>
        <w:rPr>
          <w:rFonts w:ascii="Arial" w:hAnsi="Arial"/>
          <w:color w:val="C41230"/>
        </w:rPr>
        <w:t>VI. THẨM ĐỊNH ĐIỀU KIỆN SẢN PHẨM ĐẦU RA 039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664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Điều kiện</w:t>
            </w:r>
          </w:p>
        </w:tc>
        <w:tc>
          <w:tcPr>
            <w:tcW w:type="dxa" w:w="2664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  <w:tc>
          <w:tcPr>
            <w:tcW w:type="dxa" w:w="2664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Bằng chứng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FF3CD"/>
          </w:tcPr>
          <w:p>
            <w:r>
              <w:rPr>
                <w:b/>
                <w:color w:val="856404"/>
                <w:sz w:val="20"/>
              </w:rPr>
              <w:t>1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FF3CD"/>
          </w:tcPr>
          <w:p>
            <w:r>
              <w:rPr>
                <w:b/>
                <w:color w:val="856404"/>
                <w:sz w:val="20"/>
              </w:rPr>
              <w:t>Tư cách Khách hàng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FF3CD"/>
          </w:tcPr>
          <w:p>
            <w:r>
              <w:rPr>
                <w:b/>
                <w:color w:val="856404"/>
                <w:sz w:val="20"/>
              </w:rPr>
              <w:t>RED FLAG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FF3CD"/>
          </w:tcPr>
          <w:p>
            <w:r>
              <w:rPr>
                <w:b/>
                <w:color w:val="856404"/>
                <w:sz w:val="20"/>
              </w:rPr>
              <w:t>SoNamHoatDong=None; VCSH=None; yêu cầu &gt;=3 năm và VCSH &gt; 0.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FF3CD"/>
          </w:tcPr>
          <w:p>
            <w:r>
              <w:rPr>
                <w:b/>
                <w:color w:val="856404"/>
                <w:sz w:val="20"/>
              </w:rPr>
              <w:t>2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FF3CD"/>
          </w:tcPr>
          <w:p>
            <w:r>
              <w:rPr>
                <w:b/>
                <w:color w:val="856404"/>
                <w:sz w:val="20"/>
              </w:rPr>
              <w:t>Tư cách Người mua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FF3CD"/>
          </w:tcPr>
          <w:p>
            <w:r>
              <w:rPr>
                <w:b/>
                <w:color w:val="856404"/>
                <w:sz w:val="20"/>
              </w:rPr>
              <w:t>RED FLAG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FF3CD"/>
          </w:tcPr>
          <w:p>
            <w:r>
              <w:rPr>
                <w:b/>
                <w:color w:val="856404"/>
                <w:sz w:val="20"/>
              </w:rPr>
              <w:t>DT_BQ_2Nam=None; SoNamHoatDong_Buyer=None; yêu cầu DT_BQ &gt;= 50 tỷ và &gt;=3 năm.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FF3CD"/>
          </w:tcPr>
          <w:p>
            <w:r>
              <w:rPr>
                <w:b/>
                <w:color w:val="856404"/>
                <w:sz w:val="20"/>
              </w:rPr>
              <w:t>3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FF3CD"/>
          </w:tcPr>
          <w:p>
            <w:r>
              <w:rPr>
                <w:b/>
                <w:color w:val="856404"/>
                <w:sz w:val="20"/>
              </w:rPr>
              <w:t>Tỷ lệ tài trợ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FF3CD"/>
          </w:tcPr>
          <w:p>
            <w:r>
              <w:rPr>
                <w:b/>
                <w:color w:val="856404"/>
                <w:sz w:val="20"/>
              </w:rPr>
              <w:t>RED FLAG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FF3CD"/>
          </w:tcPr>
          <w:p>
            <w:r>
              <w:rPr>
                <w:b/>
                <w:color w:val="856404"/>
                <w:sz w:val="20"/>
              </w:rPr>
              <w:t>TyLeTaiTro=None; yêu cầu &lt;= 0.80.</w:t>
            </w:r>
          </w:p>
        </w:tc>
      </w:tr>
    </w:tbl>
    <w:p>
      <w:r>
        <w:rPr>
          <w:b/>
          <w:color w:val="C41230"/>
          <w:sz w:val="22"/>
        </w:rPr>
        <w:t>Kết luận: TỪ CHỐI / YÊU CẦU NGOẠI LỆ</w:t>
      </w:r>
    </w:p>
    <w:p>
      <w:pPr>
        <w:pStyle w:val="Heading1"/>
      </w:pPr>
      <w:r>
        <w:rPr>
          <w:rFonts w:ascii="Arial" w:hAnsi="Arial"/>
          <w:color w:val="C41230"/>
        </w:rPr>
        <w:t>VII. ĐÁNH GIÁ TÍN DỤNG 360° (SWOT)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Điểm mạnh (Strengths)</w:t>
            </w:r>
          </w:p>
        </w:tc>
        <w:tc>
          <w:tcPr>
            <w:tcW w:type="dxa" w:w="5328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Điểm yếu (Weaknesses)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Phân bổ nhà cung cấp đa dạng — rủi ro đứt nguồn thấp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Cơ hội (Opportunities)</w:t>
            </w:r>
          </w:p>
        </w:tc>
        <w:tc>
          <w:tcPr>
            <w:tcW w:type="dxa" w:w="5328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Rủi ro (Threats)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Room vay còn dư (D/E thấp) — tiềm năng cấp thêm HMTD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RF01_CAPITAL_IMBALANCE: Mất cân đối vốn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Sản phẩm 039 — tài trợ theo HDDR nếu bổ sung hồ sơ người mua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Product 039 bị từ chối — yêu cầu bổ sung ngoại lệ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Ngành BĐS phục hồi — cơ hội gia tăng doanh thu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Biến động lãi suất — ảnh hưởng chi phí vốn</w:t>
            </w:r>
          </w:p>
        </w:tc>
      </w:tr>
    </w:tbl>
    <w:p>
      <w:pPr>
        <w:pStyle w:val="Heading1"/>
      </w:pPr>
      <w:r>
        <w:rPr>
          <w:rFonts w:ascii="Arial" w:hAnsi="Arial"/>
          <w:color w:val="C41230"/>
        </w:rPr>
        <w:t>VIII. KẾT LUẬN, ĐIỀU KIỆN GIẢI NGÂN &amp; PHÊ DUYỆT</w:t>
      </w:r>
    </w:p>
    <w:p>
      <w:pPr>
        <w:pStyle w:val="Heading2"/>
      </w:pPr>
      <w:r>
        <w:rPr>
          <w:rFonts w:ascii="Arial" w:hAnsi="Arial"/>
          <w:color w:val="3C3C3C"/>
        </w:rPr>
        <w:t>1. Đề xuất phê duyệt &amp; Điều kiện giải ngân (B43)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  <w:tc>
          <w:tcPr>
            <w:tcW w:type="dxa" w:w="5328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Đề xuất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Hạn mức đề xuất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Thời hạn cấp HMTD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12 tháng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Biện pháp bảo đảm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Lãi suất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Điều kiện giải ngân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Điều kiện qản lý sau GN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Chưa cung cấp</w:t>
            </w:r>
          </w:p>
        </w:tc>
      </w:tr>
    </w:tbl>
    <w:p>
      <w:r>
        <w:rPr>
          <w:b/>
          <w:sz w:val="22"/>
        </w:rPr>
        <w:t>Khuyến nghị hệ thống: enhanced_due_diligence</w:t>
      </w:r>
    </w:p>
    <w:p>
      <w:r>
        <w:rPr>
          <w:i/>
          <w:sz w:val="20"/>
        </w:rPr>
        <w:t>Kết quả là công cụ hỗ trợ; cấp có thẩm quyền thực hiện phê duyệt cuối cùng sau khi kiểm tra hồ sơ gốc.</w:t>
      </w:r>
    </w:p>
    <w:p>
      <w:pPr>
        <w:pStyle w:val="Heading2"/>
      </w:pPr>
      <w:r>
        <w:rPr>
          <w:rFonts w:ascii="Arial" w:hAnsi="Arial"/>
          <w:color w:val="3C3C3C"/>
        </w:rPr>
        <w:t>2. Credit Covenants (Conditions Precedent &amp; Subsequent)</w:t>
      </w:r>
    </w:p>
    <w:p>
      <w:pPr>
        <w:pStyle w:val="Heading2"/>
      </w:pPr>
      <w:r>
        <w:rPr>
          <w:rFonts w:ascii="Arial" w:hAnsi="Arial"/>
          <w:color w:val="3C3C3C"/>
        </w:rPr>
        <w:t>2a. Điều kiện tiền điều (Conditions Precedent)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5328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Điều kiện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KH cung cấp BCTC quý gần nhất đã kiểm toán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Xác minh CCCD và ĐKKD bản gốc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Kiểm tra dư nợ CIC tại thời điểm cấp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Đăng ký giao dịch bảo đảm trên CSDLQG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Phê duyệt cơ cấu tài trợ theo chính sách MSB hiện hành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Bổ sung hồ sơ người mua: BCTC 2 năm gần nhất, hợp đồng nguyên tắc</w:t>
            </w:r>
          </w:p>
        </w:tc>
      </w:tr>
    </w:tbl>
    <w:p>
      <w:pPr>
        <w:pStyle w:val="Heading2"/>
      </w:pPr>
      <w:r>
        <w:rPr>
          <w:rFonts w:ascii="Arial" w:hAnsi="Arial"/>
          <w:color w:val="3C3C3C"/>
        </w:rPr>
        <w:t>2b. Điều kiện hậu điều (Conditions Subsequent)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5328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Điều kiện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Báo cáo tài chính quý (trong 30 ngày kể từ cuối quý)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Giám sát dòng tiền qua tài khoản tại MSB 6 tháng/lần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Kiểm tra CIC 6 tháng/lần — duy trì nhóm nợ 1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t>Báo cáo tiến độ HDDR (đối với Product 039)</w:t>
            </w:r>
          </w:p>
        </w:tc>
      </w:tr>
    </w:tbl>
    <w:p>
      <w:pPr>
        <w:pStyle w:val="Heading2"/>
      </w:pPr>
      <w:r>
        <w:rPr>
          <w:rFonts w:ascii="Arial" w:hAnsi="Arial"/>
          <w:color w:val="3C3C3C"/>
        </w:rPr>
        <w:t>3. Khung 4 Chữ ký Phê duyệt (B55)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Chuyên viên QLKH (RM)</w:t>
              <w:br/>
              <w:t>Lập tờ trình</w:t>
            </w:r>
          </w:p>
        </w:tc>
        <w:tc>
          <w:tcPr>
            <w:tcW w:type="dxa" w:w="2664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Trưởng phòng KHDN</w:t>
              <w:br/>
              <w:t>Kiểm soát</w:t>
            </w:r>
          </w:p>
        </w:tc>
        <w:tc>
          <w:tcPr>
            <w:tcW w:type="dxa" w:w="2664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Giám đốc CN / Hub Trưởng</w:t>
              <w:br/>
              <w:t>Tái thẩm định &amp; Đề xuất</w:t>
            </w:r>
          </w:p>
        </w:tc>
        <w:tc>
          <w:tcPr>
            <w:tcW w:type="dxa" w:w="2664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  <w:sz w:val="20"/>
              </w:rPr>
              <w:t>Cấp Phê duyệt TD RR Hội sở</w:t>
              <w:br/>
              <w:t>Phê duyệt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br/>
              <w:br/>
              <w:br/>
              <w:br/>
              <w:t>(Ký, ghi rõ họ tên)</w:t>
              <w:br/>
              <w:br/>
              <w:t>Ngày:   /   /20___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br/>
              <w:br/>
              <w:br/>
              <w:br/>
              <w:t>(Ký, ghi rõ họ tên)</w:t>
              <w:br/>
              <w:br/>
              <w:t>Ngày:   /   /20___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br/>
              <w:br/>
              <w:br/>
              <w:br/>
              <w:t>(Ký, ghi rõ họ tên)</w:t>
              <w:br/>
              <w:br/>
              <w:t>Ngày:   /   /20___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sz w:val="20"/>
              </w:rPr>
              <w:br/>
              <w:br/>
              <w:br/>
              <w:br/>
              <w:t>(Ký, ghi rõ họ tên)</w:t>
              <w:br/>
              <w:br/>
              <w:t>Ngày:   /   /20___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Tài liệu hỗ trợ thẩm định nội bộ | M-Credit 360 | Mã biểu mẫu: MB02a/QT.RR.037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