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12233"/>
          <w:sz w:val="44"/>
        </w:rPr>
        <w:t>VITALTAG</w:t>
      </w:r>
    </w:p>
    <w:p>
      <w:pPr>
        <w:spacing w:after="80"/>
      </w:pPr>
      <w:r>
        <w:rPr>
          <w:rFonts w:ascii="Arial" w:hAnsi="Arial"/>
          <w:b/>
          <w:color w:val="334155"/>
          <w:sz w:val="24"/>
        </w:rPr>
        <w:t>Dynamic Emergency Medical Passport &amp; Clinical Triage Infrastructure</w:t>
      </w:r>
    </w:p>
    <w:p>
      <w:pPr>
        <w:spacing w:after="280"/>
      </w:pPr>
      <w:r>
        <w:rPr>
          <w:rFonts w:ascii="Arial" w:hAnsi="Arial"/>
          <w:color w:val="64748B"/>
          <w:sz w:val="19"/>
        </w:rPr>
        <w:t>HatchPoint Innovations Challenge: The Nyansapo Edition | Track: Healthcare &amp; MedTech</w:t>
      </w:r>
    </w:p>
    <w:p>
      <w:pPr>
        <w:spacing w:after="200"/>
        <w:pBdr>
          <w:bottom w:val="single" w:sz="8" w:space="1" w:color="CBD5E1"/>
        </w:pBdr>
      </w:pPr>
    </w:p>
    <w:p>
      <w:pPr>
        <w:keepNext/>
        <w:spacing w:before="280" w:after="80"/>
      </w:pPr>
      <w:r>
        <w:rPr>
          <w:rFonts w:ascii="Arial" w:hAnsi="Arial"/>
          <w:b/>
          <w:color w:val="112233"/>
          <w:sz w:val="24"/>
        </w:rPr>
        <w:t>1. Executive Summary</w:t>
      </w:r>
    </w:p>
    <w:p>
      <w:r>
        <w:t>VitalTag is an emergency medical identity and automated triage infrastructure engineered to conquer the critical 'Golden Hour' in acute healthcare delivery. When trauma, acute distress, or medical emergencies strike, clinical survival depends entirely on rapid, error-free intervention. Currently, hospital outpatient desks and emergency departments waste 10 to 20 minutes manually transcribing vital statistics and locating physical files, while unconscious or confused patients present severe diagnostic blind spots.</w:t>
      </w:r>
    </w:p>
    <w:p>
      <w:r>
        <w:t>VitalTag equips citizens with a dynamic, cloud-synchronized emergency health passport accessible via mobile app or physical smart card. Scanning the pass delivers critical crash telemetry—verified blood group, life-threatening drug allergies, chronic alerts (diabetes, asthma, sickle cell, epilepsy), and emergency next-of-kin contacts—to first responders and triage staff in under two seconds. Built on a zero-data ephemeral pointer architecture, VitalTag ensures sensitive medical histories remain locked behind verified medical credentials while providing integrated pharmacy telemetry for immediate post-triage prescription holds.</w:t>
      </w:r>
    </w:p>
    <w:p>
      <w:pPr>
        <w:keepNext/>
        <w:spacing w:before="280" w:after="80"/>
      </w:pPr>
      <w:r>
        <w:rPr>
          <w:rFonts w:ascii="Arial" w:hAnsi="Arial"/>
          <w:b/>
          <w:color w:val="112233"/>
          <w:sz w:val="24"/>
        </w:rPr>
        <w:t>2. Problem Statement: The Emergency Blind Spot &amp; Triage Delays</w:t>
      </w:r>
    </w:p>
    <w:p>
      <w:pPr>
        <w:pStyle w:val="ListBullet"/>
        <w:spacing w:after="50"/>
      </w:pPr>
      <w:r>
        <w:rPr>
          <w:b/>
        </w:rPr>
        <w:t xml:space="preserve">The 'Golden Hour' Diagnostic Blind Spot: </w:t>
      </w:r>
      <w:r>
        <w:t>In vehicular accidents, trauma, or sudden medical collapses, victims are frequently unconscious, disoriented, or in shock. First responders (EMTs, paramedics, ER nurses) have zero immediate visibility into the patient's blood type, baseline conditions, or severe drug allergies.</w:t>
      </w:r>
    </w:p>
    <w:p>
      <w:pPr>
        <w:pStyle w:val="ListBullet"/>
        <w:spacing w:after="50"/>
      </w:pPr>
      <w:r>
        <w:rPr>
          <w:b/>
        </w:rPr>
        <w:t xml:space="preserve">Triage Paperwork &amp; OPD Bottlenecks: </w:t>
      </w:r>
      <w:r>
        <w:t>In hospital Outpatient Departments (OPD) and Emergency Rooms, intake nurses manually transcribe patient demographics, weight, BMI, and clinical history into paper folders or slow electronic forms, creating 15- to 30-minute admission delays.</w:t>
      </w:r>
    </w:p>
    <w:p>
      <w:pPr>
        <w:pStyle w:val="ListBullet"/>
        <w:spacing w:after="50"/>
      </w:pPr>
      <w:r>
        <w:rPr>
          <w:b/>
        </w:rPr>
        <w:t xml:space="preserve">Fatal Avoidable Drug Interactions: </w:t>
      </w:r>
      <w:r>
        <w:t>Adverse drug events remain a leading cause of preventable clinical harm. Administering routine clinical countermeasures (such as penicillin or NSAIDs) to an emergency patient with undocumented allergies can trigger fatal anaphylaxis.</w:t>
      </w:r>
    </w:p>
    <w:p>
      <w:pPr>
        <w:pStyle w:val="ListBullet"/>
        <w:spacing w:after="50"/>
      </w:pPr>
      <w:r>
        <w:rPr>
          <w:b/>
        </w:rPr>
        <w:t xml:space="preserve">Privacy Vulnerabilities in Conventional Medical QR Tools: </w:t>
      </w:r>
      <w:r>
        <w:t>Static medical QR codes hardcode raw personal health records directly into the image matrix. This design allows anyone with a generic smartphone camera to scan and expose confidential clinical diagnoses and patient identities.</w:t>
      </w:r>
    </w:p>
    <w:p>
      <w:pPr>
        <w:keepNext/>
        <w:spacing w:before="280" w:after="80"/>
      </w:pPr>
      <w:r>
        <w:rPr>
          <w:rFonts w:ascii="Arial" w:hAnsi="Arial"/>
          <w:b/>
          <w:color w:val="112233"/>
          <w:sz w:val="24"/>
        </w:rPr>
        <w:t>3. Proposed Solution &amp; System Modules</w:t>
      </w:r>
    </w:p>
    <w:p>
      <w:pPr>
        <w:keepNext/>
        <w:spacing w:before="160" w:after="40"/>
      </w:pPr>
      <w:r>
        <w:rPr>
          <w:rFonts w:ascii="Arial" w:hAnsi="Arial"/>
          <w:b/>
          <w:color w:val="334155"/>
          <w:sz w:val="21"/>
        </w:rPr>
        <w:t>Module 1: Dynamic Emergency Triage Passport (Core Pillar)</w:t>
      </w:r>
    </w:p>
    <w:p>
      <w:r>
        <w:t>Every user holds a cloud-linked VitalTag pass accessible via mobile app or physical smart card. Users record verified blood groups, severe drug allergies, chronic ailments (asthma, sickle cell, diabetes, epilepsy), emergency ICE contacts, and vital biometrics. Crucially, when a user updates their weight, BMI, or a new allergy—or when an attending clinic updates clinical vitals—the backend ledger updates instantaneously in the cloud. The physical VitalTag card acts as an active cryptographic cloud pointer and never requires reprinting or re-issuance.</w:t>
      </w:r>
    </w:p>
    <w:p>
      <w:pPr>
        <w:keepNext/>
        <w:spacing w:before="160" w:after="40"/>
      </w:pPr>
      <w:r>
        <w:rPr>
          <w:rFonts w:ascii="Arial" w:hAnsi="Arial"/>
          <w:b/>
          <w:color w:val="334155"/>
          <w:sz w:val="21"/>
        </w:rPr>
        <w:t>Module 2: Automated 2-Second OPD/ER Intake</w:t>
      </w:r>
    </w:p>
    <w:p>
      <w:r>
        <w:t>When a patient arrives at an OPD clinic or emergency bay, triage staff scan the VitalTag. The hospital intake terminal auto-fills demographic forms, biometrics, baseline conditions, and next-of-kin contacts in under two seconds, eliminating transcription errors, removing folder retrieval delays, and immediately establishing triage priority.</w:t>
      </w:r>
    </w:p>
    <w:p>
      <w:pPr>
        <w:keepNext/>
        <w:spacing w:before="160" w:after="40"/>
      </w:pPr>
      <w:r>
        <w:rPr>
          <w:rFonts w:ascii="Arial" w:hAnsi="Arial"/>
          <w:b/>
          <w:color w:val="334155"/>
          <w:sz w:val="21"/>
        </w:rPr>
        <w:t>Module 3: Algorithmic Allergy Contraindication Engine</w:t>
      </w:r>
    </w:p>
    <w:p>
      <w:r>
        <w:t>During clinical triage and subsequent dispensary fulfillment, VitalTag runs an automated safety cross-check between any prescribed or administered formulation and the patient's active allergy ledger. If a severe conflict (e.g., penicillin allergy) is detected, high-visibility clinical warnings alert medical staff to prevent adverse events.</w:t>
      </w:r>
    </w:p>
    <w:p>
      <w:pPr>
        <w:keepNext/>
        <w:spacing w:before="160" w:after="40"/>
      </w:pPr>
      <w:r>
        <w:rPr>
          <w:rFonts w:ascii="Arial" w:hAnsi="Arial"/>
          <w:b/>
          <w:color w:val="334155"/>
          <w:sz w:val="21"/>
        </w:rPr>
        <w:t>Module 4: Integrated Pharmacy Telemetry &amp; Post-Triage Fulfillment</w:t>
      </w:r>
    </w:p>
    <w:p>
      <w:r>
        <w:t>Once stabilized and prescribed medication, patients or attending relatives can immediately query real-time stock availability, distance, and verified pricing across licensed community pharmacies within a 5–10 km radius, placing automated 60-minute holds to prevent stockout delays.</w:t>
      </w:r>
    </w:p>
    <w:p>
      <w:pPr>
        <w:keepNext/>
        <w:spacing w:before="280" w:after="80"/>
      </w:pPr>
      <w:r>
        <w:rPr>
          <w:rFonts w:ascii="Arial" w:hAnsi="Arial"/>
          <w:b/>
          <w:color w:val="112233"/>
          <w:sz w:val="24"/>
        </w:rPr>
        <w:t>4. Privacy &amp; Security Architecture: The Two-Tier Access Model</w:t>
      </w:r>
    </w:p>
    <w:p>
      <w:r>
        <w:t>VitalTag resolves the balance between rapid emergency response and patient privacy using a role-gated, zero-data pointer token model:</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2592"/>
        <w:gridCol w:w="3312"/>
        <w:gridCol w:w="3125"/>
      </w:tblGrid>
      <w:tr>
        <w:tc>
          <w:tcPr>
            <w:tcW w:type="dxa" w:w="3010"/>
            <w:shd w:fill="F1F5F9"/>
            <w:tcMar>
              <w:top w:w="80" w:type="dxa"/>
              <w:bottom w:w="80" w:type="dxa"/>
              <w:left w:w="100" w:type="dxa"/>
              <w:right w:w="100" w:type="dxa"/>
            </w:tcMar>
          </w:tcPr>
          <w:p>
            <w:pPr>
              <w:spacing w:after="0"/>
            </w:pPr>
            <w:r>
              <w:rPr>
                <w:b/>
                <w:color w:val="112233"/>
                <w:sz w:val="18"/>
              </w:rPr>
              <w:t>Access Tier</w:t>
            </w:r>
          </w:p>
        </w:tc>
        <w:tc>
          <w:tcPr>
            <w:tcW w:type="dxa" w:w="3010"/>
            <w:shd w:fill="F1F5F9"/>
            <w:tcMar>
              <w:top w:w="80" w:type="dxa"/>
              <w:bottom w:w="80" w:type="dxa"/>
              <w:left w:w="100" w:type="dxa"/>
              <w:right w:w="100" w:type="dxa"/>
            </w:tcMar>
          </w:tcPr>
          <w:p>
            <w:pPr>
              <w:spacing w:after="0"/>
            </w:pPr>
            <w:r>
              <w:rPr>
                <w:b/>
                <w:color w:val="112233"/>
                <w:sz w:val="18"/>
              </w:rPr>
              <w:t>Visible Health Data</w:t>
            </w:r>
          </w:p>
        </w:tc>
        <w:tc>
          <w:tcPr>
            <w:tcW w:type="dxa" w:w="3010"/>
            <w:shd w:fill="F1F5F9"/>
            <w:tcMar>
              <w:top w:w="80" w:type="dxa"/>
              <w:bottom w:w="80" w:type="dxa"/>
              <w:left w:w="100" w:type="dxa"/>
              <w:right w:w="100" w:type="dxa"/>
            </w:tcMar>
          </w:tcPr>
          <w:p>
            <w:pPr>
              <w:spacing w:after="0"/>
            </w:pPr>
            <w:r>
              <w:rPr>
                <w:b/>
                <w:color w:val="112233"/>
                <w:sz w:val="18"/>
              </w:rPr>
              <w:t>Security &amp; Authorization Rules</w:t>
            </w:r>
          </w:p>
        </w:tc>
      </w:tr>
      <w:tr>
        <w:tc>
          <w:tcPr>
            <w:tcW w:type="dxa" w:w="3010"/>
            <w:shd w:fill="F8FAFC"/>
            <w:tcMar>
              <w:top w:w="70" w:type="dxa"/>
              <w:bottom w:w="70" w:type="dxa"/>
              <w:left w:w="90" w:type="dxa"/>
              <w:right w:w="90" w:type="dxa"/>
            </w:tcMar>
          </w:tcPr>
          <w:p>
            <w:pPr>
              <w:spacing w:after="0"/>
            </w:pPr>
            <w:r>
              <w:rPr>
                <w:b/>
                <w:color w:val="112233"/>
                <w:sz w:val="17"/>
              </w:rPr>
              <w:t>Tier 1: Emergency Crash Data</w:t>
              <w:br/>
              <w:t>(Public / First Responders)</w:t>
            </w:r>
          </w:p>
        </w:tc>
        <w:tc>
          <w:tcPr>
            <w:tcW w:type="dxa" w:w="3010"/>
            <w:shd w:fill="F8FAFC"/>
            <w:tcMar>
              <w:top w:w="70" w:type="dxa"/>
              <w:bottom w:w="70" w:type="dxa"/>
              <w:left w:w="90" w:type="dxa"/>
              <w:right w:w="90" w:type="dxa"/>
            </w:tcMar>
          </w:tcPr>
          <w:p>
            <w:pPr>
              <w:spacing w:after="0"/>
            </w:pPr>
            <w:r>
              <w:rPr>
                <w:sz w:val="17"/>
              </w:rPr>
              <w:t>Blood group (e.g., O+), severe anaphylactic drug allergies (e.g., Penicillin), chronic emergency alerts (Diabetic, Asthmatic, Sickle Cell, Epileptic), emergency ICE contacts.</w:t>
            </w:r>
          </w:p>
        </w:tc>
        <w:tc>
          <w:tcPr>
            <w:tcW w:type="dxa" w:w="3010"/>
            <w:shd w:fill="F8FAFC"/>
            <w:tcMar>
              <w:top w:w="70" w:type="dxa"/>
              <w:bottom w:w="70" w:type="dxa"/>
              <w:left w:w="90" w:type="dxa"/>
              <w:right w:w="90" w:type="dxa"/>
            </w:tcMar>
          </w:tcPr>
          <w:p>
            <w:pPr>
              <w:spacing w:after="0"/>
            </w:pPr>
            <w:r>
              <w:rPr>
                <w:sz w:val="17"/>
              </w:rPr>
              <w:t>Instant access with zero login barrier. Optimized for EMTs, paramedics, and emergency nurses when a patient is unconscious or in acute shock. Excludes personal history, full diagnostics, and identity records.</w:t>
            </w:r>
          </w:p>
        </w:tc>
      </w:tr>
      <w:tr>
        <w:tc>
          <w:tcPr>
            <w:tcW w:type="dxa" w:w="3010"/>
            <w:shd w:fill="FFFFFF"/>
            <w:tcMar>
              <w:top w:w="70" w:type="dxa"/>
              <w:bottom w:w="70" w:type="dxa"/>
              <w:left w:w="90" w:type="dxa"/>
              <w:right w:w="90" w:type="dxa"/>
            </w:tcMar>
          </w:tcPr>
          <w:p>
            <w:pPr>
              <w:spacing w:after="0"/>
            </w:pPr>
            <w:r>
              <w:rPr>
                <w:b/>
                <w:color w:val="112233"/>
                <w:sz w:val="17"/>
              </w:rPr>
              <w:t>Tier 2: Full Clinical Ledger</w:t>
              <w:br/>
              <w:t>(Restricted Hospital Terminal)</w:t>
            </w:r>
          </w:p>
        </w:tc>
        <w:tc>
          <w:tcPr>
            <w:tcW w:type="dxa" w:w="3010"/>
            <w:shd w:fill="FFFFFF"/>
            <w:tcMar>
              <w:top w:w="70" w:type="dxa"/>
              <w:bottom w:w="70" w:type="dxa"/>
              <w:left w:w="90" w:type="dxa"/>
              <w:right w:w="90" w:type="dxa"/>
            </w:tcMar>
          </w:tcPr>
          <w:p>
            <w:pPr>
              <w:spacing w:after="0"/>
            </w:pPr>
            <w:r>
              <w:rPr>
                <w:sz w:val="17"/>
              </w:rPr>
              <w:t>Complete diagnostic history, full prescription archive, lab test results, clinical doctor notes, and national health identifiers.</w:t>
            </w:r>
          </w:p>
        </w:tc>
        <w:tc>
          <w:tcPr>
            <w:tcW w:type="dxa" w:w="3010"/>
            <w:shd w:fill="FFFFFF"/>
            <w:tcMar>
              <w:top w:w="70" w:type="dxa"/>
              <w:bottom w:w="70" w:type="dxa"/>
              <w:left w:w="90" w:type="dxa"/>
              <w:right w:w="90" w:type="dxa"/>
            </w:tcMar>
          </w:tcPr>
          <w:p>
            <w:pPr>
              <w:spacing w:after="0"/>
            </w:pPr>
            <w:r>
              <w:rPr>
                <w:sz w:val="17"/>
              </w:rPr>
              <w:t>Strict Role-Based Access Control (RBAC). Requires authenticated healthcare professional credentials and multi-factor verification. Unauthorized scans return an unauthenticated 401 prompt.</w:t>
            </w:r>
          </w:p>
        </w:tc>
      </w:tr>
    </w:tbl>
    <w:p>
      <w:pPr>
        <w:keepNext/>
        <w:spacing w:before="280" w:after="80"/>
      </w:pPr>
      <w:r>
        <w:rPr>
          <w:rFonts w:ascii="Arial" w:hAnsi="Arial"/>
          <w:b/>
          <w:color w:val="112233"/>
          <w:sz w:val="24"/>
        </w:rPr>
        <w:t>5. Technical Implementation &amp; System Architecture</w:t>
      </w:r>
    </w:p>
    <w:p>
      <w:pPr>
        <w:pStyle w:val="ListBullet"/>
        <w:spacing w:after="50"/>
      </w:pPr>
      <w:r>
        <w:rPr>
          <w:b/>
        </w:rPr>
        <w:t xml:space="preserve">Dynamic Ephemeral Pointer Architecture: </w:t>
      </w:r>
      <w:r>
        <w:t>The VitalTag QR contains no plaintext clinical data, only a cryptographic 128-bit hash pointer. Offline inspection yields zero readable medical data.</w:t>
      </w:r>
    </w:p>
    <w:p>
      <w:pPr>
        <w:pStyle w:val="ListBullet"/>
        <w:spacing w:after="50"/>
      </w:pPr>
      <w:r>
        <w:rPr>
          <w:b/>
        </w:rPr>
        <w:t xml:space="preserve">Cloud Reactivity &amp; Real-Time Sync: </w:t>
      </w:r>
      <w:r>
        <w:t>Built on PostgreSQL and WebSocket event listeners. When biometrics, weight, or allergies change, client terminals fetch updated state in milliseconds.</w:t>
      </w:r>
    </w:p>
    <w:p>
      <w:pPr>
        <w:pStyle w:val="ListBullet"/>
        <w:spacing w:after="50"/>
      </w:pPr>
      <w:r>
        <w:rPr>
          <w:b/>
        </w:rPr>
        <w:t xml:space="preserve">Front-End Interfaces: </w:t>
      </w:r>
      <w:r>
        <w:t>High-contrast mobile client for emergency responders in motion; accessible mobile dashboard for patients; high-throughput desktop terminal for hospital triage intake desks.</w:t>
      </w:r>
    </w:p>
    <w:p>
      <w:pPr>
        <w:pStyle w:val="ListBullet"/>
        <w:spacing w:after="50"/>
      </w:pPr>
      <w:r>
        <w:rPr>
          <w:b/>
        </w:rPr>
        <w:t xml:space="preserve">Security &amp; Compliance: </w:t>
      </w:r>
      <w:r>
        <w:t>TLS 1.3 in-transit encryption, AES-256 at rest, OAuth2/JWT role authorization, and comprehensive access audit logging notifying patients when their profile is accessed.</w:t>
      </w:r>
    </w:p>
    <w:p>
      <w:pPr>
        <w:keepNext/>
        <w:spacing w:before="280" w:after="80"/>
      </w:pPr>
      <w:r>
        <w:rPr>
          <w:rFonts w:ascii="Arial" w:hAnsi="Arial"/>
          <w:b/>
          <w:color w:val="112233"/>
          <w:sz w:val="24"/>
        </w:rPr>
        <w:t>6. Commercial Viability &amp; Business Model</w:t>
      </w:r>
    </w:p>
    <w:p>
      <w:pPr>
        <w:pStyle w:val="ListBullet"/>
        <w:spacing w:after="50"/>
      </w:pPr>
      <w:r>
        <w:rPr>
          <w:b/>
        </w:rPr>
        <w:t xml:space="preserve">Hospital &amp; Clinic OPD SaaS Subscriptions: </w:t>
      </w:r>
      <w:r>
        <w:t>Monthly software licensing for clinics and emergency departments for automated triage intake, contraindication screening, and EHR synchronization.</w:t>
      </w:r>
    </w:p>
    <w:p>
      <w:pPr>
        <w:pStyle w:val="ListBullet"/>
        <w:spacing w:after="50"/>
      </w:pPr>
      <w:r>
        <w:rPr>
          <w:b/>
        </w:rPr>
        <w:t xml:space="preserve">Campus &amp; Institutional Health Programs: </w:t>
      </w:r>
      <w:r>
        <w:t>Institutional onboarding for university health centers and corporate campuses deploying smart student/staff triage identification.</w:t>
      </w:r>
    </w:p>
    <w:p>
      <w:pPr>
        <w:pStyle w:val="ListBullet"/>
        <w:spacing w:after="50"/>
      </w:pPr>
      <w:r>
        <w:rPr>
          <w:b/>
        </w:rPr>
        <w:t xml:space="preserve">Dispensary Partner Network: </w:t>
      </w:r>
      <w:r>
        <w:t>Affiliate listing fees and reservation processing for community pharmacies connected to the post-triage prescription network.</w:t>
      </w:r>
    </w:p>
    <w:p>
      <w:pPr>
        <w:keepNext/>
        <w:spacing w:before="280" w:after="80"/>
      </w:pPr>
      <w:r>
        <w:rPr>
          <w:rFonts w:ascii="Arial" w:hAnsi="Arial"/>
          <w:b/>
          <w:color w:val="112233"/>
          <w:sz w:val="24"/>
        </w:rPr>
        <w:t>7. Alignment with HatchPoint Scoring Criteria (100%)</w:t>
      </w:r>
    </w:p>
    <w:p>
      <w:pPr>
        <w:pStyle w:val="ListBullet"/>
        <w:spacing w:after="50"/>
      </w:pPr>
      <w:r>
        <w:rPr>
          <w:b/>
        </w:rPr>
        <w:t xml:space="preserve">Innovation (25%): </w:t>
      </w:r>
      <w:r>
        <w:t>Pioneers a dynamic, auto-syncing emergency medical passport that decouples emergency crash data from sensitive clinical history, eliminating the static QR privacy dilemma.</w:t>
      </w:r>
    </w:p>
    <w:p>
      <w:pPr>
        <w:pStyle w:val="ListBullet"/>
        <w:spacing w:after="50"/>
      </w:pPr>
      <w:r>
        <w:rPr>
          <w:b/>
        </w:rPr>
        <w:t xml:space="preserve">Technical Execution (25%): </w:t>
      </w:r>
      <w:r>
        <w:t>Engineered with ephemeral cloud pointers, real-time WebSockets, algorithmic allergy cross-checking, and strict Role-Based Access Control (RBAC).</w:t>
      </w:r>
    </w:p>
    <w:p>
      <w:pPr>
        <w:pStyle w:val="ListBullet"/>
        <w:spacing w:after="50"/>
      </w:pPr>
      <w:r>
        <w:rPr>
          <w:b/>
        </w:rPr>
        <w:t xml:space="preserve">Impact &amp; Viability (25%): </w:t>
      </w:r>
      <w:r>
        <w:t>Shrinks critical triage intake from 15 minutes to 2 seconds, eliminates preventable anaphylactic reactions, and establishes scalable B2B healthcare SaaS revenue.</w:t>
      </w:r>
    </w:p>
    <w:p>
      <w:pPr>
        <w:pStyle w:val="ListBullet"/>
        <w:spacing w:after="50"/>
      </w:pPr>
      <w:r>
        <w:rPr>
          <w:b/>
        </w:rPr>
        <w:t xml:space="preserve">Design &amp; UX (25%): </w:t>
      </w:r>
      <w:r>
        <w:t>Features an ultra-high-contrast emergency crash interface engineered for high-stress triage environments, with single-tap next-of-kin emergency calls.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9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