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bookmarkStart w:id="0" w:name="_9dfjoh14fwbx"/>
      <w:bookmarkEnd w:id="0"/>
      <w:r>
        <w:rPr/>
        <w:t>DHARMA Editorial Conventions draft 2024</w:t>
      </w:r>
    </w:p>
    <w:p>
      <w:pPr>
        <w:pStyle w:val="Normal1"/>
        <w:rPr/>
      </w:pPr>
      <w:r>
        <w:rPr/>
        <w:t>current DHARMA display needs to be provided where missing</w:t>
      </w:r>
    </w:p>
    <w:p>
      <w:pPr>
        <w:pStyle w:val="Normal1"/>
        <w:rPr/>
      </w:pPr>
      <w:r>
        <w:rPr/>
        <w:t>it may be a good idea to add physical and logical display columns</w:t>
      </w:r>
    </w:p>
    <w:p>
      <w:pPr>
        <w:pStyle w:val="Normal1"/>
        <w:rPr/>
      </w:pPr>
      <w:r>
        <w:rPr/>
        <w:t>syntax highlighting in the XML and colouring in the display need to be provided for the public release</w:t>
      </w:r>
    </w:p>
    <w:p>
      <w:pPr>
        <w:pStyle w:val="Normal1"/>
        <w:rPr/>
      </w:pPr>
      <w:r>
        <w:rPr/>
        <w:t>Specific references to EGD subsections could be added to each line, but if we want this, we’d better wait till we have the new EGD release.</w:t>
      </w:r>
    </w:p>
    <w:p>
      <w:pPr>
        <w:pStyle w:val="Heading2"/>
        <w:rPr/>
      </w:pPr>
      <w:bookmarkStart w:id="1" w:name="_m21lar6u0yi2"/>
      <w:bookmarkEnd w:id="1"/>
      <w:r>
        <w:rPr/>
        <w:t>1. Semantic and metrical structure (</w:t>
      </w:r>
      <w:commentRangeStart w:id="0"/>
      <w:r>
        <w:rPr/>
        <w:t>intrinsic structure</w:t>
      </w:r>
      <w:r>
        <w:rPr/>
      </w:r>
      <w:commentRangeEnd w:id="0"/>
      <w:r>
        <w:commentReference w:id="0"/>
      </w:r>
      <w:r>
        <w:rPr/>
        <w:t>)</w:t>
      </w:r>
    </w:p>
    <w:p>
      <w:pPr>
        <w:pStyle w:val="Normal1"/>
        <w:rPr/>
      </w:pPr>
      <w:r>
        <w:rPr/>
        <w:t>EGD §2</w:t>
      </w:r>
    </w:p>
    <w:tbl>
      <w:tblPr>
        <w:tblStyle w:val="Table1"/>
        <w:tblW w:w="10035" w:type="dxa"/>
        <w:jc w:val="left"/>
        <w:tblInd w:w="11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1485"/>
        <w:gridCol w:w="4650"/>
        <w:gridCol w:w="1965"/>
        <w:gridCol w:w="1934"/>
      </w:tblGrid>
      <w:tr>
        <w:trPr>
          <w:tblHeader w:val="true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markup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full display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>
        <w:trPr>
          <w:tblHeader w:val="true"/>
        </w:trPr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Stanza in named metre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bookmarkStart w:id="2" w:name="__DdeLink__960_3563356684"/>
            <w:bookmarkStart w:id="3" w:name="__DdeLink__955_3563356684"/>
            <w:r>
              <w:rPr/>
              <w:t>&lt;lg n="1" met="āryā"&gt;</w:t>
            </w:r>
            <w:bookmarkEnd w:id="3"/>
          </w:p>
          <w:p>
            <w:pPr>
              <w:pStyle w:val="Normal1"/>
              <w:rPr/>
            </w:pPr>
            <w:r>
              <w:rPr/>
              <w:t xml:space="preserve">    </w:t>
            </w:r>
            <w:r>
              <w:rPr/>
              <w:t>&lt;l n="a"&gt;</w:t>
            </w:r>
            <w:r>
              <w:rPr/>
              <w:t>_</w:t>
            </w:r>
            <w:r>
              <w:rPr/>
              <w:t>&lt;/l&gt;</w:t>
            </w:r>
          </w:p>
          <w:p>
            <w:pPr>
              <w:pStyle w:val="Normal1"/>
              <w:rPr/>
            </w:pPr>
            <w:r>
              <w:rPr/>
              <w:t>&lt;/</w:t>
            </w:r>
            <w:r>
              <w:rPr/>
              <w:t>lg&gt;</w:t>
            </w:r>
            <w:bookmarkEnd w:id="2"/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Stanza in metre without a known name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bookmarkStart w:id="4" w:name="__DdeLink__1161_3563356684"/>
            <w:r>
              <w:rPr/>
              <w:t>&lt;lg n="2" met="+++++-++-+="&gt;</w:t>
            </w:r>
          </w:p>
          <w:p>
            <w:pPr>
              <w:pStyle w:val="Normal1"/>
              <w:rPr/>
            </w:pPr>
            <w:r>
              <w:rPr/>
              <w:t xml:space="preserve">    </w:t>
            </w:r>
            <w:r>
              <w:rPr/>
              <w:t>&lt;l n="a"&gt;</w:t>
            </w:r>
            <w:r>
              <w:rPr/>
              <w:t>_</w:t>
            </w:r>
            <w:r>
              <w:rPr/>
              <w:t>&lt;/l&gt;</w:t>
            </w:r>
          </w:p>
          <w:p>
            <w:pPr>
              <w:pStyle w:val="Normal1"/>
              <w:rPr/>
            </w:pPr>
            <w:bookmarkStart w:id="5" w:name="__DdeLink__1161_3563356684"/>
            <w:r>
              <w:rPr/>
              <w:t>&lt;/lg&gt;</w:t>
            </w:r>
            <w:bookmarkEnd w:id="5"/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Arial Unicode MS" w:cs="Arial Unicode MS" w:ascii="Arial Unicode MS" w:hAnsi="Arial Unicode MS"/>
              </w:rPr>
              <w:t>- - - - - ⏑ - - ⏑ - ⏓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commentRangeStart w:id="1"/>
            <w:r>
              <w:rPr/>
              <w:t xml:space="preserve">Verse </w:t>
            </w:r>
            <w:r>
              <w:rPr/>
            </w:r>
            <w:commentRangeEnd w:id="1"/>
            <w:r>
              <w:commentReference w:id="1"/>
            </w:r>
            <w:r>
              <w:rPr/>
              <w:t>line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bookmarkStart w:id="6" w:name="__DdeLink__1072_3563356684"/>
            <w:r>
              <w:rPr/>
              <w:t>&lt;l n="a"&gt;</w:t>
            </w:r>
            <w:bookmarkStart w:id="7" w:name="__DdeLink__962_3563356684"/>
            <w:r>
              <w:rPr/>
              <w:t>kāritam idan nr̥patinā</w:t>
            </w:r>
            <w:bookmarkEnd w:id="6"/>
            <w:bookmarkEnd w:id="7"/>
            <w:r>
              <w:rPr/>
              <w:t>&lt;/</w:t>
            </w:r>
            <w:r>
              <w:rPr/>
              <w:t>l&gt;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kāritam idan nr̥patinā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Word divided across verse lines (enjambement)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&lt;lg n="3" met="ā</w:t>
            </w:r>
            <w:r>
              <w:rPr/>
              <w:t>ryā</w:t>
            </w:r>
            <w:r>
              <w:rPr/>
              <w:t>"&gt;</w:t>
            </w:r>
          </w:p>
          <w:p>
            <w:pPr>
              <w:pStyle w:val="Normal1"/>
              <w:rPr/>
            </w:pPr>
            <w:r>
              <w:rPr/>
              <w:t xml:space="preserve">    </w:t>
            </w:r>
            <w:r>
              <w:rPr/>
              <w:t>&lt;l n="a" enjamb="yes"&gt;tat-sūnus sakalārāti&lt;/l&gt;</w:t>
            </w:r>
          </w:p>
          <w:p>
            <w:pPr>
              <w:pStyle w:val="Normal1"/>
              <w:rPr/>
            </w:pPr>
            <w:r>
              <w:rPr/>
              <w:t xml:space="preserve">    </w:t>
            </w:r>
            <w:r>
              <w:rPr/>
              <w:t>&lt;l n="b"&gt;-mada-ccheda-karāyudhaḥ&lt;/l&gt;</w:t>
            </w:r>
          </w:p>
          <w:p>
            <w:pPr>
              <w:pStyle w:val="Normal1"/>
              <w:rPr/>
            </w:pPr>
            <w:r>
              <w:rPr/>
              <w:t>&lt;/lg&gt;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tat-sūnus sakalārāti-</w:t>
            </w:r>
          </w:p>
          <w:p>
            <w:pPr>
              <w:pStyle w:val="Normal1"/>
              <w:rPr/>
            </w:pPr>
            <w:r>
              <w:rPr/>
              <w:t>-mada-ccheda-karāyudhaḥ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The hyphen at the beginning of the second line is editorial compound segmentation; that at the end of the first line is the display for enjambement.</w:t>
            </w:r>
          </w:p>
        </w:tc>
      </w:tr>
    </w:tbl>
    <w:p>
      <w:pPr>
        <w:pStyle w:val="Heading2"/>
        <w:rPr/>
      </w:pPr>
      <w:bookmarkStart w:id="8" w:name="_1asgb7f3i8fc"/>
      <w:bookmarkEnd w:id="8"/>
      <w:r>
        <w:rPr/>
        <w:t>2. Layout (</w:t>
      </w:r>
      <w:commentRangeStart w:id="2"/>
      <w:r>
        <w:rPr/>
        <w:t>extrinsic</w:t>
      </w:r>
      <w:r>
        <w:rPr/>
      </w:r>
      <w:commentRangeEnd w:id="2"/>
      <w:r>
        <w:commentReference w:id="2"/>
      </w:r>
      <w:r>
        <w:rPr/>
        <w:t xml:space="preserve"> structure)</w:t>
      </w:r>
    </w:p>
    <w:p>
      <w:pPr>
        <w:pStyle w:val="Normal1"/>
        <w:rPr/>
      </w:pPr>
      <w:r>
        <w:rPr/>
        <w:t>EGD §3</w:t>
      </w:r>
    </w:p>
    <w:p>
      <w:pPr>
        <w:pStyle w:val="Normal1"/>
        <w:rPr/>
      </w:pPr>
      <w:r>
        <w:rPr/>
        <w:t>daba note: I don’t think we need to add textpart divs here. we might want to add incipits (EGD §3.3.3) and forme work.</w:t>
      </w:r>
    </w:p>
    <w:tbl>
      <w:tblPr>
        <w:tblStyle w:val="Table2"/>
        <w:tblW w:w="10020" w:type="dxa"/>
        <w:jc w:val="left"/>
        <w:tblInd w:w="11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1515"/>
        <w:gridCol w:w="4035"/>
        <w:gridCol w:w="2025"/>
        <w:gridCol w:w="2444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markup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display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Beginning of inscribed zone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&lt;milestone type="pagelike" unit="zone" n="A"/&gt;svasti śrī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4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Beginning of inscribed zone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bookmarkStart w:id="9" w:name="__DdeLink__1168_3563356684"/>
            <w:r>
              <w:rPr/>
              <w:t>&lt;milestone type="pagelike" unit="item" n="A"/&gt;svasti śrī</w:t>
            </w:r>
            <w:bookmarkEnd w:id="9"/>
          </w:p>
        </w:tc>
        <w:tc>
          <w:tcPr>
            <w:tcW w:w="202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4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Beginning of surface or zone, with editorial label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&lt;milestone type="pagelike" unit="item" n="N"/&gt;&lt;label xml:lang="eng"&gt;Northern Doorjamb&lt;/label&gt;svasti śrī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202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4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Beginning of page in copperplate inscription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bookmarkStart w:id="10" w:name="__DdeLink__1170_3563356684"/>
            <w:r>
              <w:rPr/>
              <w:t>&lt;pb n="1r"/&gt;svasti śrī</w:t>
            </w:r>
            <w:bookmarkEnd w:id="10"/>
          </w:p>
        </w:tc>
        <w:tc>
          <w:tcPr>
            <w:tcW w:w="202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4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Beginning of line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bookmarkStart w:id="11" w:name="__DdeLink__1172_3563356684"/>
            <w:bookmarkEnd w:id="11"/>
            <w:r>
              <w:rPr/>
              <w:t>&lt;lb n="1"/&gt;svasti śrī</w:t>
              <w:br/>
              <w:t>&lt;lb n="2"/&gt;kōpparakēcari</w:t>
            </w:r>
          </w:p>
          <w:p>
            <w:pPr>
              <w:pStyle w:val="Normal1"/>
              <w:rPr/>
            </w:pPr>
            <w:r>
              <w:rPr/>
            </w:r>
            <w:bookmarkStart w:id="12" w:name="__DdeLink__1172_3563356684"/>
            <w:bookmarkStart w:id="13" w:name="__DdeLink__1172_3563356684"/>
            <w:bookmarkEnd w:id="13"/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commentRangeStart w:id="3"/>
            <w:r>
              <w:rPr/>
              <w:t>(1)</w:t>
            </w:r>
            <w:r>
              <w:rPr/>
            </w:r>
            <w:commentRangeEnd w:id="3"/>
            <w:r>
              <w:commentReference w:id="3"/>
            </w:r>
            <w:r>
              <w:rPr/>
              <w:t>svasti śrī</w:t>
              <w:br/>
              <w:t>(2)kōpparakēcari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Beginning of non-hierarchical division (fragment, masonry block, etc.)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&lt;milestone unit="block" n="a"/&gt;svasti śrī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Word divided across break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&lt;lb n="1"/&gt;…dhar</w:t>
            </w:r>
          </w:p>
          <w:p>
            <w:pPr>
              <w:pStyle w:val="Normal1"/>
              <w:rPr/>
            </w:pPr>
            <w:r>
              <w:rPr/>
              <w:t>&lt;lb n="2" break="no"/&gt;ma…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(1)…dhar-</w:t>
              <w:br/>
              <w:t>(2)ma…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Same display and same attribute for breaks other than line beginnings.</w:t>
            </w:r>
          </w:p>
        </w:tc>
      </w:tr>
    </w:tbl>
    <w:p>
      <w:pPr>
        <w:pStyle w:val="Heading2"/>
        <w:rPr/>
      </w:pPr>
      <w:bookmarkStart w:id="14" w:name="_68q5jjn3tr2s"/>
      <w:bookmarkEnd w:id="14"/>
      <w:r>
        <w:rPr/>
        <w:t>3. Palaeographic features</w:t>
      </w:r>
    </w:p>
    <w:p>
      <w:pPr>
        <w:pStyle w:val="Normal1"/>
        <w:rPr/>
      </w:pPr>
      <w:r>
        <w:rPr/>
        <w:t>EGD §4.1-4.3</w:t>
      </w:r>
    </w:p>
    <w:tbl>
      <w:tblPr>
        <w:tblStyle w:val="Table3"/>
        <w:tblW w:w="10020" w:type="dxa"/>
        <w:jc w:val="left"/>
        <w:tblInd w:w="11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1515"/>
        <w:gridCol w:w="4245"/>
        <w:gridCol w:w="1920"/>
        <w:gridCol w:w="2339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markup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display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commentRangeStart w:id="4"/>
            <w:commentRangeStart w:id="5"/>
            <w:r>
              <w:rPr/>
              <w:t>Vowel</w:t>
            </w:r>
            <w:r>
              <w:rPr/>
            </w:r>
            <w:commentRangeEnd w:id="5"/>
            <w:r>
              <w:commentReference w:id="5"/>
            </w:r>
            <w:commentRangeEnd w:id="4"/>
            <w:r>
              <w:commentReference w:id="4"/>
            </w:r>
            <w:r>
              <w:rPr/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bookmarkStart w:id="15" w:name="__DdeLink__1176_3563356684"/>
            <w:r>
              <w:rPr/>
              <w:t>&lt;seg type="component" subtype="prescript"/&gt;</w:t>
              <w:br/>
              <w:t xml:space="preserve"> &lt;seg type="component" subtype="postcript"/&gt;</w:t>
            </w:r>
            <w:bookmarkEnd w:id="15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Consonant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&lt;seg type="component" subtype="body"/&gt;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Single symbol representing a number above 9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 type="numeral"&gt;200&lt;/g&gt;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Symbol interpreted as punctuation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&lt;g type="danda"&gt;.&lt;/g&gt;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Display depends on @type.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Symbol interpreted as space filler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&lt;g type="squiggleVertical"&gt;§&lt;/g&gt;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Display depends on @type.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Uninterpreted symbol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&lt;g type="floretComplex"/&gt;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Display depends on @type.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Small space between words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&lt;space/&gt;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“</w:t>
            </w:r>
            <w:r>
              <w:rPr/>
              <w:t>Small” is defined as less than two typical character widths.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Large space between words or semantic units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&lt;space quantity="3" unit="character"/&gt;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Approximate width of space in typical-sized character.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Space left blank because it was not possible to write in a given spot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&lt;space type="binding-hole"/&gt;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Other values of @type for other reasons of inability to write. The size of these spaces is never encoded.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Space left blank presumably with the intent to fill later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&lt;space type="vacat" quantity="5" unit="character"/&gt;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Approximate width of space in typical-sized character. The size of these spaces must always be encoded.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Space of uninterpreted function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&lt;space type="unclassified"/&gt;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Size optionally encoded with @quantity and @unit.</w:t>
            </w:r>
          </w:p>
        </w:tc>
      </w:tr>
    </w:tbl>
    <w:p>
      <w:pPr>
        <w:pStyle w:val="Heading2"/>
        <w:rPr/>
      </w:pPr>
      <w:bookmarkStart w:id="16" w:name="_dxy62igc17k1"/>
      <w:bookmarkEnd w:id="16"/>
      <w:r>
        <w:rPr/>
        <w:t>4. Scribal alterations in text</w:t>
      </w:r>
    </w:p>
    <w:p>
      <w:pPr>
        <w:pStyle w:val="Normal1"/>
        <w:rPr/>
      </w:pPr>
      <w:r>
        <w:rPr/>
        <w:t>EGD §4.4</w:t>
      </w:r>
    </w:p>
    <w:tbl>
      <w:tblPr>
        <w:tblStyle w:val="Table4"/>
        <w:tblW w:w="10005" w:type="dxa"/>
        <w:jc w:val="left"/>
        <w:tblInd w:w="11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1514"/>
        <w:gridCol w:w="4215"/>
        <w:gridCol w:w="1935"/>
        <w:gridCol w:w="2340"/>
      </w:tblGrid>
      <w:tr>
        <w:trPr/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markup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display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>
        <w:trPr/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Characters added by premodern scribe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dha&lt;add&gt;rma&lt;/add&gt;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Source Sans Pro" w:cs="Source Sans Pro" w:ascii="Source Sans Pro" w:hAnsi="Source Sans Pro"/>
              </w:rPr>
              <w:t>dha⟨⟨rma⟩⟩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Locus of insertion and eventual addition mark encoded by attributes.</w:t>
            </w:r>
          </w:p>
        </w:tc>
      </w:tr>
      <w:tr>
        <w:trPr/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Characters deleted by premodern scribe but still legible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dharma&lt;del&gt;ma&lt;/del&gt;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Source Sans Pro" w:cs="Source Sans Pro" w:ascii="Source Sans Pro" w:hAnsi="Source Sans Pro"/>
              </w:rPr>
              <w:t>dharma⟦ma⟧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Manner of deletion encoded by attributes. If the deleted text is unclear or only tentatively legible, this is encoded and displayed normally (section 5).</w:t>
            </w:r>
          </w:p>
        </w:tc>
      </w:tr>
      <w:tr>
        <w:trPr/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Characters deleted by premodern scribe and no longer legible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&lt;del&gt;&lt;gap reason="illegible" quantity="1" unit="character"/&gt;&lt;/del&gt;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Manner of deletion encoded by attributes. Number of illegible characters encoded as in other lacunae (section 5).</w:t>
            </w:r>
          </w:p>
        </w:tc>
      </w:tr>
      <w:tr>
        <w:trPr/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Scribal correction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bottun&lt;subst&gt;&lt;del rend="corrected"&gt;u&lt;/del&gt;&lt;add place="overstrike"&gt;a&lt;/add&gt;&lt;/subst&gt;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Source Sans Pro" w:cs="Source Sans Pro" w:ascii="Source Sans Pro" w:hAnsi="Source Sans Pro"/>
              </w:rPr>
              <w:t>bottun⟦u⟧⟨⟨a⟩⟩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Manner of deletion and locus of addition may be encoded with different attributes.</w:t>
            </w:r>
          </w:p>
        </w:tc>
      </w:tr>
    </w:tbl>
    <w:p>
      <w:pPr>
        <w:pStyle w:val="Heading2"/>
        <w:rPr/>
      </w:pPr>
      <w:bookmarkStart w:id="17" w:name="_gisfik588gj1"/>
      <w:bookmarkEnd w:id="17"/>
      <w:r>
        <w:rPr/>
        <w:t>5. Imperfectly legible text</w:t>
      </w:r>
    </w:p>
    <w:p>
      <w:pPr>
        <w:pStyle w:val="Normal1"/>
        <w:rPr/>
      </w:pPr>
      <w:r>
        <w:rPr/>
        <w:t>EGD §5</w:t>
      </w:r>
    </w:p>
    <w:tbl>
      <w:tblPr>
        <w:tblStyle w:val="Table5"/>
        <w:tblW w:w="10020" w:type="dxa"/>
        <w:jc w:val="left"/>
        <w:tblInd w:w="11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1515"/>
        <w:gridCol w:w="4319"/>
        <w:gridCol w:w="1891"/>
        <w:gridCol w:w="2294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markup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display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Unclear reading (characters would be ambiguous outside of their context)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dha&lt;unclear&gt;rma&lt;/unclear&gt;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dha(rma)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This is without regard to the degree of damage and used in all cases where a character or vestige that would be ambiguous or illegible without its context is confidently read in context.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Tentative reading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dha&lt;unclear cert="low"&gt;rma&lt;/unclear&gt;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dha(rma?)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This indicates reduced confidence in the reading, not reduced legibility of the original.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Ambiguous reading with two or more possible alternatives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&lt;choice&gt;</w:t>
              <w:br/>
              <w:t xml:space="preserve"> &lt;unclear&gt;a&lt;/unclear&gt;</w:t>
              <w:br/>
              <w:t xml:space="preserve"> &lt;unclear&gt;o&lt;/unclear&gt;</w:t>
              <w:br/>
              <w:t xml:space="preserve"> &lt;/choice&gt;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(a/o)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unknown number of characters irretrievably lost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reason="lost" extent="unknown" unit="character"/&gt;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commentRangeStart w:id="6"/>
            <w:r>
              <w:rPr/>
              <w:t>[…]</w:t>
            </w:r>
            <w:commentRangeEnd w:id="6"/>
            <w:r>
              <w:commentReference w:id="6"/>
            </w:r>
            <w:r>
              <w:rPr/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Lacuna: confidently estimated </w:t>
            </w:r>
            <w:commentRangeStart w:id="7"/>
            <w:r>
              <w:rPr/>
              <w:t>number of characters</w:t>
            </w:r>
            <w:r>
              <w:rPr/>
            </w:r>
            <w:commentRangeEnd w:id="7"/>
            <w:r>
              <w:commentReference w:id="7"/>
            </w:r>
            <w:r>
              <w:rPr/>
              <w:t xml:space="preserve"> irretrievably lost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reason="lost" unit="character" quantity="3"/&gt;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[3+]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tentatively estimated number of characters irretrievably lost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reason="lost" unit="character" quantity="3"precision="low"&gt;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[ca. 3+]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unknown number of characters illegible, but vestiges are present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reason="illegible" extent="unknown" unit="character"/&gt;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[…]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confidently estimated number of characters illegible, but vestiges are present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reason="illegible" unit="character" quantity="3"/&gt;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[3</w:t>
            </w:r>
            <w:commentRangeStart w:id="8"/>
            <w:r>
              <w:rPr/>
              <w:t>×</w:t>
            </w:r>
            <w:r>
              <w:rPr/>
            </w:r>
            <w:commentRangeEnd w:id="8"/>
            <w:r>
              <w:commentReference w:id="8"/>
            </w:r>
            <w:r>
              <w:rPr/>
              <w:t>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tentatively estimated number of characters illegible, but vestiges are present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reason="illegible" unit="character" quantity="3"precision="low"/&gt;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[ca. 3×]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unknown number of characters (encoded from previous edition that makes no distinction between loss and illegibility)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reason="undefined" extent="unknown" unit="character"/&gt;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[…]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confidently estimated number of characters (encoded from previous edition that makes no distinction between loss and illegibility)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reason=”undefined" unit="character" quantity="3"/&gt;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[3*]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tentatively estimated number of characters (encoded from previous edition that makes no distinction between loss and illegibility)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reason="undefined" unit="character" quantity="3" precision="low"/&gt;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[ca. 3*]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confidently estimated number of lines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reason="lost" quantity="3" unit="line"/&gt;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[3 lines </w:t>
            </w:r>
            <w:commentRangeStart w:id="9"/>
            <w:r>
              <w:rPr/>
              <w:t>lost</w:t>
            </w:r>
            <w:r>
              <w:rPr/>
            </w:r>
            <w:commentRangeEnd w:id="9"/>
            <w:r>
              <w:commentReference w:id="9"/>
            </w:r>
            <w:r>
              <w:rPr/>
              <w:t>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Similarly with reason “illegible” and “undefined”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Lacuna: tentatively estimated number of lines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reason="lost" quantity="3" unit="line" precision="low"/&gt;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[ca. 3 lines lost]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Similarly with reason “illegible” and “undefined”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commentRangeStart w:id="10"/>
            <w:r>
              <w:rPr/>
              <w:t>Lacuna</w:t>
            </w:r>
            <w:r>
              <w:rPr/>
            </w:r>
            <w:commentRangeEnd w:id="10"/>
            <w:r>
              <w:commentReference w:id="10"/>
            </w:r>
            <w:r>
              <w:rPr/>
              <w:t>: unknown number of lines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reason="lost" extent="unknown" unit="line"/&gt;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[unknown number of lines lost]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Similarly with reason “illegible” and “undefined” 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 in verse with known prosody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&lt;seg met="+++-++"&gt;&lt;gap reason="lost" quantity="6" unit="character"&gt;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Arial Unicode MS" w:cs="Arial Unicode MS" w:ascii="Arial Unicode MS" w:hAnsi="Arial Unicode MS"/>
              </w:rPr>
              <w:t>[– – – ⏑ – –]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Similarly with reason “illegible” and “undefined”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Lacuna confidently </w:t>
            </w:r>
            <w:commentRangeStart w:id="11"/>
            <w:r>
              <w:rPr/>
              <w:t xml:space="preserve">restored </w:t>
            </w:r>
            <w:r>
              <w:rPr/>
            </w:r>
            <w:commentRangeEnd w:id="11"/>
            <w:r>
              <w:commentReference w:id="11"/>
            </w:r>
            <w:r>
              <w:rPr/>
              <w:t>by editor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dha&lt;supplied reason="lost"&gt;r&lt;/supplied&gt;ma 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dha[r]ma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Similarly with reason “undefined”, but NOT with reason “illegible”. If vestiges are present, a restoration is to be shown as an unclear reading. Basis of restoration may be encoded with @evidence.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Lacuna tentatively restored by editor 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dha&lt;supplied reason="lost" cert="low"&gt;r&lt;/supplied&gt;ma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dha[r?]ma</w:t>
              <w:br/>
              <w:t>dha[r?]ma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Similarly with reason “undefined”, but NOT with reason “illegible”. If vestiges are present, a tentative restoration is to be shown as a tentative reading.  Basis of restoration may be encoded with @evidence.</w:t>
            </w:r>
          </w:p>
        </w:tc>
      </w:tr>
      <w:tr>
        <w:trPr/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Lacuna with differently treated parts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reason="illegible" quantity="10" unit="character" precision="low"/&gt;&lt;</w:t>
            </w:r>
            <w:commentRangeStart w:id="12"/>
            <w:r>
              <w:rPr/>
              <w:t>seg met="+++-++"</w:t>
            </w:r>
            <w:r>
              <w:rPr/>
            </w:r>
            <w:commentRangeEnd w:id="12"/>
            <w:r>
              <w:commentReference w:id="12"/>
            </w:r>
            <w:r>
              <w:rPr/>
              <w:t>&gt;&lt;gap reason="illegible" quantity="6" unit="character"/&gt;&lt;/seg&gt;&lt;supplied reason="lost"&gt;abc&lt;/supplied&gt;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Arial Unicode MS" w:cs="Arial Unicode MS" w:ascii="Arial Unicode MS" w:hAnsi="Arial Unicode MS"/>
              </w:rPr>
              <w:t>[ca.10x – – – ⏑ – – abc]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Heading2"/>
        <w:rPr/>
      </w:pPr>
      <w:bookmarkStart w:id="18" w:name="_lvfcnirnitzj"/>
      <w:bookmarkEnd w:id="18"/>
      <w:r>
        <w:rPr/>
        <w:t>6. Editorial intervention</w:t>
      </w:r>
    </w:p>
    <w:p>
      <w:pPr>
        <w:pStyle w:val="Normal1"/>
        <w:rPr/>
      </w:pPr>
      <w:r>
        <w:rPr/>
        <w:t>EGD §6</w:t>
      </w:r>
    </w:p>
    <w:tbl>
      <w:tblPr>
        <w:tblStyle w:val="Table6"/>
        <w:tblW w:w="10035" w:type="dxa"/>
        <w:jc w:val="left"/>
        <w:tblInd w:w="11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1725"/>
        <w:gridCol w:w="4110"/>
        <w:gridCol w:w="1920"/>
        <w:gridCol w:w="2279"/>
      </w:tblGrid>
      <w:tr>
        <w:trPr>
          <w:tblHeader w:val="true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markup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display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>
        <w:trPr/>
        <w:tc>
          <w:tcPr>
            <w:tcW w:w="17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Non-standard lexicon or spelling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&lt;orig&gt;dhamma&lt;/orig&gt;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color w:val="FF00FF"/>
              </w:rPr>
              <w:t>¡dharma!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7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Non-standard lexicon or spelling normalised by the editor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&lt;choice&gt;&lt;orig&gt;dhamma&lt;/orig&gt;&lt;reg&gt;dharmma&lt;/reg&gt;&lt;/choice&gt;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FF"/>
              </w:rPr>
            </w:pPr>
            <w:r>
              <w:rPr>
                <w:color w:val="FF00FF"/>
              </w:rPr>
              <w:t>¡dharma!</w:t>
            </w:r>
            <w:r>
              <w:rPr>
                <w:rFonts w:eastAsia="Source Sans Pro" w:cs="Source Sans Pro" w:ascii="Source Sans Pro" w:hAnsi="Source Sans Pro"/>
                <w:color w:val="0000FF"/>
              </w:rPr>
              <w:t xml:space="preserve">⟨dharmma⟩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7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Erroneous or unintelligible original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&lt;sic&gt;dhoma&lt;/sic&gt;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FF0000"/>
              </w:rPr>
            </w:pPr>
            <w:r>
              <w:rPr>
                <w:color w:val="FF0000"/>
              </w:rPr>
              <w:t>¿dhoma?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7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Erroneous or unintelligible original corrected by the editor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dha&lt;choice&gt;&lt;sic&gt;t&lt;/sic&gt;&lt;corr&gt;r&lt;/corr&gt;&lt;/choice&gt;ma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</w:t>
            </w:r>
            <w:r>
              <w:rPr>
                <w:color w:val="FF0000"/>
              </w:rPr>
              <w:t>¿t?</w:t>
            </w:r>
            <w:r>
              <w:rPr>
                <w:rFonts w:eastAsia="Source Sans Pro" w:cs="Source Sans Pro" w:ascii="Source Sans Pro" w:hAnsi="Source Sans Pro"/>
                <w:color w:val="0000FF"/>
              </w:rPr>
              <w:t>⟨r⟩</w:t>
            </w:r>
            <w:r>
              <w:rPr/>
              <w:t>ma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7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Character(s) omitted by scribe and restored by the editor (editorial addition)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dha&lt;supplied reason="omitted"&gt;rma&lt;/supplied&gt;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Source Sans Pro" w:cs="Source Sans Pro" w:ascii="Source Sans Pro" w:hAnsi="Source Sans Pro"/>
              </w:rPr>
              <w:t>dha⟨rma⟩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7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Character(s) omitted by the scribe and not restored by the editor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catvāriṁśat samā&lt;seg met="-="&gt;&lt;gap reason="omitted" quantity="2" unit="character"/&gt;&lt;/seg&gt;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Unrestored omissions tend to occur in metrical text, since without a known prosody it is hard to be certain that something was omitted. But the same encoding may also be used without &lt;seg&gt; and @met, and also with @extent="unknown" instead of @quantity.</w:t>
            </w:r>
          </w:p>
        </w:tc>
      </w:tr>
      <w:tr>
        <w:trPr/>
        <w:tc>
          <w:tcPr>
            <w:tcW w:w="17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Superfluous characters engraved by scribe (e.g. dittography) and suppressed by the editor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dharma&lt;surplus&gt;ma&lt;/surplus&gt;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dharma{ma}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</w:tbl>
    <w:p>
      <w:pPr>
        <w:pStyle w:val="Heading2"/>
        <w:rPr/>
      </w:pPr>
      <w:bookmarkStart w:id="19" w:name="_2ahdimbggya4"/>
      <w:bookmarkEnd w:id="19"/>
      <w:r>
        <w:rPr/>
        <w:t>7. Editorial markup in translations and commentary</w:t>
      </w:r>
    </w:p>
    <w:p>
      <w:pPr>
        <w:pStyle w:val="Normal1"/>
        <w:rPr/>
      </w:pPr>
      <w:r>
        <w:rPr/>
        <w:t>EGD §9.2.7-14 and a few other sections</w:t>
      </w:r>
    </w:p>
    <w:p>
      <w:pPr>
        <w:pStyle w:val="Normal1"/>
        <w:rPr/>
      </w:pPr>
      <w:r>
        <w:rPr/>
        <w:t>The markup and display applicable to lacunae and their restoration may also appear in translations.</w:t>
      </w:r>
    </w:p>
    <w:tbl>
      <w:tblPr>
        <w:tblStyle w:val="Table7"/>
        <w:tblW w:w="10035" w:type="dxa"/>
        <w:jc w:val="left"/>
        <w:tblInd w:w="11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1485"/>
        <w:gridCol w:w="4650"/>
        <w:gridCol w:w="1965"/>
        <w:gridCol w:w="1934"/>
      </w:tblGrid>
      <w:tr>
        <w:trPr/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markup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DHARMA display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Text in language other than the surrounding text, modern language written in Latin script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&lt;foreign xml:lang=”fra”&gt;vis-à-vis&lt;/foreign&gt;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Text in language other than the surrounding text and the primary language of the edition, modern or premodern language transliterated from non-Latin script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&lt;foreign xml:lang="tel-Latn"&gt;cuvikaṇṭhi-&lt;/foreign&gt;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Explanatory insertion in translation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Kantacēṉaṉ &lt;supplied reason="explanation"&gt;Skt. Skandasena&lt;/supplied&gt;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Kantacēṉaṉ (Skt. Skandasena)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Tentative explanatory insertion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the Raṭṭa lord &lt;supplied reason="explanation" cert="low"&gt;Amoghavarṣa I&lt;/supplied&gt;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Corresponding original word inserted in translation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Temple &lt;supplied reason="explanation"&gt;&lt;foreign&gt;tēvakulam&lt;/foreign&gt;&lt;/supplied&gt;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Temple (tēvakulam)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Words inserted into translation for clarity or syntactical correctness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Fiftieth &lt;supplied reason="subaudible"&gt;year&lt;/supplied&gt; of Nantippōttaracar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Fiftieth [year] of Nantippōttaracar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Words tentatively inserted for clarity or syntactical correctness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&lt;supplied reason="subaudible" cert="low"&gt;The donee&lt;/supplied&gt; has been allocated a residence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Unintelligible segment in the original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reason="ellipsis"/&gt;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Usually followed by the original segment in &lt;supplied reason="explanation"&gt;&lt;foreign&gt;&lt;/foreign&gt;&lt;/supplied&gt; and optionally also by an explanatory note.</w:t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Untranslated segment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&lt;gap reason="ellipsis"/&gt;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Followed by a note explaining why this text has not been translated.</w:t>
            </w:r>
          </w:p>
        </w:tc>
      </w:tr>
      <w:tr>
        <w:trPr/>
        <w:tc>
          <w:tcPr>
            <w:tcW w:w="14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Alternative translation of bitextual phrase (śleṣa)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who is attended by mercy as Droṇa &lt;seg rend="pun"&gt;is followed by Kr̥pā&lt;/seg&gt;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Heading2"/>
        <w:spacing w:before="240" w:after="60"/>
        <w:rPr>
          <w:sz w:val="18"/>
          <w:szCs w:val="18"/>
        </w:rPr>
      </w:pPr>
      <w:r>
        <w:rPr>
          <w:sz w:val="18"/>
          <w:szCs w:val="18"/>
        </w:rPr>
      </w:r>
      <w:bookmarkStart w:id="20" w:name="_jn3euieddtv7"/>
      <w:bookmarkStart w:id="21" w:name="_jn3euieddtv7"/>
      <w:bookmarkEnd w:id="21"/>
    </w:p>
    <w:sectPr>
      <w:type w:val="nextPage"/>
      <w:pgSz w:orient="landscape" w:w="23811" w:h="16838"/>
      <w:pgMar w:left="1021" w:right="1021" w:gutter="0" w:header="0" w:top="1021" w:footer="0" w:bottom="1021"/>
      <w:pgNumType w:start="1"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Dániel Balogh" w:date="2024-04-10T14:00:40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Shall we change the terminology (here and in the next EGD) from "intrinsic" to "logical" to match the names of the display alternatives?</w:t>
      </w:r>
    </w:p>
  </w:comment>
  <w:comment w:id="1" w:author="Dániel Balogh" w:date="2024-04-08T13:44:28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Was "verses", which is wrong. There were also two more similar rows with variations, which I consider unnecessary.</w:t>
      </w:r>
    </w:p>
  </w:comment>
  <w:comment w:id="2" w:author="Dániel Balogh" w:date="2024-04-10T14:00:56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Shall we change the terminology (here and in the next EGD) from "extrinsic" to "physical" to match the names of the display alternatives?</w:t>
      </w:r>
    </w:p>
  </w:comment>
  <w:comment w:id="3" w:author="Dániel Balogh" w:date="2024-04-08T13:27:19Z" w:initials="">
    <w:p>
      <w:pPr>
        <w:overflowPunct w:val="false"/>
        <w:rPr/>
      </w:pPr>
      <w:r>
        <w:rPr>
          <w:rFonts w:ascii="Source Sans Pro" w:hAnsi="Source Sans Pro" w:eastAsia="Source Sans Pro" w:cs="Source Sans Pr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I still think line numbers should be shown in ⟨⟩ (meaning “editorial addition” while () means “unclear”, which is inappropriate). I agree with keeping the grey colour and suggest, but do not insist, that superscript be used for these.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I suggest the same for the display of all pb and milestone elements.</w:t>
      </w:r>
    </w:p>
  </w:comment>
  <w:comment w:id="5" w:author="Dániel Balogh" w:date="2024-04-08T14:18:43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I propose discarding vowel and consonant from this, since we have no display for this markup, and anyway it's all half-baked and hardly anybody uses it.</w:t>
      </w:r>
    </w:p>
  </w:comment>
  <w:comment w:id="4" w:author="Dániel Balogh" w:date="2024-04-10T14:57:50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Depending on whether we discard those, it may be possible to give this section a better title; or to split it into two separate sections, for Symbols and Blank space.</w:t>
      </w:r>
    </w:p>
  </w:comment>
  <w:comment w:id="6" w:author="Dániel Balogh" w:date="2024-04-10T15:05:59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I wonder if we are making the right kinds of distinction in display. I have not checked these on dharman.in, so current display may be different. But from what we have in the table: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- we distinguish lost/illegible/undefined (using +/×/*) when exact or approximate number is encoded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- we do not make the same distinction when the extent is unknown.</w:t>
      </w:r>
    </w:p>
    <w:p>
      <w:pPr>
        <w:overflowPunct w:val="false"/>
        <w:rPr/>
      </w:pPr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This seems inconsistent. I think it would be best never to make the distinction in the display, only in the tooltip, so we would have only 3 rows here instead of 9, and 3 different displays instead of 7. The displays could be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[...]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[3]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[ca. 3]</w:t>
      </w:r>
    </w:p>
  </w:comment>
  <w:comment w:id="7" w:author="Dániel Balogh" w:date="2024-04-08T15:16:08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At the moment, lacuna display on dharman.in does not seem right: I get things like [1x][*] where [1×] is expected and [ca. 3x][***] where [ca. 3×] is expected.</w:t>
      </w:r>
    </w:p>
  </w:comment>
  <w:comment w:id="8" w:author="Dániel Balogh" w:date="2024-04-08T15:12:57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Note that this should be the character × and not the lowercase letter x.</w:t>
      </w:r>
    </w:p>
  </w:comment>
  <w:comment w:id="9" w:author="Dániel Balogh" w:date="2024-04-10T15:07:18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If we dispose of the distinction between lost/etc for inline lacuna display, then the same should be done for whole-line lacunae, further simplifying this table. The display could be: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[3 lines]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[ca. 3 lines]</w:t>
      </w:r>
    </w:p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[unknown number of lines]</w:t>
      </w:r>
    </w:p>
  </w:comment>
  <w:comment w:id="10" w:author="Dániel Balogh" w:date="2024-04-08T14:41:15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I have discarded the rows for confidently estimated / tentatively estimated / unknown number of lines possibly lost. We can put them back if someone insists.</w:t>
      </w:r>
    </w:p>
  </w:comment>
  <w:comment w:id="11" w:author="Dániel Balogh" w:date="2024-04-08T14:47:25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I have discarded the rows about variations with @evidence, since they are irrelevant to display and hardly ever used anyway.</w:t>
      </w:r>
    </w:p>
  </w:comment>
  <w:comment w:id="12" w:author="Dániel Balogh" w:date="2024-04-08T14:50:59Z" w:initials="">
    <w:p>
      <w:pPr>
        <w:overflowPunct w:val="false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Such a combination (a brief metrical segment sandwiched between segments of unknown prosody) is so unlikely to occur that if we really want a listing of combination lacunae, we should come up with something else.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ource Sans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right" w:pos="14418" w:leader="none"/>
      </w:tabs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pageBreakBefore w:val="fals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pageBreakBefore w:val="false"/>
      <w:pBdr/>
      <w:shd w:val="clear" w:fill="auto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pageBreakBefore w:val="fals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pageBreakBefore w:val="false"/>
      <w:pBdr/>
      <w:shd w:val="clear" w:fill="auto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Heading5">
    <w:name w:val="Heading 5"/>
    <w:basedOn w:val="Normal1"/>
    <w:next w:val="Normal1"/>
    <w:qFormat/>
    <w:pPr>
      <w:pageBreakBefore w:val="false"/>
      <w:pBdr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Normal1"/>
    <w:next w:val="Normal1"/>
    <w:qFormat/>
    <w:pPr>
      <w:pageBreakBefore w:val="false"/>
      <w:pBdr/>
      <w:shd w:val="clear" w:fill="auto"/>
      <w:spacing w:lineRule="auto" w:line="240" w:before="240" w:after="60"/>
    </w:pPr>
    <w:rPr>
      <w:b/>
      <w:caps w:val="false"/>
      <w:smallCaps w:val="false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fr-F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pBdr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Normal1"/>
    <w:next w:val="Normal1"/>
    <w:qFormat/>
    <w:pPr>
      <w:pageBreakBefore w:val="false"/>
      <w:pBdr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LibreOffice/7.6.6.3$Linux_X86_64 LibreOffice_project/60$Build-3</Application>
  <AppVersion>15.0000</AppVersion>
  <Pages>7</Pages>
  <Words>1334</Words>
  <Characters>9491</Characters>
  <CharactersWithSpaces>10637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>Michaël Meyer</cp:lastModifiedBy>
  <dcterms:modified xsi:type="dcterms:W3CDTF">2024-04-12T08:41:24Z</dcterms:modified>
  <cp:revision>6</cp:revision>
  <dc:subject/>
  <dc:title/>
</cp:coreProperties>
</file>