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52"/>
          <w:szCs w:val="52"/>
        </w:rPr>
        <w:t xml:space="preserve">CLOUD COST OPTIMIZATION AUDIT</w:t>
      </w:r>
    </w:p>
    <w:p>
      <w:pPr>
        <w:spacing w:after="100" w:before="200"/>
        <w:jc w:val="center"/>
      </w:pPr>
      <w:r>
        <w:rPr>
          <w:color w:val="2E75B6"/>
          <w:sz w:val="28"/>
          <w:szCs w:val="28"/>
        </w:rPr>
        <w:t xml:space="preserve">Rightsizing Recommendations for a Sample Azure Environment</w:t>
      </w:r>
    </w:p>
    <w:p>
      <w:pPr>
        <w:spacing w:before="600"/>
        <w:jc w:val="center"/>
      </w:pPr>
      <w:r>
        <w:rPr>
          <w:sz w:val="22"/>
          <w:szCs w:val="22"/>
        </w:rPr>
        <w:t xml:space="preserve">Prepared for: Startup Cloud Cost Optimization Initiative</w:t>
      </w:r>
    </w:p>
    <w:p>
      <w:pPr>
        <w:spacing w:before="100"/>
        <w:jc w:val="center"/>
      </w:pPr>
      <w:r>
        <w:rPr>
          <w:sz w:val="22"/>
          <w:szCs w:val="22"/>
        </w:rPr>
        <w:t xml:space="preserve">Environment audited: Azure Resource Group “Cost-Audit” (Azure subscription 1)</w:t>
      </w:r>
    </w:p>
    <w:p>
      <w:pPr>
        <w:spacing w:before="100"/>
        <w:jc w:val="center"/>
      </w:pPr>
      <w:r>
        <w:rPr>
          <w:sz w:val="22"/>
          <w:szCs w:val="22"/>
        </w:rPr>
        <w:t xml:space="preserve">Audit period: August 1 – 5, 2026</w:t>
      </w:r>
    </w:p>
    <w:p>
      <w:pPr>
        <w:spacing w:before="100"/>
        <w:jc w:val="center"/>
      </w:pPr>
      <w:r>
        <w:rPr>
          <w:sz w:val="22"/>
          <w:szCs w:val="22"/>
        </w:rPr>
        <w:t xml:space="preserve">Report date: August 8, 2026</w:t>
      </w:r>
    </w:p>
    <w:p>
      <w:pPr>
        <w:spacing w:before="800"/>
        <w:jc w:val="center"/>
      </w:pPr>
      <w:r>
        <w:rPr>
          <w:i/>
          <w:iCs/>
          <w:color w:val="555555"/>
          <w:sz w:val="20"/>
          <w:szCs w:val="20"/>
        </w:rPr>
        <w:t xml:space="preserve">Problem context: Startups in Nigeria (and similar emerging markets) frequently overspend on cloud infrastructure due to orphaned resources, oversized compute, and a lack of routine cost review. This audit demonstrates an MVP workflow — usage review, cost-saving recommendations, before/after comparison, and a structured audit report — that any small team can repeat monthly.</w:t>
      </w:r>
    </w:p>
    <w:p>
      <w:r>
        <w:br w:type="page"/>
      </w:r>
    </w:p>
    <w:p>
      <w:pPr>
        <w:pStyle w:val="Heading1"/>
        <w:pBdr>
          <w:bottom w:val="single" w:color="1F4E79" w:sz="8" w:space="4"/>
        </w:pBdr>
        <w:spacing w:after="200" w:before="400"/>
      </w:pPr>
      <w:r>
        <w:rPr>
          <w:b/>
          <w:bCs/>
          <w:color w:val="1F4E79"/>
          <w:sz w:val="30"/>
          <w:szCs w:val="30"/>
        </w:rPr>
        <w:t xml:space="preserve">1. Executive Summary</w:t>
      </w:r>
    </w:p>
    <w:p>
      <w:pPr>
        <w:spacing w:after="150" w:line="300"/>
      </w:pPr>
      <w:r>
        <w:t xml:space="preserve">This audit reviewed a sample Azure environment (resource group “Cost-Audit”) representing a typical early-stage startup workload: one Linux virtual machine, its networking stack, and associated storage. The objective was to identify unnecessary spend and produce concrete, low-risk rightsizing recommendations.</w:t>
      </w:r>
    </w:p>
    <w:p>
      <w:pPr>
        <w:spacing w:after="150" w:line="300"/>
      </w:pPr>
      <w:r>
        <w:t xml:space="preserve">Key finding: the environment is spending 74% of its monthly cloud bill on a storage disk that is not attached to any virtual machine. Combined with a virtual machine that is provisioned far beyond what its actual CPU usage requires, the audited environment is on track to exceed its own monthly budget while the compute it is paying for sits almost completely idle.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color="auto" w:val="clear"/>
            <w:tcMar>
              <w:top w:type="dxa" w:w="80"/>
              <w:left w:type="dxa" w:w="120"/>
              <w:bottom w:type="dxa" w:w="80"/>
              <w:right w:type="dxa" w:w="120"/>
            </w:tcMar>
          </w:tcPr>
          <w:p>
            <w:pPr>
              <w:jc w:val="left"/>
            </w:pPr>
            <w:r>
              <w:rPr>
                <w:b/>
                <w:bCs/>
                <w:color w:val="FFFFFF"/>
              </w:rPr>
              <w:t xml:space="preserve">Metric</w:t>
            </w:r>
          </w:p>
        </w:tc>
        <w:tc>
          <w:tcPr>
            <w:tcW w:type="dxa" w:w="3000"/>
            <w:shd w:fill="1F4E79" w:color="auto" w:val="clear"/>
            <w:tcMar>
              <w:top w:type="dxa" w:w="80"/>
              <w:left w:type="dxa" w:w="120"/>
              <w:bottom w:type="dxa" w:w="80"/>
              <w:right w:type="dxa" w:w="120"/>
            </w:tcMar>
          </w:tcPr>
          <w:p>
            <w:pPr>
              <w:jc w:val="left"/>
            </w:pPr>
            <w:r>
              <w:rPr>
                <w:b/>
                <w:bCs/>
                <w:color w:val="FFFFFF"/>
              </w:rPr>
              <w:t xml:space="preserve">Current (Before)</w:t>
            </w:r>
          </w:p>
        </w:tc>
        <w:tc>
          <w:tcPr>
            <w:tcW w:type="dxa" w:w="3000"/>
            <w:shd w:fill="1F4E79" w:color="auto" w:val="clear"/>
            <w:tcMar>
              <w:top w:type="dxa" w:w="80"/>
              <w:left w:type="dxa" w:w="120"/>
              <w:bottom w:type="dxa" w:w="80"/>
              <w:right w:type="dxa" w:w="120"/>
            </w:tcMar>
          </w:tcPr>
          <w:p>
            <w:pPr>
              <w:jc w:val="left"/>
            </w:pPr>
            <w:r>
              <w:rPr>
                <w:b/>
                <w:bCs/>
                <w:color w:val="FFFFFF"/>
              </w:rPr>
              <w:t xml:space="preserve">Optimized (After)</w:t>
            </w:r>
          </w:p>
        </w:tc>
      </w:tr>
      <w:tr>
        <w:tc>
          <w:tcPr>
            <w:tcMar>
              <w:top w:type="dxa" w:w="80"/>
              <w:left w:type="dxa" w:w="120"/>
              <w:bottom w:type="dxa" w:w="80"/>
              <w:right w:type="dxa" w:w="120"/>
            </w:tcMar>
          </w:tcPr>
          <w:p>
            <w:pPr>
              <w:jc w:val="left"/>
            </w:pPr>
            <w:r>
              <w:rPr>
                <w:b w:val="false"/>
                <w:bCs w:val="false"/>
                <w:color w:val="000000"/>
              </w:rPr>
              <w:t xml:space="preserve">Monthly spend (MTD, Aug 2026)</w:t>
            </w:r>
          </w:p>
        </w:tc>
        <w:tc>
          <w:tcPr>
            <w:tcMar>
              <w:top w:type="dxa" w:w="80"/>
              <w:left w:type="dxa" w:w="120"/>
              <w:bottom w:type="dxa" w:w="80"/>
              <w:right w:type="dxa" w:w="120"/>
            </w:tcMar>
          </w:tcPr>
          <w:p>
            <w:pPr>
              <w:jc w:val="left"/>
            </w:pPr>
            <w:r>
              <w:rPr>
                <w:b w:val="false"/>
                <w:bCs w:val="false"/>
                <w:color w:val="000000"/>
              </w:rPr>
              <w:t xml:space="preserve">$22.01</w:t>
            </w:r>
          </w:p>
        </w:tc>
        <w:tc>
          <w:tcPr>
            <w:tcMar>
              <w:top w:type="dxa" w:w="80"/>
              <w:left w:type="dxa" w:w="120"/>
              <w:bottom w:type="dxa" w:w="80"/>
              <w:right w:type="dxa" w:w="120"/>
            </w:tcMar>
          </w:tcPr>
          <w:p>
            <w:pPr>
              <w:jc w:val="left"/>
            </w:pPr>
            <w:r>
              <w:rPr>
                <w:b w:val="false"/>
                <w:bCs w:val="false"/>
                <w:color w:val="000000"/>
              </w:rPr>
              <w:t xml:space="preserve">~$5.63 (est.)</w:t>
            </w:r>
          </w:p>
        </w:tc>
      </w:tr>
      <w:tr>
        <w:tc>
          <w:tcPr>
            <w:tcMar>
              <w:top w:type="dxa" w:w="80"/>
              <w:left w:type="dxa" w:w="120"/>
              <w:bottom w:type="dxa" w:w="80"/>
              <w:right w:type="dxa" w:w="120"/>
            </w:tcMar>
          </w:tcPr>
          <w:p>
            <w:pPr>
              <w:jc w:val="left"/>
            </w:pPr>
            <w:r>
              <w:rPr>
                <w:b w:val="false"/>
                <w:bCs w:val="false"/>
                <w:color w:val="000000"/>
              </w:rPr>
              <w:t xml:space="preserve">Monthly budget</w:t>
            </w:r>
          </w:p>
        </w:tc>
        <w:tc>
          <w:tcPr>
            <w:tcMar>
              <w:top w:type="dxa" w:w="80"/>
              <w:left w:type="dxa" w:w="120"/>
              <w:bottom w:type="dxa" w:w="80"/>
              <w:right w:type="dxa" w:w="120"/>
            </w:tcMar>
          </w:tcPr>
          <w:p>
            <w:pPr>
              <w:jc w:val="left"/>
            </w:pPr>
            <w:r>
              <w:rPr>
                <w:b w:val="false"/>
                <w:bCs w:val="false"/>
                <w:color w:val="000000"/>
              </w:rPr>
              <w:t xml:space="preserve">$20.00</w:t>
            </w:r>
          </w:p>
        </w:tc>
        <w:tc>
          <w:tcPr>
            <w:tcMar>
              <w:top w:type="dxa" w:w="80"/>
              <w:left w:type="dxa" w:w="120"/>
              <w:bottom w:type="dxa" w:w="80"/>
              <w:right w:type="dxa" w:w="120"/>
            </w:tcMar>
          </w:tcPr>
          <w:p>
            <w:pPr>
              <w:jc w:val="left"/>
            </w:pPr>
            <w:r>
              <w:rPr>
                <w:b w:val="false"/>
                <w:bCs w:val="false"/>
                <w:color w:val="000000"/>
              </w:rPr>
              <w:t xml:space="preserve">$20.00</w:t>
            </w:r>
          </w:p>
        </w:tc>
      </w:tr>
      <w:tr>
        <w:tc>
          <w:tcPr>
            <w:tcMar>
              <w:top w:type="dxa" w:w="80"/>
              <w:left w:type="dxa" w:w="120"/>
              <w:bottom w:type="dxa" w:w="80"/>
              <w:right w:type="dxa" w:w="120"/>
            </w:tcMar>
          </w:tcPr>
          <w:p>
            <w:pPr>
              <w:jc w:val="left"/>
            </w:pPr>
            <w:r>
              <w:rPr>
                <w:b w:val="false"/>
                <w:bCs w:val="false"/>
                <w:color w:val="000000"/>
              </w:rPr>
              <w:t xml:space="preserve">Budget status</w:t>
            </w:r>
          </w:p>
        </w:tc>
        <w:tc>
          <w:tcPr>
            <w:tcMar>
              <w:top w:type="dxa" w:w="80"/>
              <w:left w:type="dxa" w:w="120"/>
              <w:bottom w:type="dxa" w:w="80"/>
              <w:right w:type="dxa" w:w="120"/>
            </w:tcMar>
          </w:tcPr>
          <w:p>
            <w:pPr>
              <w:jc w:val="left"/>
            </w:pPr>
            <w:r>
              <w:rPr>
                <w:b w:val="false"/>
                <w:bCs w:val="false"/>
                <w:color w:val="C0392B"/>
              </w:rPr>
              <w:t xml:space="preserve">10% over budget</w:t>
            </w:r>
          </w:p>
        </w:tc>
        <w:tc>
          <w:tcPr>
            <w:tcMar>
              <w:top w:type="dxa" w:w="80"/>
              <w:left w:type="dxa" w:w="120"/>
              <w:bottom w:type="dxa" w:w="80"/>
              <w:right w:type="dxa" w:w="120"/>
            </w:tcMar>
          </w:tcPr>
          <w:p>
            <w:pPr>
              <w:jc w:val="left"/>
            </w:pPr>
            <w:r>
              <w:rPr>
                <w:b w:val="false"/>
                <w:bCs w:val="false"/>
                <w:color w:val="2E7D32"/>
              </w:rPr>
              <w:t xml:space="preserve">~72% under budget</w:t>
            </w:r>
          </w:p>
        </w:tc>
      </w:tr>
      <w:tr>
        <w:tc>
          <w:tcPr>
            <w:tcMar>
              <w:top w:type="dxa" w:w="80"/>
              <w:left w:type="dxa" w:w="120"/>
              <w:bottom w:type="dxa" w:w="80"/>
              <w:right w:type="dxa" w:w="120"/>
            </w:tcMar>
          </w:tcPr>
          <w:p>
            <w:pPr>
              <w:jc w:val="left"/>
            </w:pPr>
            <w:r>
              <w:rPr>
                <w:b w:val="false"/>
                <w:bCs w:val="false"/>
                <w:color w:val="000000"/>
              </w:rPr>
              <w:t xml:space="preserve">Advisor Cost score</w:t>
            </w:r>
          </w:p>
        </w:tc>
        <w:tc>
          <w:tcPr>
            <w:tcMar>
              <w:top w:type="dxa" w:w="80"/>
              <w:left w:type="dxa" w:w="120"/>
              <w:bottom w:type="dxa" w:w="80"/>
              <w:right w:type="dxa" w:w="120"/>
            </w:tcMar>
          </w:tcPr>
          <w:p>
            <w:pPr>
              <w:jc w:val="left"/>
            </w:pPr>
            <w:r>
              <w:rPr>
                <w:b w:val="false"/>
                <w:bCs w:val="false"/>
                <w:color w:val="000000"/>
              </w:rPr>
              <w:t xml:space="preserve">37%</w:t>
            </w:r>
          </w:p>
        </w:tc>
        <w:tc>
          <w:tcPr>
            <w:tcMar>
              <w:top w:type="dxa" w:w="80"/>
              <w:left w:type="dxa" w:w="120"/>
              <w:bottom w:type="dxa" w:w="80"/>
              <w:right w:type="dxa" w:w="120"/>
            </w:tcMar>
          </w:tcPr>
          <w:p>
            <w:pPr>
              <w:jc w:val="left"/>
            </w:pPr>
            <w:r>
              <w:rPr>
                <w:b w:val="false"/>
                <w:bCs w:val="false"/>
                <w:color w:val="000000"/>
              </w:rPr>
              <w:t xml:space="preserve">Expected to rise once actioned</w:t>
            </w:r>
          </w:p>
        </w:tc>
      </w:tr>
      <w:tr>
        <w:tc>
          <w:tcPr>
            <w:tcMar>
              <w:top w:type="dxa" w:w="80"/>
              <w:left w:type="dxa" w:w="120"/>
              <w:bottom w:type="dxa" w:w="80"/>
              <w:right w:type="dxa" w:w="120"/>
            </w:tcMar>
          </w:tcPr>
          <w:p>
            <w:pPr>
              <w:jc w:val="left"/>
            </w:pPr>
            <w:r>
              <w:rPr>
                <w:b w:val="false"/>
                <w:bCs w:val="false"/>
                <w:color w:val="000000"/>
              </w:rPr>
              <w:t xml:space="preserve">Average VM CPU utilization (7 days)</w:t>
            </w:r>
          </w:p>
        </w:tc>
        <w:tc>
          <w:tcPr>
            <w:tcMar>
              <w:top w:type="dxa" w:w="80"/>
              <w:left w:type="dxa" w:w="120"/>
              <w:bottom w:type="dxa" w:w="80"/>
              <w:right w:type="dxa" w:w="120"/>
            </w:tcMar>
          </w:tcPr>
          <w:p>
            <w:pPr>
              <w:jc w:val="left"/>
            </w:pPr>
            <w:r>
              <w:rPr>
                <w:b w:val="false"/>
                <w:bCs w:val="false"/>
                <w:color w:val="000000"/>
              </w:rPr>
              <w:t xml:space="preserve">0.17%</w:t>
            </w:r>
          </w:p>
        </w:tc>
        <w:tc>
          <w:tcPr>
            <w:tcMar>
              <w:top w:type="dxa" w:w="80"/>
              <w:left w:type="dxa" w:w="120"/>
              <w:bottom w:type="dxa" w:w="80"/>
              <w:right w:type="dxa" w:w="120"/>
            </w:tcMar>
          </w:tcPr>
          <w:p>
            <w:pPr>
              <w:jc w:val="left"/>
            </w:pPr>
            <w:r>
              <w:rPr>
                <w:b w:val="false"/>
                <w:bCs w:val="false"/>
                <w:color w:val="000000"/>
              </w:rPr>
              <w:t xml:space="preserve">N/A — VM stopped/rightsized</w:t>
            </w:r>
          </w:p>
        </w:tc>
      </w:tr>
      <w:tr>
        <w:tc>
          <w:tcPr>
            <w:tcMar>
              <w:top w:type="dxa" w:w="80"/>
              <w:left w:type="dxa" w:w="120"/>
              <w:bottom w:type="dxa" w:w="80"/>
              <w:right w:type="dxa" w:w="120"/>
            </w:tcMar>
          </w:tcPr>
          <w:p>
            <w:pPr>
              <w:jc w:val="left"/>
            </w:pPr>
            <w:r>
              <w:rPr>
                <w:b w:val="false"/>
                <w:bCs w:val="false"/>
                <w:color w:val="000000"/>
              </w:rPr>
              <w:t xml:space="preserve">Estimated monthly savings</w:t>
            </w:r>
          </w:p>
        </w:tc>
        <w:tc>
          <w:tcPr>
            <w:tcMar>
              <w:top w:type="dxa" w:w="80"/>
              <w:left w:type="dxa" w:w="120"/>
              <w:bottom w:type="dxa" w:w="80"/>
              <w:right w:type="dxa" w:w="120"/>
            </w:tcMar>
          </w:tcPr>
          <w:p>
            <w:pPr>
              <w:jc w:val="left"/>
            </w:pPr>
            <w:r>
              <w:rPr>
                <w:b w:val="false"/>
                <w:bCs w:val="false"/>
                <w:color w:val="000000"/>
              </w:rPr>
              <w:t xml:space="preserve">—</w:t>
            </w:r>
          </w:p>
        </w:tc>
        <w:tc>
          <w:tcPr>
            <w:tcMar>
              <w:top w:type="dxa" w:w="80"/>
              <w:left w:type="dxa" w:w="120"/>
              <w:bottom w:type="dxa" w:w="80"/>
              <w:right w:type="dxa" w:w="120"/>
            </w:tcMar>
          </w:tcPr>
          <w:p>
            <w:pPr>
              <w:jc w:val="left"/>
            </w:pPr>
            <w:r>
              <w:rPr>
                <w:b/>
                <w:bCs/>
                <w:color w:val="2E7D32"/>
              </w:rPr>
              <w:t xml:space="preserve">~$16.38 (74%)</w:t>
            </w:r>
          </w:p>
        </w:tc>
      </w:tr>
    </w:tbl>
    <w:p>
      <w:pPr>
        <w:spacing w:after="300" w:before="80"/>
        <w:jc w:val="center"/>
      </w:pPr>
      <w:r>
        <w:rPr>
          <w:i/>
          <w:iCs/>
          <w:color w:val="555555"/>
          <w:sz w:val="18"/>
          <w:szCs w:val="18"/>
        </w:rPr>
        <w:t xml:space="preserve">Table 1 — Before/after summary (see Section 5 for calculation basis)</w:t>
      </w:r>
    </w:p>
    <w:p>
      <w:pPr>
        <w:spacing w:after="150" w:line="300"/>
      </w:pPr>
      <w:r>
        <w:t xml:space="preserve">Full findings, screenshots, and the calculation basis for these figures are provided in Sections 3–6.</w:t>
      </w:r>
    </w:p>
    <w:p>
      <w:pPr>
        <w:pStyle w:val="Heading1"/>
        <w:pBdr>
          <w:bottom w:val="single" w:color="1F4E79" w:sz="8" w:space="4"/>
        </w:pBdr>
        <w:spacing w:after="200" w:before="400"/>
      </w:pPr>
      <w:r>
        <w:rPr>
          <w:b/>
          <w:bCs/>
          <w:color w:val="1F4E79"/>
          <w:sz w:val="30"/>
          <w:szCs w:val="30"/>
        </w:rPr>
        <w:t xml:space="preserve">2. Scope &amp; Methodology</w:t>
      </w:r>
    </w:p>
    <w:p>
      <w:pPr>
        <w:pStyle w:val="Heading2"/>
        <w:spacing w:after="150" w:before="300"/>
      </w:pPr>
      <w:r>
        <w:rPr>
          <w:b/>
          <w:bCs/>
          <w:color w:val="2E75B6"/>
          <w:sz w:val="24"/>
          <w:szCs w:val="24"/>
        </w:rPr>
        <w:t xml:space="preserve">2.1 Scope</w:t>
      </w:r>
    </w:p>
    <w:p>
      <w:pPr>
        <w:pStyle w:val="ListParagraph"/>
        <w:numPr>
          <w:ilvl w:val="0"/>
          <w:numId w:val="1"/>
        </w:numPr>
        <w:spacing w:after="80" w:line="280"/>
      </w:pPr>
      <w:r>
        <w:t xml:space="preserve">Cloud provider: Microsoft Azure</w:t>
      </w:r>
    </w:p>
    <w:p>
      <w:pPr>
        <w:pStyle w:val="ListParagraph"/>
        <w:numPr>
          <w:ilvl w:val="0"/>
          <w:numId w:val="1"/>
        </w:numPr>
        <w:spacing w:after="80" w:line="280"/>
      </w:pPr>
      <w:r>
        <w:t xml:space="preserve">Subscription: Azure subscription 1</w:t>
      </w:r>
    </w:p>
    <w:p>
      <w:pPr>
        <w:pStyle w:val="ListParagraph"/>
        <w:numPr>
          <w:ilvl w:val="0"/>
          <w:numId w:val="1"/>
        </w:numPr>
        <w:spacing w:after="80" w:line="280"/>
      </w:pPr>
      <w:r>
        <w:t xml:space="preserve">Resource group audited: Cost-Audit (South Africa North region)</w:t>
      </w:r>
    </w:p>
    <w:p>
      <w:pPr>
        <w:pStyle w:val="ListParagraph"/>
        <w:numPr>
          <w:ilvl w:val="0"/>
          <w:numId w:val="1"/>
        </w:numPr>
        <w:spacing w:after="80" w:line="280"/>
      </w:pPr>
      <w:r>
        <w:t xml:space="preserve">Resources in scope: 1 virtual machine (vm-cost-audit-demo), 1 unattached managed disk, 1 virtual network, 1 public IP</w:t>
      </w:r>
    </w:p>
    <w:p>
      <w:pPr>
        <w:pStyle w:val="ListParagraph"/>
        <w:numPr>
          <w:ilvl w:val="0"/>
          <w:numId w:val="1"/>
        </w:numPr>
        <w:spacing w:after="80" w:line="280"/>
      </w:pPr>
      <w:r>
        <w:t xml:space="preserve">Audit window: cost data for August 1–5, 2026 (month-to-date); usage data for the trailing 7 days as of August 5, 2026</w:t>
      </w:r>
    </w:p>
    <w:p>
      <w:pPr>
        <w:pStyle w:val="Heading2"/>
        <w:spacing w:after="150" w:before="300"/>
      </w:pPr>
      <w:r>
        <w:rPr>
          <w:b/>
          <w:bCs/>
          <w:color w:val="2E75B6"/>
          <w:sz w:val="24"/>
          <w:szCs w:val="24"/>
        </w:rPr>
        <w:t xml:space="preserve">2.2 Methodology</w:t>
      </w:r>
    </w:p>
    <w:p>
      <w:pPr>
        <w:spacing w:after="150" w:line="300"/>
      </w:pPr>
      <w:r>
        <w:t xml:space="preserve">The audit followed a four-step MVP workflow, using native Azure tooling only (no third-party cost tools), to keep the process reproducible by a small team with no dedicated FinOps staff:</w:t>
      </w:r>
    </w:p>
    <w:p>
      <w:pPr>
        <w:pStyle w:val="ListParagraph"/>
        <w:numPr>
          <w:ilvl w:val="0"/>
          <w:numId w:val="1"/>
        </w:numPr>
        <w:spacing w:after="80" w:line="280"/>
      </w:pPr>
      <w:r>
        <w:rPr>
          <w:b/>
          <w:bCs/>
        </w:rPr>
        <w:t xml:space="preserve">Usage review — </w:t>
      </w:r>
      <w:r>
        <w:t xml:space="preserve">Azure Monitor metrics were pulled for the virtual machine to establish actual resource consumption (CPU) against the size that is being paid for.</w:t>
      </w:r>
    </w:p>
    <w:p>
      <w:pPr>
        <w:pStyle w:val="ListParagraph"/>
        <w:numPr>
          <w:ilvl w:val="0"/>
          <w:numId w:val="1"/>
        </w:numPr>
        <w:spacing w:after="80" w:line="280"/>
      </w:pPr>
      <w:r>
        <w:rPr>
          <w:b/>
          <w:bCs/>
        </w:rPr>
        <w:t xml:space="preserve">Cost review — </w:t>
      </w:r>
      <w:r>
        <w:t xml:space="preserve">Azure Cost Management › Cost analysis was used to break month-to-date spend down by service, location, and individual resource.</w:t>
      </w:r>
    </w:p>
    <w:p>
      <w:pPr>
        <w:pStyle w:val="ListParagraph"/>
        <w:numPr>
          <w:ilvl w:val="0"/>
          <w:numId w:val="1"/>
        </w:numPr>
        <w:spacing w:after="80" w:line="280"/>
      </w:pPr>
      <w:r>
        <w:rPr>
          <w:b/>
          <w:bCs/>
        </w:rPr>
        <w:t xml:space="preserve">Recommendation pull — </w:t>
      </w:r>
      <w:r>
        <w:t xml:space="preserve">Azure Advisor's Cost recommendations and Advisor score were pulled for the same scope to cross-check the manual findings against Microsoft's own optimization engine.</w:t>
      </w:r>
    </w:p>
    <w:p>
      <w:pPr>
        <w:pStyle w:val="ListParagraph"/>
        <w:numPr>
          <w:ilvl w:val="0"/>
          <w:numId w:val="1"/>
        </w:numPr>
        <w:spacing w:after="80" w:line="280"/>
      </w:pPr>
      <w:r>
        <w:rPr>
          <w:b/>
          <w:bCs/>
        </w:rPr>
        <w:t xml:space="preserve">Before/after comparison — </w:t>
      </w:r>
      <w:r>
        <w:t xml:space="preserve">Findings were consolidated into a single savings estimate and a set of prioritized, actionable recommendations (Sections 5–6).</w:t>
      </w:r>
    </w:p>
    <w:p>
      <w:r>
        <w:br w:type="page"/>
      </w:r>
    </w:p>
    <w:p>
      <w:pPr>
        <w:pStyle w:val="Heading1"/>
        <w:pBdr>
          <w:bottom w:val="single" w:color="1F4E79" w:sz="8" w:space="4"/>
        </w:pBdr>
        <w:spacing w:after="200" w:before="400"/>
      </w:pPr>
      <w:r>
        <w:rPr>
          <w:b/>
          <w:bCs/>
          <w:color w:val="1F4E79"/>
          <w:sz w:val="30"/>
          <w:szCs w:val="30"/>
        </w:rPr>
        <w:t xml:space="preserve">3. Environment Overview</w:t>
      </w:r>
    </w:p>
    <w:p>
      <w:pPr>
        <w:spacing w:after="150" w:line="300"/>
      </w:pPr>
      <w:r>
        <w:t xml:space="preserve">The audited environment consists of a single-VM baseline deployment, described below as captured directly from the Azure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color="auto" w:val="clear"/>
            <w:tcMar>
              <w:top w:type="dxa" w:w="80"/>
              <w:left w:type="dxa" w:w="120"/>
              <w:bottom w:type="dxa" w:w="80"/>
              <w:right w:type="dxa" w:w="120"/>
            </w:tcMar>
          </w:tcPr>
          <w:p>
            <w:pPr>
              <w:jc w:val="left"/>
            </w:pPr>
            <w:r>
              <w:rPr>
                <w:b/>
                <w:bCs/>
                <w:color w:val="FFFFFF"/>
              </w:rPr>
              <w:t xml:space="preserve">Property</w:t>
            </w:r>
          </w:p>
        </w:tc>
        <w:tc>
          <w:tcPr>
            <w:tcW w:type="dxa" w:w="5800"/>
            <w:shd w:fill="1F4E79" w:color="auto" w:val="clear"/>
            <w:tcMar>
              <w:top w:type="dxa" w:w="80"/>
              <w:left w:type="dxa" w:w="120"/>
              <w:bottom w:type="dxa" w:w="80"/>
              <w:right w:type="dxa" w:w="120"/>
            </w:tcMar>
          </w:tcPr>
          <w:p>
            <w:pPr>
              <w:jc w:val="left"/>
            </w:pPr>
            <w:r>
              <w:rPr>
                <w:b/>
                <w:bCs/>
                <w:color w:val="FFFFFF"/>
              </w:rPr>
              <w:t xml:space="preserve">Value</w:t>
            </w:r>
          </w:p>
        </w:tc>
      </w:tr>
      <w:tr>
        <w:tc>
          <w:tcPr>
            <w:tcW w:type="dxa" w:w="3200"/>
            <w:tcMar>
              <w:top w:type="dxa" w:w="80"/>
              <w:left w:type="dxa" w:w="120"/>
              <w:bottom w:type="dxa" w:w="80"/>
              <w:right w:type="dxa" w:w="120"/>
            </w:tcMar>
          </w:tcPr>
          <w:p>
            <w:pPr>
              <w:jc w:val="left"/>
            </w:pPr>
            <w:r>
              <w:rPr>
                <w:b w:val="false"/>
                <w:bCs w:val="false"/>
                <w:color w:val="000000"/>
              </w:rPr>
              <w:t xml:space="preserve">Resource group</w:t>
            </w:r>
          </w:p>
        </w:tc>
        <w:tc>
          <w:tcPr>
            <w:tcW w:type="dxa" w:w="5800"/>
            <w:tcMar>
              <w:top w:type="dxa" w:w="80"/>
              <w:left w:type="dxa" w:w="120"/>
              <w:bottom w:type="dxa" w:w="80"/>
              <w:right w:type="dxa" w:w="120"/>
            </w:tcMar>
          </w:tcPr>
          <w:p>
            <w:pPr>
              <w:jc w:val="left"/>
            </w:pPr>
            <w:r>
              <w:rPr>
                <w:b w:val="false"/>
                <w:bCs w:val="false"/>
                <w:color w:val="000000"/>
              </w:rPr>
              <w:t xml:space="preserve">Cost-Audit</w:t>
            </w:r>
          </w:p>
        </w:tc>
      </w:tr>
      <w:tr>
        <w:tc>
          <w:tcPr>
            <w:tcW w:type="dxa" w:w="3200"/>
            <w:shd w:fill="EAF1F8" w:color="auto" w:val="clear"/>
            <w:tcMar>
              <w:top w:type="dxa" w:w="80"/>
              <w:left w:type="dxa" w:w="120"/>
              <w:bottom w:type="dxa" w:w="80"/>
              <w:right w:type="dxa" w:w="120"/>
            </w:tcMar>
          </w:tcPr>
          <w:p>
            <w:pPr>
              <w:jc w:val="left"/>
            </w:pPr>
            <w:r>
              <w:rPr>
                <w:b w:val="false"/>
                <w:bCs w:val="false"/>
                <w:color w:val="000000"/>
              </w:rPr>
              <w:t xml:space="preserve">VM name</w:t>
            </w:r>
          </w:p>
        </w:tc>
        <w:tc>
          <w:tcPr>
            <w:tcW w:type="dxa" w:w="5800"/>
            <w:shd w:fill="EAF1F8" w:color="auto" w:val="clear"/>
            <w:tcMar>
              <w:top w:type="dxa" w:w="80"/>
              <w:left w:type="dxa" w:w="120"/>
              <w:bottom w:type="dxa" w:w="80"/>
              <w:right w:type="dxa" w:w="120"/>
            </w:tcMar>
          </w:tcPr>
          <w:p>
            <w:pPr>
              <w:jc w:val="left"/>
            </w:pPr>
            <w:r>
              <w:rPr>
                <w:b w:val="false"/>
                <w:bCs w:val="false"/>
                <w:color w:val="000000"/>
              </w:rPr>
              <w:t xml:space="preserve">vm-cost-audit-demo</w:t>
            </w:r>
          </w:p>
        </w:tc>
      </w:tr>
      <w:tr>
        <w:tc>
          <w:tcPr>
            <w:tcW w:type="dxa" w:w="3200"/>
            <w:tcMar>
              <w:top w:type="dxa" w:w="80"/>
              <w:left w:type="dxa" w:w="120"/>
              <w:bottom w:type="dxa" w:w="80"/>
              <w:right w:type="dxa" w:w="120"/>
            </w:tcMar>
          </w:tcPr>
          <w:p>
            <w:pPr>
              <w:jc w:val="left"/>
            </w:pPr>
            <w:r>
              <w:rPr>
                <w:b w:val="false"/>
                <w:bCs w:val="false"/>
                <w:color w:val="000000"/>
              </w:rPr>
              <w:t xml:space="preserve">Operating system</w:t>
            </w:r>
          </w:p>
        </w:tc>
        <w:tc>
          <w:tcPr>
            <w:tcW w:type="dxa" w:w="5800"/>
            <w:tcMar>
              <w:top w:type="dxa" w:w="80"/>
              <w:left w:type="dxa" w:w="120"/>
              <w:bottom w:type="dxa" w:w="80"/>
              <w:right w:type="dxa" w:w="120"/>
            </w:tcMar>
          </w:tcPr>
          <w:p>
            <w:pPr>
              <w:jc w:val="left"/>
            </w:pPr>
            <w:r>
              <w:rPr>
                <w:b w:val="false"/>
                <w:bCs w:val="false"/>
                <w:color w:val="000000"/>
              </w:rPr>
              <w:t xml:space="preserve">Linux – Ubuntu 22.04 LTS (Ubuntu Pro image)</w:t>
            </w:r>
          </w:p>
        </w:tc>
      </w:tr>
      <w:tr>
        <w:tc>
          <w:tcPr>
            <w:tcW w:type="dxa" w:w="3200"/>
            <w:shd w:fill="EAF1F8" w:color="auto" w:val="clear"/>
            <w:tcMar>
              <w:top w:type="dxa" w:w="80"/>
              <w:left w:type="dxa" w:w="120"/>
              <w:bottom w:type="dxa" w:w="80"/>
              <w:right w:type="dxa" w:w="120"/>
            </w:tcMar>
          </w:tcPr>
          <w:p>
            <w:pPr>
              <w:jc w:val="left"/>
            </w:pPr>
            <w:r>
              <w:rPr>
                <w:b w:val="false"/>
                <w:bCs w:val="false"/>
                <w:color w:val="000000"/>
              </w:rPr>
              <w:t xml:space="preserve">VM size</w:t>
            </w:r>
          </w:p>
        </w:tc>
        <w:tc>
          <w:tcPr>
            <w:tcW w:type="dxa" w:w="5800"/>
            <w:shd w:fill="EAF1F8" w:color="auto" w:val="clear"/>
            <w:tcMar>
              <w:top w:type="dxa" w:w="80"/>
              <w:left w:type="dxa" w:w="120"/>
              <w:bottom w:type="dxa" w:w="80"/>
              <w:right w:type="dxa" w:w="120"/>
            </w:tcMar>
          </w:tcPr>
          <w:p>
            <w:pPr>
              <w:jc w:val="left"/>
            </w:pPr>
            <w:r>
              <w:rPr>
                <w:b w:val="false"/>
                <w:bCs w:val="false"/>
                <w:color w:val="000000"/>
              </w:rPr>
              <w:t xml:space="preserve">Standard B2ls v2 (burstable, 2 vCPU)</w:t>
            </w:r>
          </w:p>
        </w:tc>
      </w:tr>
      <w:tr>
        <w:tc>
          <w:tcPr>
            <w:tcW w:type="dxa" w:w="3200"/>
            <w:tcMar>
              <w:top w:type="dxa" w:w="80"/>
              <w:left w:type="dxa" w:w="120"/>
              <w:bottom w:type="dxa" w:w="80"/>
              <w:right w:type="dxa" w:w="120"/>
            </w:tcMar>
          </w:tcPr>
          <w:p>
            <w:pPr>
              <w:jc w:val="left"/>
            </w:pPr>
            <w:r>
              <w:rPr>
                <w:b w:val="false"/>
                <w:bCs w:val="false"/>
                <w:color w:val="000000"/>
              </w:rPr>
              <w:t xml:space="preserve">Region / Zone</w:t>
            </w:r>
          </w:p>
        </w:tc>
        <w:tc>
          <w:tcPr>
            <w:tcW w:type="dxa" w:w="5800"/>
            <w:tcMar>
              <w:top w:type="dxa" w:w="80"/>
              <w:left w:type="dxa" w:w="120"/>
              <w:bottom w:type="dxa" w:w="80"/>
              <w:right w:type="dxa" w:w="120"/>
            </w:tcMar>
          </w:tcPr>
          <w:p>
            <w:pPr>
              <w:jc w:val="left"/>
            </w:pPr>
            <w:r>
              <w:rPr>
                <w:b w:val="false"/>
                <w:bCs w:val="false"/>
                <w:color w:val="000000"/>
              </w:rPr>
              <w:t xml:space="preserve">South Africa North, Availability zone 1</w:t>
            </w:r>
          </w:p>
        </w:tc>
      </w:tr>
      <w:tr>
        <w:tc>
          <w:tcPr>
            <w:tcW w:type="dxa" w:w="3200"/>
            <w:shd w:fill="EAF1F8" w:color="auto" w:val="clear"/>
            <w:tcMar>
              <w:top w:type="dxa" w:w="80"/>
              <w:left w:type="dxa" w:w="120"/>
              <w:bottom w:type="dxa" w:w="80"/>
              <w:right w:type="dxa" w:w="120"/>
            </w:tcMar>
          </w:tcPr>
          <w:p>
            <w:pPr>
              <w:jc w:val="left"/>
            </w:pPr>
            <w:r>
              <w:rPr>
                <w:b w:val="false"/>
                <w:bCs w:val="false"/>
                <w:color w:val="000000"/>
              </w:rPr>
              <w:t xml:space="preserve">Status at time of audit</w:t>
            </w:r>
          </w:p>
        </w:tc>
        <w:tc>
          <w:tcPr>
            <w:tcW w:type="dxa" w:w="5800"/>
            <w:shd w:fill="EAF1F8" w:color="auto" w:val="clear"/>
            <w:tcMar>
              <w:top w:type="dxa" w:w="80"/>
              <w:left w:type="dxa" w:w="120"/>
              <w:bottom w:type="dxa" w:w="80"/>
              <w:right w:type="dxa" w:w="120"/>
            </w:tcMar>
          </w:tcPr>
          <w:p>
            <w:pPr>
              <w:jc w:val="left"/>
            </w:pPr>
            <w:r>
              <w:rPr>
                <w:b w:val="false"/>
                <w:bCs w:val="false"/>
                <w:color w:val="000000"/>
              </w:rPr>
              <w:t xml:space="preserve">Stopped (deallocated)</w:t>
            </w:r>
          </w:p>
        </w:tc>
      </w:tr>
      <w:tr>
        <w:tc>
          <w:tcPr>
            <w:tcW w:type="dxa" w:w="3200"/>
            <w:tcMar>
              <w:top w:type="dxa" w:w="80"/>
              <w:left w:type="dxa" w:w="120"/>
              <w:bottom w:type="dxa" w:w="80"/>
              <w:right w:type="dxa" w:w="120"/>
            </w:tcMar>
          </w:tcPr>
          <w:p>
            <w:pPr>
              <w:jc w:val="left"/>
            </w:pPr>
            <w:r>
              <w:rPr>
                <w:b w:val="false"/>
                <w:bCs w:val="false"/>
                <w:color w:val="000000"/>
              </w:rPr>
              <w:t xml:space="preserve">Public IP</w:t>
            </w:r>
          </w:p>
        </w:tc>
        <w:tc>
          <w:tcPr>
            <w:tcW w:type="dxa" w:w="5800"/>
            <w:tcMar>
              <w:top w:type="dxa" w:w="80"/>
              <w:left w:type="dxa" w:w="120"/>
              <w:bottom w:type="dxa" w:w="80"/>
              <w:right w:type="dxa" w:w="120"/>
            </w:tcMar>
          </w:tcPr>
          <w:p>
            <w:pPr>
              <w:jc w:val="left"/>
            </w:pPr>
            <w:r>
              <w:rPr>
                <w:b w:val="false"/>
                <w:bCs w:val="false"/>
                <w:color w:val="000000"/>
              </w:rPr>
              <w:t xml:space="preserve">4.222.218.107</w:t>
            </w:r>
          </w:p>
        </w:tc>
      </w:tr>
      <w:tr>
        <w:tc>
          <w:tcPr>
            <w:tcW w:type="dxa" w:w="3200"/>
            <w:shd w:fill="EAF1F8" w:color="auto" w:val="clear"/>
            <w:tcMar>
              <w:top w:type="dxa" w:w="80"/>
              <w:left w:type="dxa" w:w="120"/>
              <w:bottom w:type="dxa" w:w="80"/>
              <w:right w:type="dxa" w:w="120"/>
            </w:tcMar>
          </w:tcPr>
          <w:p>
            <w:pPr>
              <w:jc w:val="left"/>
            </w:pPr>
            <w:r>
              <w:rPr>
                <w:b w:val="false"/>
                <w:bCs w:val="false"/>
                <w:color w:val="000000"/>
              </w:rPr>
              <w:t xml:space="preserve">Private IP</w:t>
            </w:r>
          </w:p>
        </w:tc>
        <w:tc>
          <w:tcPr>
            <w:tcW w:type="dxa" w:w="5800"/>
            <w:shd w:fill="EAF1F8" w:color="auto" w:val="clear"/>
            <w:tcMar>
              <w:top w:type="dxa" w:w="80"/>
              <w:left w:type="dxa" w:w="120"/>
              <w:bottom w:type="dxa" w:w="80"/>
              <w:right w:type="dxa" w:w="120"/>
            </w:tcMar>
          </w:tcPr>
          <w:p>
            <w:pPr>
              <w:jc w:val="left"/>
            </w:pPr>
            <w:r>
              <w:rPr>
                <w:b w:val="false"/>
                <w:bCs w:val="false"/>
                <w:color w:val="000000"/>
              </w:rPr>
              <w:t xml:space="preserve">10.0.0.4</w:t>
            </w:r>
          </w:p>
        </w:tc>
      </w:tr>
      <w:tr>
        <w:tc>
          <w:tcPr>
            <w:tcW w:type="dxa" w:w="3200"/>
            <w:tcMar>
              <w:top w:type="dxa" w:w="80"/>
              <w:left w:type="dxa" w:w="120"/>
              <w:bottom w:type="dxa" w:w="80"/>
              <w:right w:type="dxa" w:w="120"/>
            </w:tcMar>
          </w:tcPr>
          <w:p>
            <w:pPr>
              <w:jc w:val="left"/>
            </w:pPr>
            <w:r>
              <w:rPr>
                <w:b w:val="false"/>
                <w:bCs w:val="false"/>
                <w:color w:val="000000"/>
              </w:rPr>
              <w:t xml:space="preserve">Virtual network</w:t>
            </w:r>
          </w:p>
        </w:tc>
        <w:tc>
          <w:tcPr>
            <w:tcW w:type="dxa" w:w="5800"/>
            <w:tcMar>
              <w:top w:type="dxa" w:w="80"/>
              <w:left w:type="dxa" w:w="120"/>
              <w:bottom w:type="dxa" w:w="80"/>
              <w:right w:type="dxa" w:w="120"/>
            </w:tcMar>
          </w:tcPr>
          <w:p>
            <w:pPr>
              <w:jc w:val="left"/>
            </w:pPr>
            <w:r>
              <w:rPr>
                <w:b w:val="false"/>
                <w:bCs w:val="false"/>
                <w:color w:val="000000"/>
              </w:rPr>
              <w:t xml:space="preserve">vm-cost-audit-demo-vnet / default subnet</w:t>
            </w:r>
          </w:p>
        </w:tc>
      </w:tr>
      <w:tr>
        <w:tc>
          <w:tcPr>
            <w:tcW w:type="dxa" w:w="3200"/>
            <w:shd w:fill="EAF1F8" w:color="auto" w:val="clear"/>
            <w:tcMar>
              <w:top w:type="dxa" w:w="80"/>
              <w:left w:type="dxa" w:w="120"/>
              <w:bottom w:type="dxa" w:w="80"/>
              <w:right w:type="dxa" w:w="120"/>
            </w:tcMar>
          </w:tcPr>
          <w:p>
            <w:pPr>
              <w:jc w:val="left"/>
            </w:pPr>
            <w:r>
              <w:rPr>
                <w:b w:val="false"/>
                <w:bCs w:val="false"/>
                <w:color w:val="000000"/>
              </w:rPr>
              <w:t xml:space="preserve">OS disk</w:t>
            </w:r>
          </w:p>
        </w:tc>
        <w:tc>
          <w:tcPr>
            <w:tcW w:type="dxa" w:w="5800"/>
            <w:shd w:fill="EAF1F8" w:color="auto" w:val="clear"/>
            <w:tcMar>
              <w:top w:type="dxa" w:w="80"/>
              <w:left w:type="dxa" w:w="120"/>
              <w:bottom w:type="dxa" w:w="80"/>
              <w:right w:type="dxa" w:w="120"/>
            </w:tcMar>
          </w:tcPr>
          <w:p>
            <w:pPr>
              <w:jc w:val="left"/>
            </w:pPr>
            <w:r>
              <w:rPr>
                <w:b w:val="false"/>
                <w:bCs w:val="false"/>
                <w:color w:val="000000"/>
              </w:rPr>
              <w:t xml:space="preserve">vm-cost-audit-demo_OsDisk_1 (no data disks attached)</w:t>
            </w:r>
          </w:p>
        </w:tc>
      </w:tr>
      <w:tr>
        <w:tc>
          <w:tcPr>
            <w:tcW w:type="dxa" w:w="3200"/>
            <w:tcMar>
              <w:top w:type="dxa" w:w="80"/>
              <w:left w:type="dxa" w:w="120"/>
              <w:bottom w:type="dxa" w:w="80"/>
              <w:right w:type="dxa" w:w="120"/>
            </w:tcMar>
          </w:tcPr>
          <w:p>
            <w:pPr>
              <w:jc w:val="left"/>
            </w:pPr>
            <w:r>
              <w:rPr>
                <w:b w:val="false"/>
                <w:bCs w:val="false"/>
                <w:color w:val="000000"/>
              </w:rPr>
              <w:t xml:space="preserve">Security</w:t>
            </w:r>
          </w:p>
        </w:tc>
        <w:tc>
          <w:tcPr>
            <w:tcW w:type="dxa" w:w="5800"/>
            <w:tcMar>
              <w:top w:type="dxa" w:w="80"/>
              <w:left w:type="dxa" w:w="120"/>
              <w:bottom w:type="dxa" w:w="80"/>
              <w:right w:type="dxa" w:w="120"/>
            </w:tcMar>
          </w:tcPr>
          <w:p>
            <w:pPr>
              <w:jc w:val="left"/>
            </w:pPr>
            <w:r>
              <w:rPr>
                <w:b w:val="false"/>
                <w:bCs w:val="false"/>
                <w:color w:val="000000"/>
              </w:rPr>
              <w:t xml:space="preserve">Trusted launch, Secure boot enabled, vTPM enabled</w:t>
            </w:r>
          </w:p>
        </w:tc>
      </w:tr>
      <w:tr>
        <w:tc>
          <w:tcPr>
            <w:tcW w:type="dxa" w:w="3200"/>
            <w:shd w:fill="EAF1F8" w:color="auto" w:val="clear"/>
            <w:tcMar>
              <w:top w:type="dxa" w:w="80"/>
              <w:left w:type="dxa" w:w="120"/>
              <w:bottom w:type="dxa" w:w="80"/>
              <w:right w:type="dxa" w:w="120"/>
            </w:tcMar>
          </w:tcPr>
          <w:p>
            <w:pPr>
              <w:jc w:val="left"/>
            </w:pPr>
            <w:r>
              <w:rPr>
                <w:b w:val="false"/>
                <w:bCs w:val="false"/>
                <w:color w:val="000000"/>
              </w:rPr>
              <w:t xml:space="preserve">Auto-shutdown</w:t>
            </w:r>
          </w:p>
        </w:tc>
        <w:tc>
          <w:tcPr>
            <w:tcW w:type="dxa" w:w="5800"/>
            <w:shd w:fill="EAF1F8" w:color="auto" w:val="clear"/>
            <w:tcMar>
              <w:top w:type="dxa" w:w="80"/>
              <w:left w:type="dxa" w:w="120"/>
              <w:bottom w:type="dxa" w:w="80"/>
              <w:right w:type="dxa" w:w="120"/>
            </w:tcMar>
          </w:tcPr>
          <w:p>
            <w:pPr>
              <w:jc w:val="left"/>
            </w:pPr>
            <w:r>
              <w:rPr>
                <w:b w:val="false"/>
                <w:bCs w:val="false"/>
                <w:color w:val="000000"/>
              </w:rPr>
              <w:t xml:space="preserve"> Not enabled</w:t>
            </w:r>
          </w:p>
        </w:tc>
      </w:tr>
      <w:tr>
        <w:tc>
          <w:tcPr>
            <w:tcW w:type="dxa" w:w="3200"/>
            <w:tcMar>
              <w:top w:type="dxa" w:w="80"/>
              <w:left w:type="dxa" w:w="120"/>
              <w:bottom w:type="dxa" w:w="80"/>
              <w:right w:type="dxa" w:w="120"/>
            </w:tcMar>
          </w:tcPr>
          <w:p>
            <w:pPr>
              <w:jc w:val="left"/>
            </w:pPr>
            <w:r>
              <w:rPr>
                <w:b w:val="false"/>
                <w:bCs w:val="false"/>
                <w:color w:val="000000"/>
              </w:rPr>
              <w:t xml:space="preserve">Time created</w:t>
            </w:r>
          </w:p>
        </w:tc>
        <w:tc>
          <w:tcPr>
            <w:tcW w:type="dxa" w:w="5800"/>
            <w:tcMar>
              <w:top w:type="dxa" w:w="80"/>
              <w:left w:type="dxa" w:w="120"/>
              <w:bottom w:type="dxa" w:w="80"/>
              <w:right w:type="dxa" w:w="120"/>
            </w:tcMar>
          </w:tcPr>
          <w:p>
            <w:pPr>
              <w:jc w:val="left"/>
            </w:pPr>
            <w:r>
              <w:rPr>
                <w:b w:val="false"/>
                <w:bCs w:val="false"/>
                <w:color w:val="000000"/>
              </w:rPr>
              <w:t xml:space="preserve">8/3/2026, 12:39 PM UTC</w:t>
            </w:r>
          </w:p>
        </w:tc>
      </w:tr>
    </w:tbl>
    <w:p>
      <w:pPr>
        <w:spacing w:after="0" w:before="15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52675"/>
                    </a:xfrm>
                    <a:prstGeom prst="rect">
                      <a:avLst/>
                    </a:prstGeom>
                  </pic:spPr>
                </pic:pic>
              </a:graphicData>
            </a:graphic>
          </wp:inline>
        </w:drawing>
      </w:r>
    </w:p>
    <w:p>
      <w:pPr>
        <w:spacing w:after="300" w:before="80"/>
        <w:jc w:val="center"/>
      </w:pPr>
      <w:r>
        <w:rPr>
          <w:i/>
          <w:iCs/>
          <w:color w:val="555555"/>
          <w:sz w:val="18"/>
          <w:szCs w:val="18"/>
        </w:rPr>
        <w:t xml:space="preserve">Figure 1 — VM Essentials: resource group, size, region, and status</w:t>
      </w:r>
    </w:p>
    <w:p>
      <w:pPr>
        <w:spacing w:after="0" w:before="15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57525"/>
                    </a:xfrm>
                    <a:prstGeom prst="rect">
                      <a:avLst/>
                    </a:prstGeom>
                  </pic:spPr>
                </pic:pic>
              </a:graphicData>
            </a:graphic>
          </wp:inline>
        </w:drawing>
      </w:r>
    </w:p>
    <w:p>
      <w:pPr>
        <w:spacing w:after="300" w:before="80"/>
        <w:jc w:val="center"/>
      </w:pPr>
      <w:r>
        <w:rPr>
          <w:i/>
          <w:iCs/>
          <w:color w:val="555555"/>
          <w:sz w:val="18"/>
          <w:szCs w:val="18"/>
        </w:rPr>
        <w:t xml:space="preserve">Figure 2 — VM hardware, networking, and image configuration</w:t>
      </w:r>
    </w:p>
    <w:p>
      <w:pPr>
        <w:spacing w:after="0" w:before="15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05125"/>
                    </a:xfrm>
                    <a:prstGeom prst="rect">
                      <a:avLst/>
                    </a:prstGeom>
                  </pic:spPr>
                </pic:pic>
              </a:graphicData>
            </a:graphic>
          </wp:inline>
        </w:drawing>
      </w:r>
    </w:p>
    <w:p>
      <w:pPr>
        <w:spacing w:after="300" w:before="80"/>
        <w:jc w:val="center"/>
      </w:pPr>
      <w:r>
        <w:rPr>
          <w:i/>
          <w:iCs/>
          <w:color w:val="555555"/>
          <w:sz w:val="18"/>
          <w:szCs w:val="18"/>
        </w:rPr>
        <w:t xml:space="preserve">Figure 3 — Availability, security, and disk configuration (no data disks, auto-shutdown disabled)</w:t>
      </w:r>
    </w:p>
    <w:p>
      <w:r>
        <w:br w:type="page"/>
      </w:r>
    </w:p>
    <w:p>
      <w:pPr>
        <w:pStyle w:val="Heading1"/>
        <w:pBdr>
          <w:bottom w:val="single" w:color="1F4E79" w:sz="8" w:space="4"/>
        </w:pBdr>
        <w:spacing w:after="200" w:before="400"/>
      </w:pPr>
      <w:r>
        <w:rPr>
          <w:b/>
          <w:bCs/>
          <w:color w:val="1F4E79"/>
          <w:sz w:val="30"/>
          <w:szCs w:val="30"/>
        </w:rPr>
        <w:t xml:space="preserve">4. Findings</w:t>
      </w:r>
    </w:p>
    <w:p>
      <w:pPr>
        <w:pStyle w:val="Heading2"/>
        <w:spacing w:after="150" w:before="300"/>
      </w:pPr>
      <w:r>
        <w:rPr>
          <w:b/>
          <w:bCs/>
          <w:color w:val="2E75B6"/>
          <w:sz w:val="24"/>
          <w:szCs w:val="24"/>
        </w:rPr>
        <w:t xml:space="preserve">4.1 Cost Analysis</w:t>
      </w:r>
    </w:p>
    <w:p>
      <w:pPr>
        <w:spacing w:after="150" w:line="300"/>
      </w:pPr>
      <w:r>
        <w:t xml:space="preserve">Month-to-date (Aug 1–31, 2026) accumulated cost for the Cost-Audit resource group was $22.01 against a configured monthly budget of $20 — already 10% over budget just 5 days into the month, with the forecast line crossing the budget threshold around August 7.</w:t>
      </w:r>
    </w:p>
    <w:p>
      <w:pPr>
        <w:spacing w:after="0" w:before="15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19425"/>
                    </a:xfrm>
                    <a:prstGeom prst="rect">
                      <a:avLst/>
                    </a:prstGeom>
                  </pic:spPr>
                </pic:pic>
              </a:graphicData>
            </a:graphic>
          </wp:inline>
        </w:drawing>
      </w:r>
    </w:p>
    <w:p>
      <w:pPr>
        <w:spacing w:after="300" w:before="80"/>
        <w:jc w:val="center"/>
      </w:pPr>
      <w:r>
        <w:rPr>
          <w:i/>
          <w:iCs/>
          <w:color w:val="555555"/>
          <w:sz w:val="18"/>
          <w:szCs w:val="18"/>
        </w:rPr>
        <w:t xml:space="preserve">Figure 4 — Cost analysis: accumulated cost vs. $20/mo budget, broken down by service, location, and resource</w:t>
      </w:r>
    </w:p>
    <w:p>
      <w:pPr>
        <w:spacing w:after="150" w:line="300"/>
      </w:pPr>
      <w:r>
        <w:t xml:space="preserve">Breakdown by service name: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rPr>
          <w:tblHeader/>
        </w:trPr>
        <w:tc>
          <w:tcPr>
            <w:tcW w:type="dxa" w:w="3500"/>
            <w:shd w:fill="1F4E79" w:color="auto" w:val="clear"/>
            <w:tcMar>
              <w:top w:type="dxa" w:w="80"/>
              <w:left w:type="dxa" w:w="120"/>
              <w:bottom w:type="dxa" w:w="80"/>
              <w:right w:type="dxa" w:w="120"/>
            </w:tcMar>
          </w:tcPr>
          <w:p>
            <w:pPr>
              <w:jc w:val="left"/>
            </w:pPr>
            <w:r>
              <w:rPr>
                <w:b/>
                <w:bCs/>
                <w:color w:val="FFFFFF"/>
              </w:rPr>
              <w:t xml:space="preserve">Service</w:t>
            </w:r>
          </w:p>
        </w:tc>
        <w:tc>
          <w:tcPr>
            <w:tcW w:type="dxa" w:w="2750"/>
            <w:shd w:fill="1F4E79" w:color="auto" w:val="clear"/>
            <w:tcMar>
              <w:top w:type="dxa" w:w="80"/>
              <w:left w:type="dxa" w:w="120"/>
              <w:bottom w:type="dxa" w:w="80"/>
              <w:right w:type="dxa" w:w="120"/>
            </w:tcMar>
          </w:tcPr>
          <w:p>
            <w:pPr>
              <w:jc w:val="left"/>
            </w:pPr>
            <w:r>
              <w:rPr>
                <w:b/>
                <w:bCs/>
                <w:color w:val="FFFFFF"/>
              </w:rPr>
              <w:t xml:space="preserve">Cost (USD)</w:t>
            </w:r>
          </w:p>
        </w:tc>
        <w:tc>
          <w:tcPr>
            <w:tcW w:type="dxa" w:w="2750"/>
            <w:shd w:fill="1F4E79" w:color="auto" w:val="clear"/>
            <w:tcMar>
              <w:top w:type="dxa" w:w="80"/>
              <w:left w:type="dxa" w:w="120"/>
              <w:bottom w:type="dxa" w:w="80"/>
              <w:right w:type="dxa" w:w="120"/>
            </w:tcMar>
          </w:tcPr>
          <w:p>
            <w:pPr>
              <w:jc w:val="left"/>
            </w:pPr>
            <w:r>
              <w:rPr>
                <w:b/>
                <w:bCs/>
                <w:color w:val="FFFFFF"/>
              </w:rPr>
              <w:t xml:space="preserve">% of total</w:t>
            </w:r>
          </w:p>
        </w:tc>
      </w:tr>
      <w:tr>
        <w:tc>
          <w:tcPr>
            <w:tcW w:type="dxa" w:w="3500"/>
            <w:tcMar>
              <w:top w:type="dxa" w:w="80"/>
              <w:left w:type="dxa" w:w="120"/>
              <w:bottom w:type="dxa" w:w="80"/>
              <w:right w:type="dxa" w:w="120"/>
            </w:tcMar>
          </w:tcPr>
          <w:p>
            <w:pPr>
              <w:jc w:val="left"/>
            </w:pPr>
            <w:r>
              <w:rPr>
                <w:b w:val="false"/>
                <w:bCs w:val="false"/>
                <w:color w:val="000000"/>
              </w:rPr>
              <w:t xml:space="preserve">Storage</w:t>
            </w:r>
          </w:p>
        </w:tc>
        <w:tc>
          <w:tcPr>
            <w:tcW w:type="dxa" w:w="2750"/>
            <w:tcMar>
              <w:top w:type="dxa" w:w="80"/>
              <w:left w:type="dxa" w:w="120"/>
              <w:bottom w:type="dxa" w:w="80"/>
              <w:right w:type="dxa" w:w="120"/>
            </w:tcMar>
          </w:tcPr>
          <w:p>
            <w:pPr>
              <w:jc w:val="left"/>
            </w:pPr>
            <w:r>
              <w:rPr>
                <w:b w:val="false"/>
                <w:bCs w:val="false"/>
                <w:color w:val="000000"/>
              </w:rPr>
              <w:t xml:space="preserve">$17.35</w:t>
            </w:r>
          </w:p>
        </w:tc>
        <w:tc>
          <w:tcPr>
            <w:tcW w:type="dxa" w:w="2750"/>
            <w:tcMar>
              <w:top w:type="dxa" w:w="80"/>
              <w:left w:type="dxa" w:w="120"/>
              <w:bottom w:type="dxa" w:w="80"/>
              <w:right w:type="dxa" w:w="120"/>
            </w:tcMar>
          </w:tcPr>
          <w:p>
            <w:pPr>
              <w:jc w:val="left"/>
            </w:pPr>
            <w:r>
              <w:rPr>
                <w:b w:val="false"/>
                <w:bCs w:val="false"/>
                <w:color w:val="000000"/>
              </w:rPr>
              <w:t xml:space="preserve">78.8%</w:t>
            </w:r>
          </w:p>
        </w:tc>
      </w:tr>
      <w:tr>
        <w:tc>
          <w:tcPr>
            <w:tcW w:type="dxa" w:w="3500"/>
            <w:shd w:fill="EAF1F8" w:color="auto" w:val="clear"/>
            <w:tcMar>
              <w:top w:type="dxa" w:w="80"/>
              <w:left w:type="dxa" w:w="120"/>
              <w:bottom w:type="dxa" w:w="80"/>
              <w:right w:type="dxa" w:w="120"/>
            </w:tcMar>
          </w:tcPr>
          <w:p>
            <w:pPr>
              <w:jc w:val="left"/>
            </w:pPr>
            <w:r>
              <w:rPr>
                <w:b w:val="false"/>
                <w:bCs w:val="false"/>
                <w:color w:val="000000"/>
              </w:rPr>
              <w:t xml:space="preserve">Virtual Machines</w:t>
            </w:r>
          </w:p>
        </w:tc>
        <w:tc>
          <w:tcPr>
            <w:tcW w:type="dxa" w:w="2750"/>
            <w:shd w:fill="EAF1F8" w:color="auto" w:val="clear"/>
            <w:tcMar>
              <w:top w:type="dxa" w:w="80"/>
              <w:left w:type="dxa" w:w="120"/>
              <w:bottom w:type="dxa" w:w="80"/>
              <w:right w:type="dxa" w:w="120"/>
            </w:tcMar>
          </w:tcPr>
          <w:p>
            <w:pPr>
              <w:jc w:val="left"/>
            </w:pPr>
            <w:r>
              <w:rPr>
                <w:b w:val="false"/>
                <w:bCs w:val="false"/>
                <w:color w:val="000000"/>
              </w:rPr>
              <w:t xml:space="preserve">$3.53</w:t>
            </w:r>
          </w:p>
        </w:tc>
        <w:tc>
          <w:tcPr>
            <w:tcW w:type="dxa" w:w="2750"/>
            <w:shd w:fill="EAF1F8" w:color="auto" w:val="clear"/>
            <w:tcMar>
              <w:top w:type="dxa" w:w="80"/>
              <w:left w:type="dxa" w:w="120"/>
              <w:bottom w:type="dxa" w:w="80"/>
              <w:right w:type="dxa" w:w="120"/>
            </w:tcMar>
          </w:tcPr>
          <w:p>
            <w:pPr>
              <w:jc w:val="left"/>
            </w:pPr>
            <w:r>
              <w:rPr>
                <w:b w:val="false"/>
                <w:bCs w:val="false"/>
                <w:color w:val="000000"/>
              </w:rPr>
              <w:t xml:space="preserve">16.0%</w:t>
            </w:r>
          </w:p>
        </w:tc>
      </w:tr>
      <w:tr>
        <w:tc>
          <w:tcPr>
            <w:tcW w:type="dxa" w:w="3500"/>
            <w:tcMar>
              <w:top w:type="dxa" w:w="80"/>
              <w:left w:type="dxa" w:w="120"/>
              <w:bottom w:type="dxa" w:w="80"/>
              <w:right w:type="dxa" w:w="120"/>
            </w:tcMar>
          </w:tcPr>
          <w:p>
            <w:pPr>
              <w:jc w:val="left"/>
            </w:pPr>
            <w:r>
              <w:rPr>
                <w:b w:val="false"/>
                <w:bCs w:val="false"/>
                <w:color w:val="000000"/>
              </w:rPr>
              <w:t xml:space="preserve">Virtual Network</w:t>
            </w:r>
          </w:p>
        </w:tc>
        <w:tc>
          <w:tcPr>
            <w:tcW w:type="dxa" w:w="2750"/>
            <w:tcMar>
              <w:top w:type="dxa" w:w="80"/>
              <w:left w:type="dxa" w:w="120"/>
              <w:bottom w:type="dxa" w:w="80"/>
              <w:right w:type="dxa" w:w="120"/>
            </w:tcMar>
          </w:tcPr>
          <w:p>
            <w:pPr>
              <w:jc w:val="left"/>
            </w:pPr>
            <w:r>
              <w:rPr>
                <w:b w:val="false"/>
                <w:bCs w:val="false"/>
                <w:color w:val="000000"/>
              </w:rPr>
              <w:t xml:space="preserve">$1.12</w:t>
            </w:r>
          </w:p>
        </w:tc>
        <w:tc>
          <w:tcPr>
            <w:tcW w:type="dxa" w:w="2750"/>
            <w:tcMar>
              <w:top w:type="dxa" w:w="80"/>
              <w:left w:type="dxa" w:w="120"/>
              <w:bottom w:type="dxa" w:w="80"/>
              <w:right w:type="dxa" w:w="120"/>
            </w:tcMar>
          </w:tcPr>
          <w:p>
            <w:pPr>
              <w:jc w:val="left"/>
            </w:pPr>
            <w:r>
              <w:rPr>
                <w:b w:val="false"/>
                <w:bCs w:val="false"/>
                <w:color w:val="000000"/>
              </w:rPr>
              <w:t xml:space="preserve">5.1%</w:t>
            </w:r>
          </w:p>
        </w:tc>
      </w:tr>
      <w:tr>
        <w:tc>
          <w:tcPr>
            <w:tcW w:type="dxa" w:w="3500"/>
            <w:shd w:fill="EAF1F8" w:color="auto" w:val="clear"/>
            <w:tcMar>
              <w:top w:type="dxa" w:w="80"/>
              <w:left w:type="dxa" w:w="120"/>
              <w:bottom w:type="dxa" w:w="80"/>
              <w:right w:type="dxa" w:w="120"/>
            </w:tcMar>
          </w:tcPr>
          <w:p>
            <w:pPr>
              <w:jc w:val="left"/>
            </w:pPr>
            <w:r>
              <w:rPr>
                <w:b w:val="false"/>
                <w:bCs w:val="false"/>
                <w:color w:val="000000"/>
              </w:rPr>
              <w:t xml:space="preserve">Bandwidth</w:t>
            </w:r>
          </w:p>
        </w:tc>
        <w:tc>
          <w:tcPr>
            <w:tcW w:type="dxa" w:w="2750"/>
            <w:shd w:fill="EAF1F8" w:color="auto" w:val="clear"/>
            <w:tcMar>
              <w:top w:type="dxa" w:w="80"/>
              <w:left w:type="dxa" w:w="120"/>
              <w:bottom w:type="dxa" w:w="80"/>
              <w:right w:type="dxa" w:w="120"/>
            </w:tcMar>
          </w:tcPr>
          <w:p>
            <w:pPr>
              <w:jc w:val="left"/>
            </w:pPr>
            <w:r>
              <w:rPr>
                <w:b w:val="false"/>
                <w:bCs w:val="false"/>
                <w:color w:val="000000"/>
              </w:rPr>
              <w:t xml:space="preserve">&lt; $0.01</w:t>
            </w:r>
          </w:p>
        </w:tc>
        <w:tc>
          <w:tcPr>
            <w:tcW w:type="dxa" w:w="2750"/>
            <w:shd w:fill="EAF1F8" w:color="auto" w:val="clear"/>
            <w:tcMar>
              <w:top w:type="dxa" w:w="80"/>
              <w:left w:type="dxa" w:w="120"/>
              <w:bottom w:type="dxa" w:w="80"/>
              <w:right w:type="dxa" w:w="120"/>
            </w:tcMar>
          </w:tcPr>
          <w:p>
            <w:pPr>
              <w:jc w:val="left"/>
            </w:pPr>
            <w:r>
              <w:rPr>
                <w:b w:val="false"/>
                <w:bCs w:val="false"/>
                <w:color w:val="000000"/>
              </w:rPr>
              <w:t xml:space="preserve">~0%</w:t>
            </w:r>
          </w:p>
        </w:tc>
      </w:tr>
    </w:tbl>
    <w:p>
      <w:pPr>
        <w:spacing w:after="150" w:line="300"/>
      </w:pPr>
      <w:r>
        <w:t xml:space="preserve">Breakdown by individual resource is the most revealing view: a single disk, orphan-disk-de…, not attached to any running VM, accounts for $16.38 — 74% of total spend — versus $3.53 for the actual running VM (vm-cost-audit-d…) and $0.97 for its OS disk. All spend is concentrated in the za north (South Africa North) region.</w:t>
      </w:r>
    </w:p>
    <w:p>
      <w:pPr>
        <w:pStyle w:val="Heading3"/>
        <w:spacing w:after="100" w:before="200"/>
      </w:pPr>
      <w:r>
        <w:rPr>
          <w:b/>
          <w:bCs/>
          <w:color w:val="555555"/>
          <w:sz w:val="22"/>
          <w:szCs w:val="22"/>
        </w:rPr>
        <w:t xml:space="preserve">Interpretation</w:t>
      </w:r>
    </w:p>
    <w:p>
      <w:pPr>
        <w:pStyle w:val="ListParagraph"/>
        <w:numPr>
          <w:ilvl w:val="0"/>
          <w:numId w:val="1"/>
        </w:numPr>
        <w:spacing w:after="80" w:line="280"/>
      </w:pPr>
      <w:r>
        <w:t xml:space="preserve">The single largest cost driver in this environment is not compute at all — it is an orphaned disk that is no longer attached to any virtual machine but continues to be billed for its provisioned capacity.</w:t>
      </w:r>
    </w:p>
    <w:p>
      <w:pPr>
        <w:pStyle w:val="ListParagraph"/>
        <w:numPr>
          <w:ilvl w:val="0"/>
          <w:numId w:val="1"/>
        </w:numPr>
        <w:spacing w:after="80" w:line="280"/>
      </w:pPr>
      <w:r>
        <w:t xml:space="preserve">This is a common and easily-missed cost leak: a disk survives after its VM is resized, rebuilt, or deleted, and nobody notices because it never appears in compute cost views.</w:t>
      </w:r>
    </w:p>
    <w:p>
      <w:pPr>
        <w:pStyle w:val="ListParagraph"/>
        <w:numPr>
          <w:ilvl w:val="0"/>
          <w:numId w:val="1"/>
        </w:numPr>
        <w:spacing w:after="80" w:line="280"/>
      </w:pPr>
      <w:r>
        <w:t xml:space="preserve">Storage costs alone ($17.35) already exceed the entire monthly budget ($20 threshold almost reached by storage costs alone), meaning even a well-utilized VM would not bring this environment back under budget without addressing the orphaned disk.</w:t>
      </w:r>
    </w:p>
    <w:p>
      <w:pPr>
        <w:pStyle w:val="Heading2"/>
        <w:spacing w:after="150" w:before="300"/>
      </w:pPr>
      <w:r>
        <w:rPr>
          <w:b/>
          <w:bCs/>
          <w:color w:val="2E75B6"/>
          <w:sz w:val="24"/>
          <w:szCs w:val="24"/>
        </w:rPr>
        <w:t xml:space="preserve">4.2 Azure Advisor Recommendations</w:t>
      </w:r>
    </w:p>
    <w:p>
      <w:pPr>
        <w:spacing w:after="150" w:line="300"/>
      </w:pPr>
      <w:r>
        <w:t xml:space="preserve">Azure Advisor was queried for active recommendations across the Cost-Audit resource group, filtered to a 3-year/30-day reserved-instance commitment horizon.</w:t>
      </w:r>
    </w:p>
    <w:p>
      <w:pPr>
        <w:spacing w:after="0" w:before="15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19400"/>
                    </a:xfrm>
                    <a:prstGeom prst="rect">
                      <a:avLst/>
                    </a:prstGeom>
                  </pic:spPr>
                </pic:pic>
              </a:graphicData>
            </a:graphic>
          </wp:inline>
        </w:drawing>
      </w:r>
    </w:p>
    <w:p>
      <w:pPr>
        <w:spacing w:after="300" w:before="80"/>
        <w:jc w:val="center"/>
      </w:pPr>
      <w:r>
        <w:rPr>
          <w:i/>
          <w:iCs/>
          <w:color w:val="555555"/>
          <w:sz w:val="18"/>
          <w:szCs w:val="18"/>
        </w:rPr>
        <w:t xml:space="preserve">Figure 5 — Advisor: 1 active cost recommendation affecting 1 of 7 resources (14.3%)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800"/>
        <w:gridCol w:w="1200"/>
        <w:gridCol w:w="1300"/>
      </w:tblGrid>
      <w:tr>
        <w:trPr>
          <w:tblHeader/>
        </w:trPr>
        <w:tc>
          <w:tcPr>
            <w:tcW w:type="dxa" w:w="3800"/>
            <w:shd w:fill="1F4E79" w:color="auto" w:val="clear"/>
            <w:tcMar>
              <w:top w:type="dxa" w:w="80"/>
              <w:left w:type="dxa" w:w="120"/>
              <w:bottom w:type="dxa" w:w="80"/>
              <w:right w:type="dxa" w:w="120"/>
            </w:tcMar>
          </w:tcPr>
          <w:p>
            <w:pPr>
              <w:jc w:val="left"/>
            </w:pPr>
            <w:r>
              <w:rPr>
                <w:b/>
                <w:bCs/>
                <w:color w:val="FFFFFF"/>
              </w:rPr>
              <w:t xml:space="preserve">Recommendation</w:t>
            </w:r>
          </w:p>
        </w:tc>
        <w:tc>
          <w:tcPr>
            <w:tcW w:type="dxa" w:w="1400"/>
            <w:shd w:fill="1F4E79" w:color="auto" w:val="clear"/>
            <w:tcMar>
              <w:top w:type="dxa" w:w="80"/>
              <w:left w:type="dxa" w:w="120"/>
              <w:bottom w:type="dxa" w:w="80"/>
              <w:right w:type="dxa" w:w="120"/>
            </w:tcMar>
          </w:tcPr>
          <w:p>
            <w:pPr>
              <w:jc w:val="left"/>
            </w:pPr>
            <w:r>
              <w:rPr>
                <w:b/>
                <w:bCs/>
                <w:color w:val="FFFFFF"/>
              </w:rPr>
              <w:t xml:space="preserve">Impact</w:t>
            </w:r>
          </w:p>
        </w:tc>
        <w:tc>
          <w:tcPr>
            <w:tcW w:type="dxa" w:w="1800"/>
            <w:shd w:fill="1F4E79" w:color="auto" w:val="clear"/>
            <w:tcMar>
              <w:top w:type="dxa" w:w="80"/>
              <w:left w:type="dxa" w:w="120"/>
              <w:bottom w:type="dxa" w:w="80"/>
              <w:right w:type="dxa" w:w="120"/>
            </w:tcMar>
          </w:tcPr>
          <w:p>
            <w:pPr>
              <w:jc w:val="left"/>
            </w:pPr>
            <w:r>
              <w:rPr>
                <w:b/>
                <w:bCs/>
                <w:color w:val="FFFFFF"/>
              </w:rPr>
              <w:t xml:space="preserve">Affected resources</w:t>
            </w:r>
          </w:p>
        </w:tc>
        <w:tc>
          <w:tcPr>
            <w:tcW w:type="dxa" w:w="1200"/>
            <w:shd w:fill="1F4E79" w:color="auto" w:val="clear"/>
            <w:tcMar>
              <w:top w:type="dxa" w:w="80"/>
              <w:left w:type="dxa" w:w="120"/>
              <w:bottom w:type="dxa" w:w="80"/>
              <w:right w:type="dxa" w:w="120"/>
            </w:tcMar>
          </w:tcPr>
          <w:p>
            <w:pPr>
              <w:jc w:val="left"/>
            </w:pPr>
            <w:r>
              <w:rPr>
                <w:b/>
                <w:bCs/>
                <w:color w:val="FFFFFF"/>
              </w:rPr>
              <w:t xml:space="preserve">Completion</w:t>
            </w:r>
          </w:p>
        </w:tc>
        <w:tc>
          <w:tcPr>
            <w:tcW w:type="dxa" w:w="1300"/>
            <w:shd w:fill="1F4E79" w:color="auto" w:val="clear"/>
            <w:tcMar>
              <w:top w:type="dxa" w:w="80"/>
              <w:left w:type="dxa" w:w="120"/>
              <w:bottom w:type="dxa" w:w="80"/>
              <w:right w:type="dxa" w:w="120"/>
            </w:tcMar>
          </w:tcPr>
          <w:p>
            <w:pPr>
              <w:jc w:val="left"/>
            </w:pPr>
            <w:r>
              <w:rPr>
                <w:b/>
                <w:bCs/>
                <w:color w:val="FFFFFF"/>
              </w:rPr>
              <w:t xml:space="preserve">Potential savings</w:t>
            </w:r>
          </w:p>
        </w:tc>
      </w:tr>
      <w:tr>
        <w:tc>
          <w:tcPr>
            <w:tcW w:type="dxa" w:w="3800"/>
            <w:tcMar>
              <w:top w:type="dxa" w:w="80"/>
              <w:left w:type="dxa" w:w="120"/>
              <w:bottom w:type="dxa" w:w="80"/>
              <w:right w:type="dxa" w:w="120"/>
            </w:tcMar>
          </w:tcPr>
          <w:p>
            <w:pPr>
              <w:jc w:val="left"/>
            </w:pPr>
            <w:r>
              <w:rPr>
                <w:b w:val="false"/>
                <w:bCs w:val="false"/>
                <w:color w:val="000000"/>
              </w:rPr>
              <w:t xml:space="preserve">Review disks that are not attached to a VM and evaluate if you still need the disks</w:t>
            </w:r>
          </w:p>
        </w:tc>
        <w:tc>
          <w:tcPr>
            <w:tcW w:type="dxa" w:w="1400"/>
            <w:tcMar>
              <w:top w:type="dxa" w:w="80"/>
              <w:left w:type="dxa" w:w="120"/>
              <w:bottom w:type="dxa" w:w="80"/>
              <w:right w:type="dxa" w:w="120"/>
            </w:tcMar>
          </w:tcPr>
          <w:p>
            <w:pPr>
              <w:jc w:val="left"/>
            </w:pPr>
            <w:r>
              <w:rPr>
                <w:b w:val="false"/>
                <w:bCs w:val="false"/>
                <w:color w:val="000000"/>
              </w:rPr>
              <w:t xml:space="preserve">Medium</w:t>
            </w:r>
          </w:p>
        </w:tc>
        <w:tc>
          <w:tcPr>
            <w:tcW w:type="dxa" w:w="1800"/>
            <w:tcMar>
              <w:top w:type="dxa" w:w="80"/>
              <w:left w:type="dxa" w:w="120"/>
              <w:bottom w:type="dxa" w:w="80"/>
              <w:right w:type="dxa" w:w="120"/>
            </w:tcMar>
          </w:tcPr>
          <w:p>
            <w:pPr>
              <w:jc w:val="left"/>
            </w:pPr>
            <w:r>
              <w:rPr>
                <w:b w:val="false"/>
                <w:bCs w:val="false"/>
                <w:color w:val="000000"/>
              </w:rPr>
              <w:t xml:space="preserve">1 of 1 disks</w:t>
            </w:r>
          </w:p>
        </w:tc>
        <w:tc>
          <w:tcPr>
            <w:tcW w:type="dxa" w:w="1200"/>
            <w:tcMar>
              <w:top w:type="dxa" w:w="80"/>
              <w:left w:type="dxa" w:w="120"/>
              <w:bottom w:type="dxa" w:w="80"/>
              <w:right w:type="dxa" w:w="120"/>
            </w:tcMar>
          </w:tcPr>
          <w:p>
            <w:pPr>
              <w:jc w:val="left"/>
            </w:pPr>
            <w:r>
              <w:rPr>
                <w:b w:val="false"/>
                <w:bCs w:val="false"/>
                <w:color w:val="000000"/>
              </w:rPr>
              <w:t xml:space="preserve">0%</w:t>
            </w:r>
          </w:p>
        </w:tc>
        <w:tc>
          <w:tcPr>
            <w:tcW w:type="dxa" w:w="1300"/>
            <w:tcMar>
              <w:top w:type="dxa" w:w="80"/>
              <w:left w:type="dxa" w:w="120"/>
              <w:bottom w:type="dxa" w:w="80"/>
              <w:right w:type="dxa" w:w="120"/>
            </w:tcMar>
          </w:tcPr>
          <w:p>
            <w:pPr>
              <w:jc w:val="left"/>
            </w:pPr>
            <w:r>
              <w:rPr>
                <w:b w:val="false"/>
                <w:bCs w:val="false"/>
                <w:color w:val="000000"/>
              </w:rPr>
              <w:t xml:space="preserve">No data (Advisor)</w:t>
            </w:r>
          </w:p>
        </w:tc>
      </w:tr>
    </w:tbl>
    <w:p>
      <w:pPr>
        <w:spacing w:after="150" w:line="300"/>
      </w:pPr>
      <w:r>
        <w:t xml:space="preserve">This Advisor recommendation independently confirms the manual cost-analysis finding in Section 4.1: the orphaned disk is the single actionable cost item in the environment. Advisor reports “no data” for potential savings because disk retail pricing isn't attributed automatically — Section 5 of this report derives that figure directly from the Cost Analysis breakdown ($16.38/month, i.e., the disk's full billed cost, since it delivers zero value while unattached).</w:t>
      </w:r>
    </w:p>
    <w:p>
      <w:pPr>
        <w:pStyle w:val="Heading2"/>
        <w:spacing w:after="150" w:before="300"/>
      </w:pPr>
      <w:r>
        <w:rPr>
          <w:b/>
          <w:bCs/>
          <w:color w:val="2E75B6"/>
          <w:sz w:val="24"/>
          <w:szCs w:val="24"/>
        </w:rPr>
        <w:t xml:space="preserve">4.3 Advisor Score</w:t>
      </w:r>
    </w:p>
    <w:p>
      <w:pPr>
        <w:spacing w:after="150" w:line="300"/>
      </w:pPr>
      <w:r>
        <w:t xml:space="preserve">Azure Advisor's composite score for this subscription was 81% overall, driven down almost entirely by a weak Cost score.</w:t>
      </w:r>
    </w:p>
    <w:p>
      <w:pPr>
        <w:spacing w:after="0" w:before="150"/>
        <w:jc w:val="center"/>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81300"/>
                    </a:xfrm>
                    <a:prstGeom prst="rect">
                      <a:avLst/>
                    </a:prstGeom>
                  </pic:spPr>
                </pic:pic>
              </a:graphicData>
            </a:graphic>
          </wp:inline>
        </w:drawing>
      </w:r>
    </w:p>
    <w:p>
      <w:pPr>
        <w:spacing w:after="300" w:before="80"/>
        <w:jc w:val="center"/>
      </w:pPr>
      <w:r>
        <w:rPr>
          <w:i/>
          <w:iCs/>
          <w:color w:val="555555"/>
          <w:sz w:val="18"/>
          <w:szCs w:val="18"/>
        </w:rPr>
        <w:t xml:space="preserve">Figure 6 — Advisor score overview: Cost 37%, Reliability 89%, Operational excellence 100%, security fully compliant</w:t>
      </w:r>
    </w:p>
    <w:p>
      <w:pPr>
        <w:spacing w:after="0" w:before="15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71775"/>
                    </a:xfrm>
                    <a:prstGeom prst="rect">
                      <a:avLst/>
                    </a:prstGeom>
                  </pic:spPr>
                </pic:pic>
              </a:graphicData>
            </a:graphic>
          </wp:inline>
        </w:drawing>
      </w:r>
    </w:p>
    <w:p>
      <w:pPr>
        <w:spacing w:after="300" w:before="80"/>
        <w:jc w:val="center"/>
      </w:pPr>
      <w:r>
        <w:rPr>
          <w:i/>
          <w:iCs/>
          <w:color w:val="555555"/>
          <w:sz w:val="18"/>
          <w:szCs w:val="18"/>
        </w:rPr>
        <w:t xml:space="preserve">Figure 7 — Advisor score detail: 81% overall, with per-category breakdown and refresh timestamps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4E79" w:color="auto" w:val="clear"/>
            <w:tcMar>
              <w:top w:type="dxa" w:w="80"/>
              <w:left w:type="dxa" w:w="120"/>
              <w:bottom w:type="dxa" w:w="80"/>
              <w:right w:type="dxa" w:w="120"/>
            </w:tcMar>
          </w:tcPr>
          <w:p>
            <w:pPr>
              <w:jc w:val="left"/>
            </w:pPr>
            <w:r>
              <w:rPr>
                <w:b/>
                <w:bCs/>
                <w:color w:val="FFFFFF"/>
              </w:rPr>
              <w:t xml:space="preserve">Category</w:t>
            </w:r>
          </w:p>
        </w:tc>
        <w:tc>
          <w:tcPr>
            <w:tcW w:type="dxa" w:w="4000"/>
            <w:shd w:fill="1F4E79" w:color="auto" w:val="clear"/>
            <w:tcMar>
              <w:top w:type="dxa" w:w="80"/>
              <w:left w:type="dxa" w:w="120"/>
              <w:bottom w:type="dxa" w:w="80"/>
              <w:right w:type="dxa" w:w="120"/>
            </w:tcMar>
          </w:tcPr>
          <w:p>
            <w:pPr>
              <w:jc w:val="left"/>
            </w:pPr>
            <w:r>
              <w:rPr>
                <w:b/>
                <w:bCs/>
                <w:color w:val="FFFFFF"/>
              </w:rPr>
              <w:t xml:space="preserve">Score</w:t>
            </w:r>
          </w:p>
        </w:tc>
      </w:tr>
      <w:tr>
        <w:tc>
          <w:tcPr>
            <w:tcW w:type="dxa" w:w="5000"/>
            <w:tcMar>
              <w:top w:type="dxa" w:w="80"/>
              <w:left w:type="dxa" w:w="120"/>
              <w:bottom w:type="dxa" w:w="80"/>
              <w:right w:type="dxa" w:w="120"/>
            </w:tcMar>
          </w:tcPr>
          <w:p>
            <w:pPr>
              <w:jc w:val="left"/>
            </w:pPr>
            <w:r>
              <w:rPr>
                <w:b w:val="false"/>
                <w:bCs w:val="false"/>
                <w:color w:val="000000"/>
              </w:rPr>
              <w:t xml:space="preserve">Overall Advisor score</w:t>
            </w:r>
          </w:p>
        </w:tc>
        <w:tc>
          <w:tcPr>
            <w:tcW w:type="dxa" w:w="4000"/>
            <w:tcMar>
              <w:top w:type="dxa" w:w="80"/>
              <w:left w:type="dxa" w:w="120"/>
              <w:bottom w:type="dxa" w:w="80"/>
              <w:right w:type="dxa" w:w="120"/>
            </w:tcMar>
          </w:tcPr>
          <w:p>
            <w:pPr>
              <w:jc w:val="left"/>
            </w:pPr>
            <w:r>
              <w:rPr>
                <w:b w:val="false"/>
                <w:bCs w:val="false"/>
                <w:color w:val="000000"/>
              </w:rPr>
              <w:t xml:space="preserve">81%</w:t>
            </w:r>
          </w:p>
        </w:tc>
      </w:tr>
      <w:tr>
        <w:tc>
          <w:tcPr>
            <w:tcW w:type="dxa" w:w="5000"/>
            <w:shd w:fill="EAF1F8" w:color="auto" w:val="clear"/>
            <w:tcMar>
              <w:top w:type="dxa" w:w="80"/>
              <w:left w:type="dxa" w:w="120"/>
              <w:bottom w:type="dxa" w:w="80"/>
              <w:right w:type="dxa" w:w="120"/>
            </w:tcMar>
          </w:tcPr>
          <w:p>
            <w:pPr>
              <w:jc w:val="left"/>
            </w:pPr>
            <w:r>
              <w:rPr>
                <w:b w:val="false"/>
                <w:bCs w:val="false"/>
                <w:color w:val="000000"/>
              </w:rPr>
              <w:t xml:space="preserve">Cost score</w:t>
            </w:r>
          </w:p>
        </w:tc>
        <w:tc>
          <w:tcPr>
            <w:tcW w:type="dxa" w:w="4000"/>
            <w:shd w:fill="EAF1F8" w:color="auto" w:val="clear"/>
            <w:tcMar>
              <w:top w:type="dxa" w:w="80"/>
              <w:left w:type="dxa" w:w="120"/>
              <w:bottom w:type="dxa" w:w="80"/>
              <w:right w:type="dxa" w:w="120"/>
            </w:tcMar>
          </w:tcPr>
          <w:p>
            <w:pPr>
              <w:jc w:val="left"/>
            </w:pPr>
            <w:r>
              <w:rPr>
                <w:b w:val="false"/>
                <w:bCs w:val="false"/>
                <w:color w:val="000000"/>
              </w:rPr>
              <w:t xml:space="preserve">37%</w:t>
            </w:r>
          </w:p>
        </w:tc>
      </w:tr>
      <w:tr>
        <w:tc>
          <w:tcPr>
            <w:tcW w:type="dxa" w:w="5000"/>
            <w:tcMar>
              <w:top w:type="dxa" w:w="80"/>
              <w:left w:type="dxa" w:w="120"/>
              <w:bottom w:type="dxa" w:w="80"/>
              <w:right w:type="dxa" w:w="120"/>
            </w:tcMar>
          </w:tcPr>
          <w:p>
            <w:pPr>
              <w:jc w:val="left"/>
            </w:pPr>
            <w:r>
              <w:rPr>
                <w:b w:val="false"/>
                <w:bCs w:val="false"/>
                <w:color w:val="000000"/>
              </w:rPr>
              <w:t xml:space="preserve">Security score</w:t>
            </w:r>
          </w:p>
        </w:tc>
        <w:tc>
          <w:tcPr>
            <w:tcW w:type="dxa" w:w="4000"/>
            <w:tcMar>
              <w:top w:type="dxa" w:w="80"/>
              <w:left w:type="dxa" w:w="120"/>
              <w:bottom w:type="dxa" w:w="80"/>
              <w:right w:type="dxa" w:w="120"/>
            </w:tcMar>
          </w:tcPr>
          <w:p>
            <w:pPr>
              <w:jc w:val="left"/>
            </w:pPr>
            <w:r>
              <w:rPr>
                <w:b w:val="false"/>
                <w:bCs w:val="false"/>
                <w:color w:val="000000"/>
              </w:rPr>
              <w:t xml:space="preserve">Not available (following all recommendations)</w:t>
            </w:r>
          </w:p>
        </w:tc>
      </w:tr>
      <w:tr>
        <w:tc>
          <w:tcPr>
            <w:tcW w:type="dxa" w:w="5000"/>
            <w:shd w:fill="EAF1F8" w:color="auto" w:val="clear"/>
            <w:tcMar>
              <w:top w:type="dxa" w:w="80"/>
              <w:left w:type="dxa" w:w="120"/>
              <w:bottom w:type="dxa" w:w="80"/>
              <w:right w:type="dxa" w:w="120"/>
            </w:tcMar>
          </w:tcPr>
          <w:p>
            <w:pPr>
              <w:jc w:val="left"/>
            </w:pPr>
            <w:r>
              <w:rPr>
                <w:b w:val="false"/>
                <w:bCs w:val="false"/>
                <w:color w:val="000000"/>
              </w:rPr>
              <w:t xml:space="preserve">Reliability score</w:t>
            </w:r>
          </w:p>
        </w:tc>
        <w:tc>
          <w:tcPr>
            <w:tcW w:type="dxa" w:w="4000"/>
            <w:shd w:fill="EAF1F8" w:color="auto" w:val="clear"/>
            <w:tcMar>
              <w:top w:type="dxa" w:w="80"/>
              <w:left w:type="dxa" w:w="120"/>
              <w:bottom w:type="dxa" w:w="80"/>
              <w:right w:type="dxa" w:w="120"/>
            </w:tcMar>
          </w:tcPr>
          <w:p>
            <w:pPr>
              <w:jc w:val="left"/>
            </w:pPr>
            <w:r>
              <w:rPr>
                <w:b w:val="false"/>
                <w:bCs w:val="false"/>
                <w:color w:val="000000"/>
              </w:rPr>
              <w:t xml:space="preserve">89%</w:t>
            </w:r>
          </w:p>
        </w:tc>
      </w:tr>
      <w:tr>
        <w:tc>
          <w:tcPr>
            <w:tcW w:type="dxa" w:w="5000"/>
            <w:tcMar>
              <w:top w:type="dxa" w:w="80"/>
              <w:left w:type="dxa" w:w="120"/>
              <w:bottom w:type="dxa" w:w="80"/>
              <w:right w:type="dxa" w:w="120"/>
            </w:tcMar>
          </w:tcPr>
          <w:p>
            <w:pPr>
              <w:jc w:val="left"/>
            </w:pPr>
            <w:r>
              <w:rPr>
                <w:b w:val="false"/>
                <w:bCs w:val="false"/>
                <w:color w:val="000000"/>
              </w:rPr>
              <w:t xml:space="preserve">Operational excellence score</w:t>
            </w:r>
          </w:p>
        </w:tc>
        <w:tc>
          <w:tcPr>
            <w:tcW w:type="dxa" w:w="4000"/>
            <w:tcMar>
              <w:top w:type="dxa" w:w="80"/>
              <w:left w:type="dxa" w:w="120"/>
              <w:bottom w:type="dxa" w:w="80"/>
              <w:right w:type="dxa" w:w="120"/>
            </w:tcMar>
          </w:tcPr>
          <w:p>
            <w:pPr>
              <w:jc w:val="left"/>
            </w:pPr>
            <w:r>
              <w:rPr>
                <w:b w:val="false"/>
                <w:bCs w:val="false"/>
                <w:color w:val="000000"/>
              </w:rPr>
              <w:t xml:space="preserve">100%</w:t>
            </w:r>
          </w:p>
        </w:tc>
      </w:tr>
      <w:tr>
        <w:tc>
          <w:tcPr>
            <w:tcW w:type="dxa" w:w="5000"/>
            <w:shd w:fill="EAF1F8" w:color="auto" w:val="clear"/>
            <w:tcMar>
              <w:top w:type="dxa" w:w="80"/>
              <w:left w:type="dxa" w:w="120"/>
              <w:bottom w:type="dxa" w:w="80"/>
              <w:right w:type="dxa" w:w="120"/>
            </w:tcMar>
          </w:tcPr>
          <w:p>
            <w:pPr>
              <w:jc w:val="left"/>
            </w:pPr>
            <w:r>
              <w:rPr>
                <w:b w:val="false"/>
                <w:bCs w:val="false"/>
                <w:color w:val="000000"/>
              </w:rPr>
              <w:t xml:space="preserve">Performance score</w:t>
            </w:r>
          </w:p>
        </w:tc>
        <w:tc>
          <w:tcPr>
            <w:tcW w:type="dxa" w:w="4000"/>
            <w:shd w:fill="EAF1F8" w:color="auto" w:val="clear"/>
            <w:tcMar>
              <w:top w:type="dxa" w:w="80"/>
              <w:left w:type="dxa" w:w="120"/>
              <w:bottom w:type="dxa" w:w="80"/>
              <w:right w:type="dxa" w:w="120"/>
            </w:tcMar>
          </w:tcPr>
          <w:p>
            <w:pPr>
              <w:jc w:val="left"/>
            </w:pPr>
            <w:r>
              <w:rPr>
                <w:b w:val="false"/>
                <w:bCs w:val="false"/>
                <w:color w:val="000000"/>
              </w:rPr>
              <w:t xml:space="preserve">100%</w:t>
            </w:r>
          </w:p>
        </w:tc>
      </w:tr>
    </w:tbl>
    <w:p>
      <w:pPr>
        <w:spacing w:after="150" w:line="300"/>
      </w:pPr>
      <w:r>
        <w:t xml:space="preserve">The Cost score of 37% is a clear outlier against every other category and is the category this audit directly targets. Security, reliability, operational excellence, and performance are already in good standing — the environment's problem is specifically wasted spend, not architecture or safety.</w:t>
      </w:r>
    </w:p>
    <w:p>
      <w:pPr>
        <w:pStyle w:val="Heading2"/>
        <w:spacing w:after="150" w:before="300"/>
      </w:pPr>
      <w:r>
        <w:rPr>
          <w:b/>
          <w:bCs/>
          <w:color w:val="2E75B6"/>
          <w:sz w:val="24"/>
          <w:szCs w:val="24"/>
        </w:rPr>
        <w:t xml:space="preserve">4.4 Usage Review (Azure Monitor)</w:t>
      </w:r>
    </w:p>
    <w:p>
      <w:pPr>
        <w:spacing w:after="150" w:line="300"/>
      </w:pPr>
      <w:r>
        <w:t xml:space="preserve">Average CPU utilization for vm-cost-audit-demo was pulled from Azure Monitor for the trailing 7 days.</w:t>
      </w:r>
    </w:p>
    <w:p>
      <w:pPr>
        <w:spacing w:after="0" w:before="15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19375"/>
                    </a:xfrm>
                    <a:prstGeom prst="rect">
                      <a:avLst/>
                    </a:prstGeom>
                  </pic:spPr>
                </pic:pic>
              </a:graphicData>
            </a:graphic>
          </wp:inline>
        </w:drawing>
      </w:r>
    </w:p>
    <w:p>
      <w:pPr>
        <w:spacing w:after="300" w:before="80"/>
        <w:jc w:val="center"/>
      </w:pPr>
      <w:r>
        <w:rPr>
          <w:i/>
          <w:iCs/>
          <w:color w:val="555555"/>
          <w:sz w:val="18"/>
          <w:szCs w:val="18"/>
        </w:rPr>
        <w:t xml:space="preserve">Figure 8 — Avg Percentage CPU for vm-cost-audit-demo: 0.1719% average over 7 days</w:t>
      </w:r>
    </w:p>
    <w:p>
      <w:pPr>
        <w:pStyle w:val="ListParagraph"/>
        <w:numPr>
          <w:ilvl w:val="0"/>
          <w:numId w:val="1"/>
        </w:numPr>
        <w:spacing w:after="80" w:line="280"/>
      </w:pPr>
      <w:r>
        <w:t xml:space="preserve">7-day average CPU utilization: 0.1719% (effectively idle)</w:t>
      </w:r>
    </w:p>
    <w:p>
      <w:pPr>
        <w:pStyle w:val="ListParagraph"/>
        <w:numPr>
          <w:ilvl w:val="0"/>
          <w:numId w:val="1"/>
        </w:numPr>
        <w:spacing w:after="80" w:line="280"/>
      </w:pPr>
      <w:r>
        <w:t xml:space="preserve">The VM is a Standard B2ls v2 (2 vCPU, burstable) — provisioned for bursts of activity that this workload never exercises</w:t>
      </w:r>
    </w:p>
    <w:p>
      <w:pPr>
        <w:pStyle w:val="ListParagraph"/>
        <w:numPr>
          <w:ilvl w:val="0"/>
          <w:numId w:val="1"/>
        </w:numPr>
        <w:spacing w:after="80" w:line="280"/>
      </w:pPr>
      <w:r>
        <w:t xml:space="preserve">The VM was subsequently stopped/deallocated by August 3, consistent with a demo/dev workload that does not need to run continuously</w:t>
      </w:r>
    </w:p>
    <w:p>
      <w:pPr>
        <w:pStyle w:val="Heading3"/>
        <w:spacing w:after="100" w:before="200"/>
      </w:pPr>
      <w:r>
        <w:rPr>
          <w:b/>
          <w:bCs/>
          <w:color w:val="555555"/>
          <w:sz w:val="22"/>
          <w:szCs w:val="22"/>
        </w:rPr>
        <w:t xml:space="preserve">Interpretation</w:t>
      </w:r>
    </w:p>
    <w:p>
      <w:pPr>
        <w:pStyle w:val="ListParagraph"/>
        <w:numPr>
          <w:ilvl w:val="0"/>
          <w:numId w:val="1"/>
        </w:numPr>
        <w:spacing w:after="80" w:line="280"/>
      </w:pPr>
      <w:r>
        <w:t xml:space="preserve">A workload running at ~0.17% CPU for a full week does not need a dedicated burstable VM running continuously — it is a strong candidate for either a smaller size, a scheduled auto-shutdown, or an on-demand/serverless pattern.</w:t>
      </w:r>
    </w:p>
    <w:p>
      <w:pPr>
        <w:pStyle w:val="ListParagraph"/>
        <w:numPr>
          <w:ilvl w:val="0"/>
          <w:numId w:val="1"/>
        </w:numPr>
        <w:spacing w:after="80" w:line="280"/>
      </w:pPr>
      <w:r>
        <w:t xml:space="preserve">No auto-shutdown schedule is configured (Section 3), so absent manual intervention, this VM would otherwise continue billing 24/7 for single-digit-percent utilization.</w:t>
      </w:r>
    </w:p>
    <w:p>
      <w:r>
        <w:br w:type="page"/>
      </w:r>
    </w:p>
    <w:p>
      <w:pPr>
        <w:pStyle w:val="Heading1"/>
        <w:pBdr>
          <w:bottom w:val="single" w:color="1F4E79" w:sz="8" w:space="4"/>
        </w:pBdr>
        <w:spacing w:after="200" w:before="400"/>
      </w:pPr>
      <w:r>
        <w:rPr>
          <w:b/>
          <w:bCs/>
          <w:color w:val="1F4E79"/>
          <w:sz w:val="30"/>
          <w:szCs w:val="30"/>
        </w:rPr>
        <w:t xml:space="preserve">5. Before / After Comparison</w:t>
      </w:r>
    </w:p>
    <w:p>
      <w:pPr>
        <w:spacing w:after="150" w:line="300"/>
      </w:pPr>
      <w:r>
        <w:t xml:space="preserve">The table below converts the findings in Section 4 into a concrete monthly savings estimate. “Before” figures come directly from the Cost Analysis resource-level breakdown (Figure 4); “After” figures assume the two recommended actions in Section 6 are applied and no new spend is added.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900"/>
        <w:gridCol w:w="2300"/>
      </w:tblGrid>
      <w:tr>
        <w:trPr>
          <w:tblHeader/>
        </w:trPr>
        <w:tc>
          <w:tcPr>
            <w:tcW w:type="dxa" w:w="2800"/>
            <w:shd w:fill="1F4E79" w:color="auto" w:val="clear"/>
            <w:tcMar>
              <w:top w:type="dxa" w:w="80"/>
              <w:left w:type="dxa" w:w="120"/>
              <w:bottom w:type="dxa" w:w="80"/>
              <w:right w:type="dxa" w:w="120"/>
            </w:tcMar>
          </w:tcPr>
          <w:p>
            <w:pPr>
              <w:jc w:val="left"/>
            </w:pPr>
            <w:r>
              <w:rPr>
                <w:b/>
                <w:bCs/>
                <w:color w:val="FFFFFF"/>
              </w:rPr>
              <w:t xml:space="preserve">Cost item</w:t>
            </w:r>
          </w:p>
        </w:tc>
        <w:tc>
          <w:tcPr>
            <w:tcW w:type="dxa" w:w="2000"/>
            <w:shd w:fill="1F4E79" w:color="auto" w:val="clear"/>
            <w:tcMar>
              <w:top w:type="dxa" w:w="80"/>
              <w:left w:type="dxa" w:w="120"/>
              <w:bottom w:type="dxa" w:w="80"/>
              <w:right w:type="dxa" w:w="120"/>
            </w:tcMar>
          </w:tcPr>
          <w:p>
            <w:pPr>
              <w:jc w:val="left"/>
            </w:pPr>
            <w:r>
              <w:rPr>
                <w:b/>
                <w:bCs/>
                <w:color w:val="FFFFFF"/>
              </w:rPr>
              <w:t xml:space="preserve">Before (current)</w:t>
            </w:r>
          </w:p>
        </w:tc>
        <w:tc>
          <w:tcPr>
            <w:tcW w:type="dxa" w:w="2900"/>
            <w:shd w:fill="1F4E79" w:color="auto" w:val="clear"/>
            <w:tcMar>
              <w:top w:type="dxa" w:w="80"/>
              <w:left w:type="dxa" w:w="120"/>
              <w:bottom w:type="dxa" w:w="80"/>
              <w:right w:type="dxa" w:w="120"/>
            </w:tcMar>
          </w:tcPr>
          <w:p>
            <w:pPr>
              <w:jc w:val="left"/>
            </w:pPr>
            <w:r>
              <w:rPr>
                <w:b/>
                <w:bCs/>
                <w:color w:val="FFFFFF"/>
              </w:rPr>
              <w:t xml:space="preserve">Action</w:t>
            </w:r>
          </w:p>
        </w:tc>
        <w:tc>
          <w:tcPr>
            <w:tcW w:type="dxa" w:w="2300"/>
            <w:shd w:fill="1F4E79" w:color="auto" w:val="clear"/>
            <w:tcMar>
              <w:top w:type="dxa" w:w="80"/>
              <w:left w:type="dxa" w:w="120"/>
              <w:bottom w:type="dxa" w:w="80"/>
              <w:right w:type="dxa" w:w="120"/>
            </w:tcMar>
          </w:tcPr>
          <w:p>
            <w:pPr>
              <w:jc w:val="left"/>
            </w:pPr>
            <w:r>
              <w:rPr>
                <w:b/>
                <w:bCs/>
                <w:color w:val="FFFFFF"/>
              </w:rPr>
              <w:t xml:space="preserve">After (optimized)</w:t>
            </w:r>
          </w:p>
        </w:tc>
      </w:tr>
      <w:tr>
        <w:tc>
          <w:tcPr>
            <w:tcW w:type="dxa" w:w="2800"/>
            <w:tcMar>
              <w:top w:type="dxa" w:w="80"/>
              <w:left w:type="dxa" w:w="120"/>
              <w:bottom w:type="dxa" w:w="80"/>
              <w:right w:type="dxa" w:w="120"/>
            </w:tcMar>
          </w:tcPr>
          <w:p>
            <w:pPr>
              <w:jc w:val="left"/>
            </w:pPr>
            <w:r>
              <w:rPr>
                <w:b w:val="false"/>
                <w:bCs w:val="false"/>
                <w:color w:val="000000"/>
              </w:rPr>
              <w:t xml:space="preserve">Orphaned disk (orphan-disk-de…)</w:t>
            </w:r>
          </w:p>
        </w:tc>
        <w:tc>
          <w:tcPr>
            <w:tcW w:type="dxa" w:w="2000"/>
            <w:tcMar>
              <w:top w:type="dxa" w:w="80"/>
              <w:left w:type="dxa" w:w="120"/>
              <w:bottom w:type="dxa" w:w="80"/>
              <w:right w:type="dxa" w:w="120"/>
            </w:tcMar>
          </w:tcPr>
          <w:p>
            <w:pPr>
              <w:jc w:val="left"/>
            </w:pPr>
            <w:r>
              <w:rPr>
                <w:b w:val="false"/>
                <w:bCs w:val="false"/>
                <w:color w:val="000000"/>
              </w:rPr>
              <w:t xml:space="preserve">$16.38 / mo</w:t>
            </w:r>
          </w:p>
        </w:tc>
        <w:tc>
          <w:tcPr>
            <w:tcW w:type="dxa" w:w="2900"/>
            <w:tcMar>
              <w:top w:type="dxa" w:w="80"/>
              <w:left w:type="dxa" w:w="120"/>
              <w:bottom w:type="dxa" w:w="80"/>
              <w:right w:type="dxa" w:w="120"/>
            </w:tcMar>
          </w:tcPr>
          <w:p>
            <w:pPr>
              <w:jc w:val="left"/>
            </w:pPr>
            <w:r>
              <w:rPr>
                <w:b w:val="false"/>
                <w:bCs w:val="false"/>
                <w:color w:val="000000"/>
              </w:rPr>
              <w:t xml:space="preserve">Delete (confirmed unneeded) or reattach if still required</w:t>
            </w:r>
          </w:p>
        </w:tc>
        <w:tc>
          <w:tcPr>
            <w:tcW w:type="dxa" w:w="2300"/>
            <w:tcMar>
              <w:top w:type="dxa" w:w="80"/>
              <w:left w:type="dxa" w:w="120"/>
              <w:bottom w:type="dxa" w:w="80"/>
              <w:right w:type="dxa" w:w="120"/>
            </w:tcMar>
          </w:tcPr>
          <w:p>
            <w:pPr>
              <w:jc w:val="left"/>
            </w:pPr>
            <w:r>
              <w:rPr>
                <w:b w:val="false"/>
                <w:bCs w:val="false"/>
                <w:color w:val="000000"/>
              </w:rPr>
              <w:t xml:space="preserve">$0.00 / mo</w:t>
            </w:r>
          </w:p>
        </w:tc>
      </w:tr>
      <w:tr>
        <w:tc>
          <w:tcPr>
            <w:tcW w:type="dxa" w:w="2800"/>
            <w:shd w:fill="EAF1F8" w:color="auto" w:val="clear"/>
            <w:tcMar>
              <w:top w:type="dxa" w:w="80"/>
              <w:left w:type="dxa" w:w="120"/>
              <w:bottom w:type="dxa" w:w="80"/>
              <w:right w:type="dxa" w:w="120"/>
            </w:tcMar>
          </w:tcPr>
          <w:p>
            <w:pPr>
              <w:jc w:val="left"/>
            </w:pPr>
            <w:r>
              <w:rPr>
                <w:b w:val="false"/>
                <w:bCs w:val="false"/>
                <w:color w:val="000000"/>
              </w:rPr>
              <w:t xml:space="preserve">VM OS disk</w:t>
            </w:r>
          </w:p>
        </w:tc>
        <w:tc>
          <w:tcPr>
            <w:tcW w:type="dxa" w:w="2000"/>
            <w:shd w:fill="EAF1F8" w:color="auto" w:val="clear"/>
            <w:tcMar>
              <w:top w:type="dxa" w:w="80"/>
              <w:left w:type="dxa" w:w="120"/>
              <w:bottom w:type="dxa" w:w="80"/>
              <w:right w:type="dxa" w:w="120"/>
            </w:tcMar>
          </w:tcPr>
          <w:p>
            <w:pPr>
              <w:jc w:val="left"/>
            </w:pPr>
            <w:r>
              <w:rPr>
                <w:b w:val="false"/>
                <w:bCs w:val="false"/>
                <w:color w:val="000000"/>
              </w:rPr>
              <w:t xml:space="preserve">$0.97 / mo</w:t>
            </w:r>
          </w:p>
        </w:tc>
        <w:tc>
          <w:tcPr>
            <w:tcW w:type="dxa" w:w="2900"/>
            <w:shd w:fill="EAF1F8" w:color="auto" w:val="clear"/>
            <w:tcMar>
              <w:top w:type="dxa" w:w="80"/>
              <w:left w:type="dxa" w:w="120"/>
              <w:bottom w:type="dxa" w:w="80"/>
              <w:right w:type="dxa" w:w="120"/>
            </w:tcMar>
          </w:tcPr>
          <w:p>
            <w:pPr>
              <w:jc w:val="left"/>
            </w:pPr>
            <w:r>
              <w:rPr>
                <w:b w:val="false"/>
                <w:bCs w:val="false"/>
                <w:color w:val="000000"/>
              </w:rPr>
              <w:t xml:space="preserve">Keep — required for the VM to run</w:t>
            </w:r>
          </w:p>
        </w:tc>
        <w:tc>
          <w:tcPr>
            <w:tcW w:type="dxa" w:w="2300"/>
            <w:shd w:fill="EAF1F8" w:color="auto" w:val="clear"/>
            <w:tcMar>
              <w:top w:type="dxa" w:w="80"/>
              <w:left w:type="dxa" w:w="120"/>
              <w:bottom w:type="dxa" w:w="80"/>
              <w:right w:type="dxa" w:w="120"/>
            </w:tcMar>
          </w:tcPr>
          <w:p>
            <w:pPr>
              <w:jc w:val="left"/>
            </w:pPr>
            <w:r>
              <w:rPr>
                <w:b w:val="false"/>
                <w:bCs w:val="false"/>
                <w:color w:val="000000"/>
              </w:rPr>
              <w:t xml:space="preserve">$0.97 / mo</w:t>
            </w:r>
          </w:p>
        </w:tc>
      </w:tr>
      <w:tr>
        <w:tc>
          <w:tcPr>
            <w:tcW w:type="dxa" w:w="2800"/>
            <w:tcMar>
              <w:top w:type="dxa" w:w="80"/>
              <w:left w:type="dxa" w:w="120"/>
              <w:bottom w:type="dxa" w:w="80"/>
              <w:right w:type="dxa" w:w="120"/>
            </w:tcMar>
          </w:tcPr>
          <w:p>
            <w:pPr>
              <w:jc w:val="left"/>
            </w:pPr>
            <w:r>
              <w:rPr>
                <w:b w:val="false"/>
                <w:bCs w:val="false"/>
                <w:color w:val="000000"/>
              </w:rPr>
              <w:t xml:space="preserve">Virtual Machine compute (vm-cost-audit-d…)</w:t>
            </w:r>
          </w:p>
        </w:tc>
        <w:tc>
          <w:tcPr>
            <w:tcW w:type="dxa" w:w="2000"/>
            <w:tcMar>
              <w:top w:type="dxa" w:w="80"/>
              <w:left w:type="dxa" w:w="120"/>
              <w:bottom w:type="dxa" w:w="80"/>
              <w:right w:type="dxa" w:w="120"/>
            </w:tcMar>
          </w:tcPr>
          <w:p>
            <w:pPr>
              <w:jc w:val="left"/>
            </w:pPr>
            <w:r>
              <w:rPr>
                <w:b w:val="false"/>
                <w:bCs w:val="false"/>
                <w:color w:val="000000"/>
              </w:rPr>
              <w:t xml:space="preserve">$3.53 / mo</w:t>
            </w:r>
          </w:p>
        </w:tc>
        <w:tc>
          <w:tcPr>
            <w:tcW w:type="dxa" w:w="2900"/>
            <w:tcMar>
              <w:top w:type="dxa" w:w="80"/>
              <w:left w:type="dxa" w:w="120"/>
              <w:bottom w:type="dxa" w:w="80"/>
              <w:right w:type="dxa" w:w="120"/>
            </w:tcMar>
          </w:tcPr>
          <w:p>
            <w:pPr>
              <w:jc w:val="left"/>
            </w:pPr>
            <w:r>
              <w:rPr>
                <w:b w:val="false"/>
                <w:bCs w:val="false"/>
                <w:color w:val="000000"/>
              </w:rPr>
              <w:t xml:space="preserve">Rightsize / enable auto-shutdown outside working hours (~0.17% CPU observed)</w:t>
            </w:r>
          </w:p>
        </w:tc>
        <w:tc>
          <w:tcPr>
            <w:tcW w:type="dxa" w:w="2300"/>
            <w:tcMar>
              <w:top w:type="dxa" w:w="80"/>
              <w:left w:type="dxa" w:w="120"/>
              <w:bottom w:type="dxa" w:w="80"/>
              <w:right w:type="dxa" w:w="120"/>
            </w:tcMar>
          </w:tcPr>
          <w:p>
            <w:pPr>
              <w:jc w:val="left"/>
            </w:pPr>
            <w:r>
              <w:rPr>
                <w:b w:val="false"/>
                <w:bCs w:val="false"/>
                <w:color w:val="000000"/>
              </w:rPr>
              <w:t xml:space="preserve">~$1.06–$2.65 / mo (est. 25–70% reduction)</w:t>
            </w:r>
          </w:p>
        </w:tc>
      </w:tr>
      <w:tr>
        <w:tc>
          <w:tcPr>
            <w:tcW w:type="dxa" w:w="2800"/>
            <w:shd w:fill="EAF1F8" w:color="auto" w:val="clear"/>
            <w:tcMar>
              <w:top w:type="dxa" w:w="80"/>
              <w:left w:type="dxa" w:w="120"/>
              <w:bottom w:type="dxa" w:w="80"/>
              <w:right w:type="dxa" w:w="120"/>
            </w:tcMar>
          </w:tcPr>
          <w:p>
            <w:pPr>
              <w:jc w:val="left"/>
            </w:pPr>
            <w:r>
              <w:rPr>
                <w:b w:val="false"/>
                <w:bCs w:val="false"/>
                <w:color w:val="000000"/>
              </w:rPr>
              <w:t xml:space="preserve">Virtual Network</w:t>
            </w:r>
          </w:p>
        </w:tc>
        <w:tc>
          <w:tcPr>
            <w:tcW w:type="dxa" w:w="2000"/>
            <w:shd w:fill="EAF1F8" w:color="auto" w:val="clear"/>
            <w:tcMar>
              <w:top w:type="dxa" w:w="80"/>
              <w:left w:type="dxa" w:w="120"/>
              <w:bottom w:type="dxa" w:w="80"/>
              <w:right w:type="dxa" w:w="120"/>
            </w:tcMar>
          </w:tcPr>
          <w:p>
            <w:pPr>
              <w:jc w:val="left"/>
            </w:pPr>
            <w:r>
              <w:rPr>
                <w:b w:val="false"/>
                <w:bCs w:val="false"/>
                <w:color w:val="000000"/>
              </w:rPr>
              <w:t xml:space="preserve">$1.12 / mo</w:t>
            </w:r>
          </w:p>
        </w:tc>
        <w:tc>
          <w:tcPr>
            <w:tcW w:type="dxa" w:w="2900"/>
            <w:shd w:fill="EAF1F8" w:color="auto" w:val="clear"/>
            <w:tcMar>
              <w:top w:type="dxa" w:w="80"/>
              <w:left w:type="dxa" w:w="120"/>
              <w:bottom w:type="dxa" w:w="80"/>
              <w:right w:type="dxa" w:w="120"/>
            </w:tcMar>
          </w:tcPr>
          <w:p>
            <w:pPr>
              <w:jc w:val="left"/>
            </w:pPr>
            <w:r>
              <w:rPr>
                <w:b w:val="false"/>
                <w:bCs w:val="false"/>
                <w:color w:val="000000"/>
              </w:rPr>
              <w:t xml:space="preserve">No change — required networking cost</w:t>
            </w:r>
          </w:p>
        </w:tc>
        <w:tc>
          <w:tcPr>
            <w:tcW w:type="dxa" w:w="2300"/>
            <w:shd w:fill="EAF1F8" w:color="auto" w:val="clear"/>
            <w:tcMar>
              <w:top w:type="dxa" w:w="80"/>
              <w:left w:type="dxa" w:w="120"/>
              <w:bottom w:type="dxa" w:w="80"/>
              <w:right w:type="dxa" w:w="120"/>
            </w:tcMar>
          </w:tcPr>
          <w:p>
            <w:pPr>
              <w:jc w:val="left"/>
            </w:pPr>
            <w:r>
              <w:rPr>
                <w:b w:val="false"/>
                <w:bCs w:val="false"/>
                <w:color w:val="000000"/>
              </w:rPr>
              <w:t xml:space="preserve">$1.12 / mo</w:t>
            </w:r>
          </w:p>
        </w:tc>
      </w:tr>
      <w:tr>
        <w:tc>
          <w:tcPr>
            <w:tcW w:type="dxa" w:w="2800"/>
            <w:tcMar>
              <w:top w:type="dxa" w:w="80"/>
              <w:left w:type="dxa" w:w="120"/>
              <w:bottom w:type="dxa" w:w="80"/>
              <w:right w:type="dxa" w:w="120"/>
            </w:tcMar>
          </w:tcPr>
          <w:p>
            <w:pPr>
              <w:jc w:val="left"/>
            </w:pPr>
            <w:r>
              <w:rPr>
                <w:b w:val="false"/>
                <w:bCs w:val="false"/>
                <w:color w:val="000000"/>
              </w:rPr>
              <w:t xml:space="preserve">Bandwidth</w:t>
            </w:r>
          </w:p>
        </w:tc>
        <w:tc>
          <w:tcPr>
            <w:tcW w:type="dxa" w:w="2000"/>
            <w:tcMar>
              <w:top w:type="dxa" w:w="80"/>
              <w:left w:type="dxa" w:w="120"/>
              <w:bottom w:type="dxa" w:w="80"/>
              <w:right w:type="dxa" w:w="120"/>
            </w:tcMar>
          </w:tcPr>
          <w:p>
            <w:pPr>
              <w:jc w:val="left"/>
            </w:pPr>
            <w:r>
              <w:rPr>
                <w:b w:val="false"/>
                <w:bCs w:val="false"/>
                <w:color w:val="000000"/>
              </w:rPr>
              <w:t xml:space="preserve">&lt; $0.01 / mo</w:t>
            </w:r>
          </w:p>
        </w:tc>
        <w:tc>
          <w:tcPr>
            <w:tcW w:type="dxa" w:w="2900"/>
            <w:tcMar>
              <w:top w:type="dxa" w:w="80"/>
              <w:left w:type="dxa" w:w="120"/>
              <w:bottom w:type="dxa" w:w="80"/>
              <w:right w:type="dxa" w:w="120"/>
            </w:tcMar>
          </w:tcPr>
          <w:p>
            <w:pPr>
              <w:jc w:val="left"/>
            </w:pPr>
            <w:r>
              <w:rPr>
                <w:b w:val="false"/>
                <w:bCs w:val="false"/>
                <w:color w:val="000000"/>
              </w:rPr>
              <w:t xml:space="preserve">No change</w:t>
            </w:r>
          </w:p>
        </w:tc>
        <w:tc>
          <w:tcPr>
            <w:tcW w:type="dxa" w:w="2300"/>
            <w:tcMar>
              <w:top w:type="dxa" w:w="80"/>
              <w:left w:type="dxa" w:w="120"/>
              <w:bottom w:type="dxa" w:w="80"/>
              <w:right w:type="dxa" w:w="120"/>
            </w:tcMar>
          </w:tcPr>
          <w:p>
            <w:pPr>
              <w:jc w:val="left"/>
            </w:pPr>
            <w:r>
              <w:rPr>
                <w:b w:val="false"/>
                <w:bCs w:val="false"/>
                <w:color w:val="000000"/>
              </w:rPr>
              <w:t xml:space="preserve">&lt; $0.01 / mo</w:t>
            </w:r>
          </w:p>
        </w:tc>
      </w:tr>
      <w:tr>
        <w:tc>
          <w:tcPr>
            <w:tcW w:type="dxa" w:w="2800"/>
            <w:shd w:fill="EAF1F8" w:color="auto" w:val="clear"/>
            <w:tcMar>
              <w:top w:type="dxa" w:w="80"/>
              <w:left w:type="dxa" w:w="120"/>
              <w:bottom w:type="dxa" w:w="80"/>
              <w:right w:type="dxa" w:w="120"/>
            </w:tcMar>
          </w:tcPr>
          <w:p>
            <w:pPr>
              <w:jc w:val="left"/>
            </w:pPr>
            <w:r>
              <w:rPr>
                <w:b w:val="false"/>
                <w:bCs w:val="false"/>
                <w:color w:val="000000"/>
              </w:rPr>
              <w:t xml:space="preserve">Total</w:t>
            </w:r>
          </w:p>
        </w:tc>
        <w:tc>
          <w:tcPr>
            <w:tcW w:type="dxa" w:w="2000"/>
            <w:shd w:fill="EAF1F8" w:color="auto" w:val="clear"/>
            <w:tcMar>
              <w:top w:type="dxa" w:w="80"/>
              <w:left w:type="dxa" w:w="120"/>
              <w:bottom w:type="dxa" w:w="80"/>
              <w:right w:type="dxa" w:w="120"/>
            </w:tcMar>
          </w:tcPr>
          <w:p>
            <w:pPr>
              <w:jc w:val="left"/>
            </w:pPr>
            <w:r>
              <w:rPr>
                <w:b w:val="false"/>
                <w:bCs w:val="false"/>
                <w:color w:val="000000"/>
              </w:rPr>
              <w:t xml:space="preserve">$22.01 / mo</w:t>
            </w:r>
          </w:p>
        </w:tc>
        <w:tc>
          <w:tcPr>
            <w:tcW w:type="dxa" w:w="2900"/>
            <w:shd w:fill="EAF1F8" w:color="auto" w:val="clear"/>
            <w:tcMar>
              <w:top w:type="dxa" w:w="80"/>
              <w:left w:type="dxa" w:w="120"/>
              <w:bottom w:type="dxa" w:w="80"/>
              <w:right w:type="dxa" w:w="120"/>
            </w:tcMar>
          </w:tcPr>
          <w:p>
            <w:pPr>
              <w:jc w:val="left"/>
            </w:pPr>
            <w:r>
              <w:rPr>
                <w:b w:val="false"/>
                <w:bCs w:val="false"/>
                <w:color w:val="000000"/>
              </w:rPr>
              <w:t xml:space="preserve">—</w:t>
            </w:r>
          </w:p>
        </w:tc>
        <w:tc>
          <w:tcPr>
            <w:tcW w:type="dxa" w:w="2300"/>
            <w:shd w:fill="EAF1F8" w:color="auto" w:val="clear"/>
            <w:tcMar>
              <w:top w:type="dxa" w:w="80"/>
              <w:left w:type="dxa" w:w="120"/>
              <w:bottom w:type="dxa" w:w="80"/>
              <w:right w:type="dxa" w:w="120"/>
            </w:tcMar>
          </w:tcPr>
          <w:p>
            <w:pPr>
              <w:jc w:val="left"/>
            </w:pPr>
            <w:r>
              <w:rPr>
                <w:b w:val="false"/>
                <w:bCs w:val="false"/>
                <w:color w:val="000000"/>
              </w:rPr>
              <w:t xml:space="preserve">~$3.15–$4.74 / mo (compute) + fixed = ~$5.24–$6.83 / mo</w:t>
            </w:r>
          </w:p>
        </w:tc>
      </w:tr>
    </w:tbl>
    <w:p>
      <w:pPr>
        <w:spacing w:after="150" w:line="300"/>
      </w:pPr>
      <w:r>
        <w:t xml:space="preserve">Using a conservative midpoint (50% reduction on VM compute from rightsizing/scheduling, full removal of the orphaned disk), estimated new monthly spend is approximately $5.63, a reduction of about $16.38 (74%) from the current $22.01/month run rate. Even the most conservative scenario in the range above keeps the environment comfortably under the $20/month budget, versus being 10% over budget today.</w:t>
      </w:r>
    </w:p>
    <w:p>
      <w:pPr>
        <w:spacing w:after="150" w:before="200"/>
      </w:pPr>
      <w:r>
        <w:rPr>
          <w:b/>
          <w:bCs/>
          <w:color w:val="2E7D32"/>
        </w:rPr>
        <w:t xml:space="preserve">Bottom line: </w:t>
      </w:r>
      <w:r>
        <w:t xml:space="preserve">roughly three-quarters of this environment's monthly Azure bill is currently being spent on a disk that is doing no useful work. Removing it alone resolves the budget overage; rightsizing the VM compounds the saving further.</w:t>
      </w:r>
    </w:p>
    <w:p>
      <w:r>
        <w:br w:type="page"/>
      </w:r>
    </w:p>
    <w:p>
      <w:pPr>
        <w:pStyle w:val="Heading1"/>
        <w:pBdr>
          <w:bottom w:val="single" w:color="1F4E79" w:sz="8" w:space="4"/>
        </w:pBdr>
        <w:spacing w:after="200" w:before="400"/>
      </w:pPr>
      <w:r>
        <w:rPr>
          <w:b/>
          <w:bCs/>
          <w:color w:val="1F4E79"/>
          <w:sz w:val="30"/>
          <w:szCs w:val="30"/>
        </w:rPr>
        <w:t xml:space="preserve">6. Recommendations</w:t>
      </w:r>
    </w:p>
    <w:p>
      <w:pPr>
        <w:spacing w:after="150" w:line="300"/>
      </w:pPr>
      <w:r>
        <w:t xml:space="preserve">Recommendations are ordered by impact and ease of implementation. All are low-risk and reversible except disk deletion, which is flagged accordingly.</w:t>
      </w:r>
    </w:p>
    <w:p>
      <w:pPr>
        <w:pStyle w:val="Heading2"/>
        <w:spacing w:after="150" w:before="300"/>
      </w:pPr>
      <w:r>
        <w:rPr>
          <w:b/>
          <w:bCs/>
          <w:color w:val="2E75B6"/>
          <w:sz w:val="24"/>
          <w:szCs w:val="24"/>
        </w:rPr>
        <w:t xml:space="preserve">6.1 Priority 1 — Remove the orphaned disk</w:t>
      </w:r>
    </w:p>
    <w:p>
      <w:pPr>
        <w:spacing w:after="150" w:line="300"/>
      </w:pPr>
      <w:r>
        <w:t xml:space="preserve">Impact: ~$16.38/month (74% of current spend). Effort: Low. Risk: Confirm no data is needed before deleting.</w:t>
      </w:r>
    </w:p>
    <w:p>
      <w:pPr>
        <w:pStyle w:val="ListParagraph"/>
        <w:numPr>
          <w:ilvl w:val="0"/>
          <w:numId w:val="1"/>
        </w:numPr>
        <w:spacing w:after="80" w:line="280"/>
      </w:pPr>
      <w:r>
        <w:t xml:space="preserve">Open Azure Advisor › Cost recommendations → “Review disks that are not attached to a VM and evaluate if you still need the disks.”</w:t>
      </w:r>
    </w:p>
    <w:p>
      <w:pPr>
        <w:pStyle w:val="ListParagraph"/>
        <w:numPr>
          <w:ilvl w:val="0"/>
          <w:numId w:val="1"/>
        </w:numPr>
        <w:spacing w:after="80" w:line="280"/>
      </w:pPr>
      <w:r>
        <w:t xml:space="preserve">Verify the disk's content is not needed (check disk name/tags, creation date, and whether it corresponds to a deleted or resized VM).</w:t>
      </w:r>
    </w:p>
    <w:p>
      <w:pPr>
        <w:pStyle w:val="ListParagraph"/>
        <w:numPr>
          <w:ilvl w:val="0"/>
          <w:numId w:val="1"/>
        </w:numPr>
        <w:spacing w:after="80" w:line="280"/>
      </w:pPr>
      <w:r>
        <w:t xml:space="preserve">If not needed: delete the disk directly from the Cost-Audit resource group.</w:t>
      </w:r>
    </w:p>
    <w:p>
      <w:pPr>
        <w:pStyle w:val="ListParagraph"/>
        <w:numPr>
          <w:ilvl w:val="0"/>
          <w:numId w:val="1"/>
        </w:numPr>
        <w:spacing w:after="80" w:line="280"/>
      </w:pPr>
      <w:r>
        <w:t xml:space="preserve">If a snapshot might be needed later, take a low-cost snapshot before deleting the full disk — snapshots are billed at a fraction of the full managed-disk rate.</w:t>
      </w:r>
    </w:p>
    <w:p>
      <w:pPr>
        <w:pStyle w:val="Heading2"/>
        <w:spacing w:after="150" w:before="300"/>
      </w:pPr>
      <w:r>
        <w:rPr>
          <w:b/>
          <w:bCs/>
          <w:color w:val="2E75B6"/>
          <w:sz w:val="24"/>
          <w:szCs w:val="24"/>
        </w:rPr>
        <w:t xml:space="preserve">6.2 Priority 2 — Rightsize or schedule the virtual machine</w:t>
      </w:r>
    </w:p>
    <w:p>
      <w:pPr>
        <w:spacing w:after="150" w:line="300"/>
      </w:pPr>
      <w:r>
        <w:t xml:space="preserve">Impact: ~$0.88–$2.47/month, growing over time as the environment scales. Effort: Low–Medium. Risk: Low (reversible).</w:t>
      </w:r>
    </w:p>
    <w:p>
      <w:pPr>
        <w:pStyle w:val="ListParagraph"/>
        <w:numPr>
          <w:ilvl w:val="0"/>
          <w:numId w:val="1"/>
        </w:numPr>
        <w:spacing w:after="80" w:line="280"/>
      </w:pPr>
      <w:r>
        <w:t xml:space="preserve">Observed 7-day average CPU utilization is 0.17% on a Standard B2ls v2 — far below the burst threshold this size is built for.</w:t>
      </w:r>
    </w:p>
    <w:p>
      <w:pPr>
        <w:pStyle w:val="ListParagraph"/>
        <w:numPr>
          <w:ilvl w:val="0"/>
          <w:numId w:val="1"/>
        </w:numPr>
        <w:spacing w:after="80" w:line="280"/>
      </w:pPr>
      <w:r>
        <w:t xml:space="preserve">Enable Auto-shutdown (currently “Not enabled”) for a fixed schedule (e.g., shut down outside working hours) if this is a dev/test workload.</w:t>
      </w:r>
    </w:p>
    <w:p>
      <w:pPr>
        <w:pStyle w:val="ListParagraph"/>
        <w:numPr>
          <w:ilvl w:val="0"/>
          <w:numId w:val="1"/>
        </w:numPr>
        <w:spacing w:after="80" w:line="280"/>
      </w:pPr>
      <w:r>
        <w:t xml:space="preserve">If the workload is truly always-idle, evaluate downsizing to a smaller burstable SKU (e.g., B1ls) or consolidating onto a shared dev VM.</w:t>
      </w:r>
    </w:p>
    <w:p>
      <w:pPr>
        <w:pStyle w:val="ListParagraph"/>
        <w:numPr>
          <w:ilvl w:val="0"/>
          <w:numId w:val="1"/>
        </w:numPr>
        <w:spacing w:after="80" w:line="280"/>
      </w:pPr>
      <w:r>
        <w:t xml:space="preserve">Re-check Azure Monitor CPU/memory metrics after 1–2 weeks of normal use before committing to a permanent size change.</w:t>
      </w:r>
    </w:p>
    <w:p>
      <w:pPr>
        <w:pStyle w:val="Heading2"/>
        <w:spacing w:after="150" w:before="300"/>
      </w:pPr>
      <w:r>
        <w:rPr>
          <w:b/>
          <w:bCs/>
          <w:color w:val="2E75B6"/>
          <w:sz w:val="24"/>
          <w:szCs w:val="24"/>
        </w:rPr>
        <w:t xml:space="preserve">6.3 Priority 3 — Institutionalize the review (make this repeatable)</w:t>
      </w:r>
    </w:p>
    <w:p>
      <w:pPr>
        <w:spacing w:after="150" w:line="300"/>
      </w:pPr>
      <w:r>
        <w:t xml:space="preserve">Impact: Prevents future orphaned-resource and over-provisioning costs from recurring. Effort: Low (one-time setup).</w:t>
      </w:r>
    </w:p>
    <w:p>
      <w:pPr>
        <w:pStyle w:val="ListParagraph"/>
        <w:numPr>
          <w:ilvl w:val="0"/>
          <w:numId w:val="1"/>
        </w:numPr>
        <w:spacing w:after="80" w:line="280"/>
      </w:pPr>
      <w:r>
        <w:t xml:space="preserve">Create a Cost Management budget alert (in addition to the existing $20/mo budget) that notifies the team by email when actual or forecasted cost crosses 80% of budget — this audit's overage was visible in Cost Analysis but no alert had fired.</w:t>
      </w:r>
    </w:p>
    <w:p>
      <w:pPr>
        <w:pStyle w:val="ListParagraph"/>
        <w:numPr>
          <w:ilvl w:val="0"/>
          <w:numId w:val="1"/>
        </w:numPr>
        <w:spacing w:after="80" w:line="280"/>
      </w:pPr>
      <w:r>
        <w:t xml:space="preserve">Schedule a recurring Advisor “recommendation digest” (available directly from the Advisor recommendations screen) so cost recommendations land in someone's inbox automatically instead of requiring a manual portal visit.</w:t>
      </w:r>
    </w:p>
    <w:p>
      <w:pPr>
        <w:pStyle w:val="ListParagraph"/>
        <w:numPr>
          <w:ilvl w:val="0"/>
          <w:numId w:val="1"/>
        </w:numPr>
        <w:spacing w:after="80" w:line="280"/>
      </w:pPr>
      <w:r>
        <w:t xml:space="preserve">Tag all resources with an owner and environment (dev/test/prod) so orphaned resources are traceable back to a person or project when Advisor flags them.</w:t>
      </w:r>
    </w:p>
    <w:p>
      <w:pPr>
        <w:pStyle w:val="ListParagraph"/>
        <w:numPr>
          <w:ilvl w:val="0"/>
          <w:numId w:val="1"/>
        </w:numPr>
        <w:spacing w:after="80" w:line="280"/>
      </w:pPr>
      <w:r>
        <w:t xml:space="preserve">Repeat this 4-step audit (usage review → cost analysis → Advisor pull → before/after comparison) monthly, or automate it as the audited MVP is extended.</w:t>
      </w:r>
    </w:p>
    <w:p>
      <w:pPr>
        <w:pStyle w:val="Heading2"/>
        <w:spacing w:after="150" w:before="300"/>
      </w:pPr>
      <w:r>
        <w:rPr>
          <w:b/>
          <w:bCs/>
          <w:color w:val="2E75B6"/>
          <w:sz w:val="24"/>
          <w:szCs w:val="24"/>
        </w:rPr>
        <w:t xml:space="preserve">6.4 Summary of recommended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200"/>
        <w:gridCol w:w="1200"/>
        <w:gridCol w:w="1600"/>
      </w:tblGrid>
      <w:tr>
        <w:trPr>
          <w:tblHeader/>
        </w:trPr>
        <w:tc>
          <w:tcPr>
            <w:tcW w:type="dxa" w:w="700"/>
            <w:shd w:fill="1F4E79" w:color="auto" w:val="clear"/>
            <w:tcMar>
              <w:top w:type="dxa" w:w="80"/>
              <w:left w:type="dxa" w:w="120"/>
              <w:bottom w:type="dxa" w:w="80"/>
              <w:right w:type="dxa" w:w="120"/>
            </w:tcMar>
          </w:tcPr>
          <w:p>
            <w:pPr>
              <w:jc w:val="left"/>
            </w:pPr>
            <w:r>
              <w:rPr>
                <w:b/>
                <w:bCs/>
                <w:color w:val="FFFFFF"/>
              </w:rPr>
              <w:t xml:space="preserve">#</w:t>
            </w:r>
          </w:p>
        </w:tc>
        <w:tc>
          <w:tcPr>
            <w:tcW w:type="dxa" w:w="4300"/>
            <w:shd w:fill="1F4E79" w:color="auto" w:val="clear"/>
            <w:tcMar>
              <w:top w:type="dxa" w:w="80"/>
              <w:left w:type="dxa" w:w="120"/>
              <w:bottom w:type="dxa" w:w="80"/>
              <w:right w:type="dxa" w:w="120"/>
            </w:tcMar>
          </w:tcPr>
          <w:p>
            <w:pPr>
              <w:jc w:val="left"/>
            </w:pPr>
            <w:r>
              <w:rPr>
                <w:b/>
                <w:bCs/>
                <w:color w:val="FFFFFF"/>
              </w:rPr>
              <w:t xml:space="preserve">Recommendation</w:t>
            </w:r>
          </w:p>
        </w:tc>
        <w:tc>
          <w:tcPr>
            <w:tcW w:type="dxa" w:w="2200"/>
            <w:shd w:fill="1F4E79" w:color="auto" w:val="clear"/>
            <w:tcMar>
              <w:top w:type="dxa" w:w="80"/>
              <w:left w:type="dxa" w:w="120"/>
              <w:bottom w:type="dxa" w:w="80"/>
              <w:right w:type="dxa" w:w="120"/>
            </w:tcMar>
          </w:tcPr>
          <w:p>
            <w:pPr>
              <w:jc w:val="left"/>
            </w:pPr>
            <w:r>
              <w:rPr>
                <w:b/>
                <w:bCs/>
                <w:color w:val="FFFFFF"/>
              </w:rPr>
              <w:t xml:space="preserve">Est. monthly saving</w:t>
            </w:r>
          </w:p>
        </w:tc>
        <w:tc>
          <w:tcPr>
            <w:tcW w:type="dxa" w:w="1200"/>
            <w:shd w:fill="1F4E79" w:color="auto" w:val="clear"/>
            <w:tcMar>
              <w:top w:type="dxa" w:w="80"/>
              <w:left w:type="dxa" w:w="120"/>
              <w:bottom w:type="dxa" w:w="80"/>
              <w:right w:type="dxa" w:w="120"/>
            </w:tcMar>
          </w:tcPr>
          <w:p>
            <w:pPr>
              <w:jc w:val="left"/>
            </w:pPr>
            <w:r>
              <w:rPr>
                <w:b/>
                <w:bCs/>
                <w:color w:val="FFFFFF"/>
              </w:rPr>
              <w:t xml:space="preserve">Effort</w:t>
            </w:r>
          </w:p>
        </w:tc>
        <w:tc>
          <w:tcPr>
            <w:tcW w:type="dxa" w:w="1600"/>
            <w:shd w:fill="1F4E79" w:color="auto" w:val="clear"/>
            <w:tcMar>
              <w:top w:type="dxa" w:w="80"/>
              <w:left w:type="dxa" w:w="120"/>
              <w:bottom w:type="dxa" w:w="80"/>
              <w:right w:type="dxa" w:w="120"/>
            </w:tcMar>
          </w:tcPr>
          <w:p>
            <w:pPr>
              <w:jc w:val="left"/>
            </w:pPr>
            <w:r>
              <w:rPr>
                <w:b/>
                <w:bCs/>
                <w:color w:val="FFFFFF"/>
              </w:rPr>
              <w:t xml:space="preserve">Risk</w:t>
            </w:r>
          </w:p>
        </w:tc>
      </w:tr>
      <w:tr>
        <w:tc>
          <w:tcPr>
            <w:tcW w:type="dxa" w:w="700"/>
            <w:tcMar>
              <w:top w:type="dxa" w:w="80"/>
              <w:left w:type="dxa" w:w="120"/>
              <w:bottom w:type="dxa" w:w="80"/>
              <w:right w:type="dxa" w:w="120"/>
            </w:tcMar>
          </w:tcPr>
          <w:p>
            <w:pPr>
              <w:jc w:val="left"/>
            </w:pPr>
            <w:r>
              <w:rPr>
                <w:b w:val="false"/>
                <w:bCs w:val="false"/>
                <w:color w:val="000000"/>
              </w:rPr>
              <w:t xml:space="preserve">1</w:t>
            </w:r>
          </w:p>
        </w:tc>
        <w:tc>
          <w:tcPr>
            <w:tcW w:type="dxa" w:w="4300"/>
            <w:tcMar>
              <w:top w:type="dxa" w:w="80"/>
              <w:left w:type="dxa" w:w="120"/>
              <w:bottom w:type="dxa" w:w="80"/>
              <w:right w:type="dxa" w:w="120"/>
            </w:tcMar>
          </w:tcPr>
          <w:p>
            <w:pPr>
              <w:jc w:val="left"/>
            </w:pPr>
            <w:r>
              <w:rPr>
                <w:b w:val="false"/>
                <w:bCs w:val="false"/>
                <w:color w:val="000000"/>
              </w:rPr>
              <w:t xml:space="preserve">Delete/reassess orphaned disk</w:t>
            </w:r>
          </w:p>
        </w:tc>
        <w:tc>
          <w:tcPr>
            <w:tcW w:type="dxa" w:w="2200"/>
            <w:tcMar>
              <w:top w:type="dxa" w:w="80"/>
              <w:left w:type="dxa" w:w="120"/>
              <w:bottom w:type="dxa" w:w="80"/>
              <w:right w:type="dxa" w:w="120"/>
            </w:tcMar>
          </w:tcPr>
          <w:p>
            <w:pPr>
              <w:jc w:val="left"/>
            </w:pPr>
            <w:r>
              <w:rPr>
                <w:b w:val="false"/>
                <w:bCs w:val="false"/>
                <w:color w:val="000000"/>
              </w:rPr>
              <w:t xml:space="preserve">$16.38</w:t>
            </w:r>
          </w:p>
        </w:tc>
        <w:tc>
          <w:tcPr>
            <w:tcW w:type="dxa" w:w="1200"/>
            <w:tcMar>
              <w:top w:type="dxa" w:w="80"/>
              <w:left w:type="dxa" w:w="120"/>
              <w:bottom w:type="dxa" w:w="80"/>
              <w:right w:type="dxa" w:w="120"/>
            </w:tcMar>
          </w:tcPr>
          <w:p>
            <w:pPr>
              <w:jc w:val="left"/>
            </w:pPr>
            <w:r>
              <w:rPr>
                <w:b w:val="false"/>
                <w:bCs w:val="false"/>
                <w:color w:val="000000"/>
              </w:rPr>
              <w:t xml:space="preserve">Low</w:t>
            </w:r>
          </w:p>
        </w:tc>
        <w:tc>
          <w:tcPr>
            <w:tcW w:type="dxa" w:w="1600"/>
            <w:tcMar>
              <w:top w:type="dxa" w:w="80"/>
              <w:left w:type="dxa" w:w="120"/>
              <w:bottom w:type="dxa" w:w="80"/>
              <w:right w:type="dxa" w:w="120"/>
            </w:tcMar>
          </w:tcPr>
          <w:p>
            <w:pPr>
              <w:jc w:val="left"/>
            </w:pPr>
            <w:r>
              <w:rPr>
                <w:b w:val="false"/>
                <w:bCs w:val="false"/>
                <w:color w:val="000000"/>
              </w:rPr>
              <w:t xml:space="preserve">Low (verify first)</w:t>
            </w:r>
          </w:p>
        </w:tc>
      </w:tr>
      <w:tr>
        <w:tc>
          <w:tcPr>
            <w:tcW w:type="dxa" w:w="700"/>
            <w:shd w:fill="EAF1F8" w:color="auto" w:val="clear"/>
            <w:tcMar>
              <w:top w:type="dxa" w:w="80"/>
              <w:left w:type="dxa" w:w="120"/>
              <w:bottom w:type="dxa" w:w="80"/>
              <w:right w:type="dxa" w:w="120"/>
            </w:tcMar>
          </w:tcPr>
          <w:p>
            <w:pPr>
              <w:jc w:val="left"/>
            </w:pPr>
            <w:r>
              <w:rPr>
                <w:b w:val="false"/>
                <w:bCs w:val="false"/>
                <w:color w:val="000000"/>
              </w:rPr>
              <w:t xml:space="preserve">2</w:t>
            </w:r>
          </w:p>
        </w:tc>
        <w:tc>
          <w:tcPr>
            <w:tcW w:type="dxa" w:w="4300"/>
            <w:shd w:fill="EAF1F8" w:color="auto" w:val="clear"/>
            <w:tcMar>
              <w:top w:type="dxa" w:w="80"/>
              <w:left w:type="dxa" w:w="120"/>
              <w:bottom w:type="dxa" w:w="80"/>
              <w:right w:type="dxa" w:w="120"/>
            </w:tcMar>
          </w:tcPr>
          <w:p>
            <w:pPr>
              <w:jc w:val="left"/>
            </w:pPr>
            <w:r>
              <w:rPr>
                <w:b w:val="false"/>
                <w:bCs w:val="false"/>
                <w:color w:val="000000"/>
              </w:rPr>
              <w:t xml:space="preserve">Auto-shutdown / rightsize VM</w:t>
            </w:r>
          </w:p>
        </w:tc>
        <w:tc>
          <w:tcPr>
            <w:tcW w:type="dxa" w:w="2200"/>
            <w:shd w:fill="EAF1F8" w:color="auto" w:val="clear"/>
            <w:tcMar>
              <w:top w:type="dxa" w:w="80"/>
              <w:left w:type="dxa" w:w="120"/>
              <w:bottom w:type="dxa" w:w="80"/>
              <w:right w:type="dxa" w:w="120"/>
            </w:tcMar>
          </w:tcPr>
          <w:p>
            <w:pPr>
              <w:jc w:val="left"/>
            </w:pPr>
            <w:r>
              <w:rPr>
                <w:b w:val="false"/>
                <w:bCs w:val="false"/>
                <w:color w:val="000000"/>
              </w:rPr>
              <w:t xml:space="preserve">$0.88–$2.47</w:t>
            </w:r>
          </w:p>
        </w:tc>
        <w:tc>
          <w:tcPr>
            <w:tcW w:type="dxa" w:w="1200"/>
            <w:shd w:fill="EAF1F8" w:color="auto" w:val="clear"/>
            <w:tcMar>
              <w:top w:type="dxa" w:w="80"/>
              <w:left w:type="dxa" w:w="120"/>
              <w:bottom w:type="dxa" w:w="80"/>
              <w:right w:type="dxa" w:w="120"/>
            </w:tcMar>
          </w:tcPr>
          <w:p>
            <w:pPr>
              <w:jc w:val="left"/>
            </w:pPr>
            <w:r>
              <w:rPr>
                <w:b w:val="false"/>
                <w:bCs w:val="false"/>
                <w:color w:val="000000"/>
              </w:rPr>
              <w:t xml:space="preserve">Low–Medium</w:t>
            </w:r>
          </w:p>
        </w:tc>
        <w:tc>
          <w:tcPr>
            <w:tcW w:type="dxa" w:w="1600"/>
            <w:shd w:fill="EAF1F8" w:color="auto" w:val="clear"/>
            <w:tcMar>
              <w:top w:type="dxa" w:w="80"/>
              <w:left w:type="dxa" w:w="120"/>
              <w:bottom w:type="dxa" w:w="80"/>
              <w:right w:type="dxa" w:w="120"/>
            </w:tcMar>
          </w:tcPr>
          <w:p>
            <w:pPr>
              <w:jc w:val="left"/>
            </w:pPr>
            <w:r>
              <w:rPr>
                <w:b w:val="false"/>
                <w:bCs w:val="false"/>
                <w:color w:val="000000"/>
              </w:rPr>
              <w:t xml:space="preserve">Low</w:t>
            </w:r>
          </w:p>
        </w:tc>
      </w:tr>
      <w:tr>
        <w:tc>
          <w:tcPr>
            <w:tcW w:type="dxa" w:w="700"/>
            <w:tcMar>
              <w:top w:type="dxa" w:w="80"/>
              <w:left w:type="dxa" w:w="120"/>
              <w:bottom w:type="dxa" w:w="80"/>
              <w:right w:type="dxa" w:w="120"/>
            </w:tcMar>
          </w:tcPr>
          <w:p>
            <w:pPr>
              <w:jc w:val="left"/>
            </w:pPr>
            <w:r>
              <w:rPr>
                <w:b w:val="false"/>
                <w:bCs w:val="false"/>
                <w:color w:val="000000"/>
              </w:rPr>
              <w:t xml:space="preserve">3</w:t>
            </w:r>
          </w:p>
        </w:tc>
        <w:tc>
          <w:tcPr>
            <w:tcW w:type="dxa" w:w="4300"/>
            <w:tcMar>
              <w:top w:type="dxa" w:w="80"/>
              <w:left w:type="dxa" w:w="120"/>
              <w:bottom w:type="dxa" w:w="80"/>
              <w:right w:type="dxa" w:w="120"/>
            </w:tcMar>
          </w:tcPr>
          <w:p>
            <w:pPr>
              <w:jc w:val="left"/>
            </w:pPr>
            <w:r>
              <w:rPr>
                <w:b w:val="false"/>
                <w:bCs w:val="false"/>
                <w:color w:val="000000"/>
              </w:rPr>
              <w:t xml:space="preserve">Budget alerts + recommendation digest + tagging</w:t>
            </w:r>
          </w:p>
        </w:tc>
        <w:tc>
          <w:tcPr>
            <w:tcW w:type="dxa" w:w="2200"/>
            <w:tcMar>
              <w:top w:type="dxa" w:w="80"/>
              <w:left w:type="dxa" w:w="120"/>
              <w:bottom w:type="dxa" w:w="80"/>
              <w:right w:type="dxa" w:w="120"/>
            </w:tcMar>
          </w:tcPr>
          <w:p>
            <w:pPr>
              <w:jc w:val="left"/>
            </w:pPr>
            <w:r>
              <w:rPr>
                <w:b w:val="false"/>
                <w:bCs w:val="false"/>
                <w:color w:val="000000"/>
              </w:rPr>
              <w:t xml:space="preserve">Preventive (not one-off)</w:t>
            </w:r>
          </w:p>
        </w:tc>
        <w:tc>
          <w:tcPr>
            <w:tcW w:type="dxa" w:w="1200"/>
            <w:tcMar>
              <w:top w:type="dxa" w:w="80"/>
              <w:left w:type="dxa" w:w="120"/>
              <w:bottom w:type="dxa" w:w="80"/>
              <w:right w:type="dxa" w:w="120"/>
            </w:tcMar>
          </w:tcPr>
          <w:p>
            <w:pPr>
              <w:jc w:val="left"/>
            </w:pPr>
            <w:r>
              <w:rPr>
                <w:b w:val="false"/>
                <w:bCs w:val="false"/>
                <w:color w:val="000000"/>
              </w:rPr>
              <w:t xml:space="preserve">Low</w:t>
            </w:r>
          </w:p>
        </w:tc>
        <w:tc>
          <w:tcPr>
            <w:tcW w:type="dxa" w:w="1600"/>
            <w:tcMar>
              <w:top w:type="dxa" w:w="80"/>
              <w:left w:type="dxa" w:w="120"/>
              <w:bottom w:type="dxa" w:w="80"/>
              <w:right w:type="dxa" w:w="120"/>
            </w:tcMar>
          </w:tcPr>
          <w:p>
            <w:pPr>
              <w:jc w:val="left"/>
            </w:pPr>
            <w:r>
              <w:rPr>
                <w:b w:val="false"/>
                <w:bCs w:val="false"/>
                <w:color w:val="000000"/>
              </w:rPr>
              <w:t xml:space="preserve">None</w:t>
            </w:r>
          </w:p>
        </w:tc>
      </w:tr>
    </w:tbl>
    <w:p>
      <w:pPr>
        <w:pStyle w:val="Heading1"/>
        <w:pBdr>
          <w:bottom w:val="single" w:color="1F4E79" w:sz="8" w:space="4"/>
        </w:pBdr>
        <w:spacing w:after="200" w:before="400"/>
      </w:pPr>
      <w:r>
        <w:rPr>
          <w:b/>
          <w:bCs/>
          <w:color w:val="1F4E79"/>
          <w:sz w:val="30"/>
          <w:szCs w:val="30"/>
        </w:rPr>
        <w:t xml:space="preserve">7. Conclusion</w:t>
      </w:r>
    </w:p>
    <w:p>
      <w:pPr>
        <w:spacing w:after="150" w:line="300"/>
      </w:pPr>
      <w:r>
        <w:t xml:space="preserve">This audit set out to demonstrate a lightweight, repeatable cloud cost optimization workflow suited to early-stage startups that lack dedicated FinOps resources. Using only native Azure tooling — Cost Management, Azure Advisor, and Azure Monitor — a single unattached disk was identified as responsible for nearly three-quarters of the audited environment's monthly spend, alongside a virtual machine running at under 1% of its provisioned CPU capacity.</w:t>
      </w:r>
    </w:p>
    <w:p>
      <w:pPr>
        <w:spacing w:after="150" w:line="300"/>
      </w:pPr>
      <w:r>
        <w:t xml:space="preserve">Acting on the two priority recommendations in Section 6 is projected to reduce monthly spend from $22.01 to roughly $5.24–$6.83 — bringing a currently over-budget environment to well under 35% of its $20/month budget — with no loss of functionality and minimal engineering effort. The third recommendation (alerts, digests, tagging) is what turns this from a one-time saving into a durable, repeatable practice, which is the outcome startups actually need to stop overspending on cloud services on an ongoing basis.</w:t>
      </w:r>
    </w:p>
    <w:p>
      <w:r>
        <w:br w:type="page"/>
      </w:r>
    </w:p>
    <w:p>
      <w:pPr>
        <w:pStyle w:val="Heading1"/>
        <w:pBdr>
          <w:bottom w:val="single" w:color="1F4E79" w:sz="8" w:space="4"/>
        </w:pBdr>
        <w:spacing w:after="200" w:before="400"/>
      </w:pPr>
      <w:r>
        <w:rPr>
          <w:b/>
          <w:bCs/>
          <w:color w:val="1F4E79"/>
          <w:sz w:val="30"/>
          <w:szCs w:val="30"/>
        </w:rPr>
        <w:t xml:space="preserve">Appendix A — Source Screenshots</w:t>
      </w:r>
    </w:p>
    <w:p>
      <w:pPr>
        <w:spacing w:after="150" w:line="300"/>
      </w:pPr>
      <w:r>
        <w:t xml:space="preserve">All figures referenced in this report were captured directly from the Azure Portal for the Cost-Audit resource group / Azure subscription 1 between August 4–5, 2026, and are reproduced in full in Section 3–4 above. No data has been altered; dollar figures and percentages are transcribed as-shown.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dbcf22b1ca84cd5576d151c0631b095881fdf8.png"/><Relationship Id="rId8" Type="http://schemas.openxmlformats.org/officeDocument/2006/relationships/image" Target="media/2ce4b1a02ae7cb45a1584931c2d9b251ac0c88ee.png"/><Relationship Id="rId9" Type="http://schemas.openxmlformats.org/officeDocument/2006/relationships/image" Target="media/233166113e76576187043feb94679f9b4aa6778c.png"/><Relationship Id="rId10" Type="http://schemas.openxmlformats.org/officeDocument/2006/relationships/image" Target="media/c5b5c19ff6e3c8ad26ec098f80b9d1283d892905.png"/><Relationship Id="rId11" Type="http://schemas.openxmlformats.org/officeDocument/2006/relationships/image" Target="media/0490041a8873cf588e47afb84c217b748fd17136.png"/><Relationship Id="rId12" Type="http://schemas.openxmlformats.org/officeDocument/2006/relationships/image" Target="media/b240d86d62dcdac7508de76ad371e6761a8e209e.png"/><Relationship Id="rId13" Type="http://schemas.openxmlformats.org/officeDocument/2006/relationships/image" Target="media/8a93c77edd56a3e7cc48a7a7ae7d1387b447601c.png"/><Relationship Id="rId14" Type="http://schemas.openxmlformats.org/officeDocument/2006/relationships/image" Target="media/10570808867c49ce6cd220af66d1a576e96ce15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2026-08-08T12:51:08.960Z</dcterms:created>
  <dcterms:modified xsi:type="dcterms:W3CDTF">2026-08-08T12:51:08.961Z</dcterms:modified>
</cp:coreProperties>
</file>

<file path=docProps/custom.xml><?xml version="1.0" encoding="utf-8"?>
<Properties xmlns="http://schemas.openxmlformats.org/officeDocument/2006/custom-properties" xmlns:vt="http://schemas.openxmlformats.org/officeDocument/2006/docPropsVTypes"/>
</file>