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jc w:val="center"/>
      </w:pPr>
      <w:r>
        <w:rPr>
          <w:b/>
          <w:bCs/>
          <w:color w:val="1F3864"/>
          <w:sz w:val="44"/>
          <w:szCs w:val="44"/>
        </w:rPr>
        <w:t xml:space="preserve">CLOUD COST OPTIMIZATION AUDIT REPORT</w:t>
      </w:r>
    </w:p>
    <w:p>
      <w:pPr>
        <w:spacing w:after="100" w:before="200"/>
        <w:jc w:val="center"/>
      </w:pPr>
      <w:r>
        <w:rPr>
          <w:color w:val="2E74B5"/>
          <w:sz w:val="26"/>
          <w:szCs w:val="26"/>
        </w:rPr>
        <w:t xml:space="preserve">Capstone Project — Cloud Cost Optimization for Early-Stage Nigerian Startups</w:t>
      </w:r>
    </w:p>
    <w:p>
      <w:pPr>
        <w:spacing w:after="600" w:before="100"/>
        <w:jc w:val="center"/>
      </w:pPr>
      <w:r>
        <w:rPr>
          <w:i/>
          <w:iCs/>
          <w:color w:val="595959"/>
          <w:sz w:val="22"/>
          <w:szCs w:val="22"/>
        </w:rPr>
        <w:t xml:space="preserve">Sample Environment Audit: Microsoft Azure</w:t>
      </w:r>
    </w:p>
    <w:p>
      <w:pPr>
        <w:spacing w:before="400"/>
        <w:jc w:val="center"/>
      </w:pPr>
      <w:r>
        <w:rPr>
          <w:b/>
          <w:bCs/>
          <w:color w:val="1F3864"/>
          <w:sz w:val="22"/>
          <w:szCs w:val="22"/>
        </w:rPr>
        <w:t xml:space="preserve">Problem Context</w:t>
      </w:r>
    </w:p>
    <w:p>
      <w:pPr>
        <w:spacing w:after="400" w:before="100"/>
        <w:jc w:val="center"/>
      </w:pPr>
      <w:r>
        <w:rPr>
          <w:color w:val="404040"/>
          <w:sz w:val="20"/>
          <w:szCs w:val="20"/>
        </w:rPr>
        <w:t xml:space="preserve">Early-stage startups frequently overspend on cloud infrastructure due to unattached resources, oversized compute, and a lack of ongoing usage review. This audit demonstrates a repeatable process for identifying and eliminating that waste.</w:t>
      </w:r>
    </w:p>
    <w:tbl>
      <w:tblPr>
        <w:tblW w:type="dxa" w:w="8000"/>
        <w:jc w:val="center"/>
        <w:tblBorders>
          <w:top w:val="single" w:color="auto" w:sz="4"/>
          <w:left w:val="single" w:color="auto" w:sz="4"/>
          <w:bottom w:val="single" w:color="auto" w:sz="4"/>
          <w:right w:val="single" w:color="auto" w:sz="4"/>
          <w:insideH w:val="single" w:color="auto" w:sz="4"/>
          <w:insideV w:val="single" w:color="auto" w:sz="4"/>
        </w:tblBorders>
      </w:tblPr>
      <w:tblGrid>
        <w:gridCol w:w="3000"/>
        <w:gridCol w:w="5000"/>
      </w:tblGrid>
      <w:tr>
        <w:tc>
          <w:tcPr>
            <w:tcW w:type="dxa" w:w="3000"/>
            <w:shd w:fill="DDEBF7" w:val="clear"/>
            <w:tcMar>
              <w:top w:type="dxa" w:w="80"/>
              <w:left w:type="dxa" w:w="100"/>
              <w:bottom w:type="dxa" w:w="80"/>
              <w:right w:type="dxa" w:w="100"/>
            </w:tcMar>
            <w:vAlign w:val="center"/>
          </w:tcPr>
          <w:p>
            <w:pPr>
              <w:jc w:val="left"/>
            </w:pPr>
            <w:r>
              <w:rPr>
                <w:b/>
                <w:bCs/>
                <w:color w:val="000000"/>
                <w:sz w:val="20"/>
                <w:szCs w:val="20"/>
              </w:rPr>
              <w:t xml:space="preserve">Subscription</w:t>
            </w:r>
          </w:p>
        </w:tc>
        <w:tc>
          <w:tcPr>
            <w:tcW w:type="dxa" w:w="5000"/>
            <w:tcMar>
              <w:top w:type="dxa" w:w="80"/>
              <w:left w:type="dxa" w:w="100"/>
              <w:bottom w:type="dxa" w:w="80"/>
              <w:right w:type="dxa" w:w="100"/>
            </w:tcMar>
            <w:vAlign w:val="center"/>
          </w:tcPr>
          <w:p>
            <w:pPr>
              <w:jc w:val="left"/>
            </w:pPr>
            <w:r>
              <w:rPr>
                <w:b w:val="false"/>
                <w:bCs w:val="false"/>
                <w:color w:val="000000"/>
                <w:sz w:val="20"/>
                <w:szCs w:val="20"/>
              </w:rPr>
              <w:t xml:space="preserve">Azure subscription 1</w:t>
            </w:r>
          </w:p>
        </w:tc>
      </w:tr>
      <w:tr>
        <w:tc>
          <w:tcPr>
            <w:tcW w:type="dxa" w:w="3000"/>
            <w:shd w:fill="DDEBF7" w:val="clear"/>
            <w:tcMar>
              <w:top w:type="dxa" w:w="80"/>
              <w:left w:type="dxa" w:w="100"/>
              <w:bottom w:type="dxa" w:w="80"/>
              <w:right w:type="dxa" w:w="100"/>
            </w:tcMar>
            <w:vAlign w:val="center"/>
          </w:tcPr>
          <w:p>
            <w:pPr>
              <w:jc w:val="left"/>
            </w:pPr>
            <w:r>
              <w:rPr>
                <w:b/>
                <w:bCs/>
                <w:color w:val="000000"/>
                <w:sz w:val="20"/>
                <w:szCs w:val="20"/>
              </w:rPr>
              <w:t xml:space="preserve">Resource Group Audited</w:t>
            </w:r>
          </w:p>
        </w:tc>
        <w:tc>
          <w:tcPr>
            <w:tcW w:type="dxa" w:w="5000"/>
            <w:tcMar>
              <w:top w:type="dxa" w:w="80"/>
              <w:left w:type="dxa" w:w="100"/>
              <w:bottom w:type="dxa" w:w="80"/>
              <w:right w:type="dxa" w:w="100"/>
            </w:tcMar>
            <w:vAlign w:val="center"/>
          </w:tcPr>
          <w:p>
            <w:pPr>
              <w:jc w:val="left"/>
            </w:pPr>
            <w:r>
              <w:rPr>
                <w:b w:val="false"/>
                <w:bCs w:val="false"/>
                <w:color w:val="000000"/>
                <w:sz w:val="20"/>
                <w:szCs w:val="20"/>
              </w:rPr>
              <w:t xml:space="preserve">Cost-Audit</w:t>
            </w:r>
          </w:p>
        </w:tc>
      </w:tr>
      <w:tr>
        <w:tc>
          <w:tcPr>
            <w:tcW w:type="dxa" w:w="3000"/>
            <w:shd w:fill="DDEBF7" w:val="clear"/>
            <w:tcMar>
              <w:top w:type="dxa" w:w="80"/>
              <w:left w:type="dxa" w:w="100"/>
              <w:bottom w:type="dxa" w:w="80"/>
              <w:right w:type="dxa" w:w="100"/>
            </w:tcMar>
            <w:vAlign w:val="center"/>
          </w:tcPr>
          <w:p>
            <w:pPr>
              <w:jc w:val="left"/>
            </w:pPr>
            <w:r>
              <w:rPr>
                <w:b/>
                <w:bCs/>
                <w:color w:val="000000"/>
                <w:sz w:val="20"/>
                <w:szCs w:val="20"/>
              </w:rPr>
              <w:t xml:space="preserve">Region</w:t>
            </w:r>
          </w:p>
        </w:tc>
        <w:tc>
          <w:tcPr>
            <w:tcW w:type="dxa" w:w="5000"/>
            <w:tcMar>
              <w:top w:type="dxa" w:w="80"/>
              <w:left w:type="dxa" w:w="100"/>
              <w:bottom w:type="dxa" w:w="80"/>
              <w:right w:type="dxa" w:w="100"/>
            </w:tcMar>
            <w:vAlign w:val="center"/>
          </w:tcPr>
          <w:p>
            <w:pPr>
              <w:jc w:val="left"/>
            </w:pPr>
            <w:r>
              <w:rPr>
                <w:b w:val="false"/>
                <w:bCs w:val="false"/>
                <w:color w:val="000000"/>
                <w:sz w:val="20"/>
                <w:szCs w:val="20"/>
              </w:rPr>
              <w:t xml:space="preserve">South Africa North</w:t>
            </w:r>
          </w:p>
        </w:tc>
      </w:tr>
      <w:tr>
        <w:tc>
          <w:tcPr>
            <w:tcW w:type="dxa" w:w="3000"/>
            <w:shd w:fill="DDEBF7" w:val="clear"/>
            <w:tcMar>
              <w:top w:type="dxa" w:w="80"/>
              <w:left w:type="dxa" w:w="100"/>
              <w:bottom w:type="dxa" w:w="80"/>
              <w:right w:type="dxa" w:w="100"/>
            </w:tcMar>
            <w:vAlign w:val="center"/>
          </w:tcPr>
          <w:p>
            <w:pPr>
              <w:jc w:val="left"/>
            </w:pPr>
            <w:r>
              <w:rPr>
                <w:b/>
                <w:bCs/>
                <w:color w:val="000000"/>
                <w:sz w:val="20"/>
                <w:szCs w:val="20"/>
              </w:rPr>
              <w:t xml:space="preserve">Audit Window</w:t>
            </w:r>
          </w:p>
        </w:tc>
        <w:tc>
          <w:tcPr>
            <w:tcW w:type="dxa" w:w="5000"/>
            <w:tcMar>
              <w:top w:type="dxa" w:w="80"/>
              <w:left w:type="dxa" w:w="100"/>
              <w:bottom w:type="dxa" w:w="80"/>
              <w:right w:type="dxa" w:w="100"/>
            </w:tcMar>
            <w:vAlign w:val="center"/>
          </w:tcPr>
          <w:p>
            <w:pPr>
              <w:jc w:val="left"/>
            </w:pPr>
            <w:r>
              <w:rPr>
                <w:b w:val="false"/>
                <w:bCs w:val="false"/>
                <w:color w:val="000000"/>
                <w:sz w:val="20"/>
                <w:szCs w:val="20"/>
              </w:rPr>
              <w:t xml:space="preserve">August 1 – August 5, 2026 (billing period Aug 2026)</w:t>
            </w:r>
          </w:p>
        </w:tc>
      </w:tr>
      <w:tr>
        <w:tc>
          <w:tcPr>
            <w:tcW w:type="dxa" w:w="3000"/>
            <w:shd w:fill="DDEBF7" w:val="clear"/>
            <w:tcMar>
              <w:top w:type="dxa" w:w="80"/>
              <w:left w:type="dxa" w:w="100"/>
              <w:bottom w:type="dxa" w:w="80"/>
              <w:right w:type="dxa" w:w="100"/>
            </w:tcMar>
            <w:vAlign w:val="center"/>
          </w:tcPr>
          <w:p>
            <w:pPr>
              <w:jc w:val="left"/>
            </w:pPr>
            <w:r>
              <w:rPr>
                <w:b/>
                <w:bCs/>
                <w:color w:val="000000"/>
                <w:sz w:val="20"/>
                <w:szCs w:val="20"/>
              </w:rPr>
              <w:t xml:space="preserve">Report Date</w:t>
            </w:r>
          </w:p>
        </w:tc>
        <w:tc>
          <w:tcPr>
            <w:tcW w:type="dxa" w:w="5000"/>
            <w:tcMar>
              <w:top w:type="dxa" w:w="80"/>
              <w:left w:type="dxa" w:w="100"/>
              <w:bottom w:type="dxa" w:w="80"/>
              <w:right w:type="dxa" w:w="100"/>
            </w:tcMar>
            <w:vAlign w:val="center"/>
          </w:tcPr>
          <w:p>
            <w:pPr>
              <w:jc w:val="left"/>
            </w:pPr>
            <w:r>
              <w:rPr>
                <w:b w:val="false"/>
                <w:bCs w:val="false"/>
                <w:color w:val="000000"/>
                <w:sz w:val="20"/>
                <w:szCs w:val="20"/>
              </w:rPr>
              <w:t xml:space="preserve">August 14, 2026</w:t>
            </w:r>
          </w:p>
        </w:tc>
      </w:tr>
      <w:tr>
        <w:tc>
          <w:tcPr>
            <w:tcW w:type="dxa" w:w="3000"/>
            <w:shd w:fill="DDEBF7" w:val="clear"/>
            <w:tcMar>
              <w:top w:type="dxa" w:w="80"/>
              <w:left w:type="dxa" w:w="100"/>
              <w:bottom w:type="dxa" w:w="80"/>
              <w:right w:type="dxa" w:w="100"/>
            </w:tcMar>
            <w:vAlign w:val="center"/>
          </w:tcPr>
          <w:p>
            <w:pPr>
              <w:jc w:val="left"/>
            </w:pPr>
            <w:r>
              <w:rPr>
                <w:b/>
                <w:bCs/>
                <w:color w:val="000000"/>
                <w:sz w:val="20"/>
                <w:szCs w:val="20"/>
              </w:rPr>
              <w:t xml:space="preserve">Prepared By</w:t>
            </w:r>
          </w:p>
        </w:tc>
        <w:tc>
          <w:tcPr>
            <w:tcW w:type="dxa" w:w="5000"/>
            <w:tcMar>
              <w:top w:type="dxa" w:w="80"/>
              <w:left w:type="dxa" w:w="100"/>
              <w:bottom w:type="dxa" w:w="80"/>
              <w:right w:type="dxa" w:w="100"/>
            </w:tcMar>
            <w:vAlign w:val="center"/>
          </w:tcPr>
          <w:p>
            <w:pPr>
              <w:jc w:val="left"/>
            </w:pPr>
            <w:r>
              <w:rPr>
                <w:b w:val="false"/>
                <w:bCs w:val="false"/>
                <w:color w:val="000000"/>
                <w:sz w:val="20"/>
                <w:szCs w:val="20"/>
              </w:rPr>
              <w:t xml:space="preserve">[Candidate Name]</w:t>
            </w:r>
          </w:p>
        </w:tc>
      </w:tr>
      <w:tr>
        <w:tc>
          <w:tcPr>
            <w:tcW w:type="dxa" w:w="3000"/>
            <w:shd w:fill="DDEBF7" w:val="clear"/>
            <w:tcMar>
              <w:top w:type="dxa" w:w="80"/>
              <w:left w:type="dxa" w:w="100"/>
              <w:bottom w:type="dxa" w:w="80"/>
              <w:right w:type="dxa" w:w="100"/>
            </w:tcMar>
            <w:vAlign w:val="center"/>
          </w:tcPr>
          <w:p>
            <w:pPr>
              <w:jc w:val="left"/>
            </w:pPr>
            <w:r>
              <w:rPr>
                <w:b/>
                <w:bCs/>
                <w:color w:val="000000"/>
                <w:sz w:val="20"/>
                <w:szCs w:val="20"/>
              </w:rPr>
              <w:t xml:space="preserve">Tools Used</w:t>
            </w:r>
          </w:p>
        </w:tc>
        <w:tc>
          <w:tcPr>
            <w:tcW w:type="dxa" w:w="5000"/>
            <w:tcMar>
              <w:top w:type="dxa" w:w="80"/>
              <w:left w:type="dxa" w:w="100"/>
              <w:bottom w:type="dxa" w:w="80"/>
              <w:right w:type="dxa" w:w="100"/>
            </w:tcMar>
            <w:vAlign w:val="center"/>
          </w:tcPr>
          <w:p>
            <w:pPr>
              <w:jc w:val="left"/>
            </w:pPr>
            <w:r>
              <w:rPr>
                <w:b w:val="false"/>
                <w:bCs w:val="false"/>
                <w:color w:val="000000"/>
                <w:sz w:val="20"/>
                <w:szCs w:val="20"/>
              </w:rPr>
              <w:t xml:space="preserve">Azure Advisor, Azure Cost Management + Billing, Azure Monitor, Azure PowerShell (Az module)</w:t>
            </w:r>
          </w:p>
        </w:tc>
      </w:tr>
    </w:tbl>
    <w:p>
      <w:r>
        <w:br w:type="page"/>
      </w:r>
    </w:p>
    <w:p>
      <w:pPr>
        <w:sectPr>
          <w:pgSz w:w="12240" w:h="15840" w:orient="portrait"/>
          <w:pgMar w:top="1440" w:right="1440" w:bottom="1440" w:left="1440" w:header="708" w:footer="708" w:gutter="0"/>
          <w:pgNumType/>
          <w:docGrid w:linePitch="360"/>
        </w:sectPr>
      </w:pPr>
    </w:p>
    <w:p>
      <w:pPr>
        <w:pStyle w:val="Heading1"/>
        <w:pBdr>
          <w:bottom w:val="single" w:color="1F3864" w:sz="8" w:space="4"/>
        </w:pBdr>
        <w:spacing w:after="240" w:before="480"/>
      </w:pPr>
      <w:r>
        <w:rPr>
          <w:b/>
          <w:bCs/>
          <w:color w:val="1F3864"/>
        </w:rPr>
        <w:t xml:space="preserve">1. Executive Summary</w:t>
      </w:r>
    </w:p>
    <w:p>
      <w:pPr>
        <w:spacing w:after="160"/>
      </w:pPr>
      <w:r>
        <w:t xml:space="preserve">This audit reviewed a sample Microsoft Azure environment (resource group Cost-Audit, subscription “Azure subscription 1”) representing a typical early-stage startup workload: one Linux virtual machine, one managed disk, one virtual network, and one general-purpose storage account. The objective was to review actual usage against provisioned capacity and cost, and to produce concrete, actionable rightsizing recommendations.</w:t>
      </w:r>
    </w:p>
    <w:p>
      <w:pPr>
        <w:spacing w:after="160"/>
      </w:pPr>
      <w:r>
        <w:t xml:space="preserve">The audit found that a single unattached (orphaned) 1024 GiB Premium SSD v2 managed disk, orphan-disk-demo, was responsible for $16.38 of the $22.01 spent in the resource group in the first five days of the billing period — 74.4% of total spend — despite being attached to no virtual machine and delivering no workload value. The resource group had already exceeded its $20/month budget by day five of the month.</w:t>
      </w:r>
    </w:p>
    <w:p>
      <w:pPr>
        <w:spacing w:after="160"/>
      </w:pPr>
      <w:r>
        <w:t xml:space="preserve">In addition, the sole virtual machine, vm-cost-audit-demo (Standard B2ls v2, 2 vCPU / 4 GiB RAM), showed an average CPU utilization of 0.17% over the trailing 7 days and has no auto-shutdown schedule configured — indicating it is materially oversized and running (or was running) outside of any active-use window.</w:t>
      </w:r>
    </w:p>
    <w:p>
      <w:pPr>
        <w:spacing w:after="160"/>
      </w:pPr>
      <w:r>
        <w:t xml:space="preserve">Azure Advisor's Cost score for the subscription was 37%, the lowest of all five Advisor score categories (Security 100%–not available, Reliability 89%, Operational Excellence 100%, Performance 100%), confirming that cost is the primary area of concern in this environment.</w:t>
      </w:r>
    </w:p>
    <w:p>
      <w:pPr>
        <w:pStyle w:val="Heading3"/>
        <w:spacing w:after="120" w:before="240"/>
      </w:pPr>
      <w:r>
        <w:rPr>
          <w:b/>
          <w:bCs/>
        </w:rPr>
        <w:t xml:space="preserve">Headline numbers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shd w:fill="1F3864" w:val="clear"/>
            <w:tcMar>
              <w:top w:type="dxa" w:w="80"/>
              <w:left w:type="dxa" w:w="100"/>
              <w:bottom w:type="dxa" w:w="80"/>
              <w:right w:type="dxa" w:w="100"/>
            </w:tcMar>
            <w:vAlign w:val="center"/>
          </w:tcPr>
          <w:p>
            <w:pPr>
              <w:jc w:val="left"/>
            </w:pPr>
            <w:r>
              <w:rPr>
                <w:b/>
                <w:bCs/>
                <w:color w:val="FFFFFF"/>
                <w:sz w:val="20"/>
                <w:szCs w:val="20"/>
              </w:rPr>
              <w:t xml:space="preserve">Metric</w:t>
            </w:r>
          </w:p>
        </w:tc>
        <w:tc>
          <w:tcPr>
            <w:tcW w:type="dxa" w:w="4500"/>
            <w:shd w:fill="1F3864" w:val="clear"/>
            <w:tcMar>
              <w:top w:type="dxa" w:w="80"/>
              <w:left w:type="dxa" w:w="100"/>
              <w:bottom w:type="dxa" w:w="80"/>
              <w:right w:type="dxa" w:w="100"/>
            </w:tcMar>
            <w:vAlign w:val="center"/>
          </w:tcPr>
          <w:p>
            <w:pPr>
              <w:jc w:val="left"/>
            </w:pPr>
            <w:r>
              <w:rPr>
                <w:b/>
                <w:bCs/>
                <w:color w:val="FFFFFF"/>
                <w:sz w:val="20"/>
                <w:szCs w:val="20"/>
              </w:rPr>
              <w:t xml:space="preserve">Value</w:t>
            </w:r>
          </w:p>
        </w:tc>
      </w:tr>
      <w:tr>
        <w:trPr>
          <w:cantSplit/>
        </w:trPr>
        <w:tc>
          <w:tcPr>
            <w:tcW w:type="dxa" w:w="4500"/>
            <w:tcMar>
              <w:top w:type="dxa" w:w="80"/>
              <w:left w:type="dxa" w:w="100"/>
              <w:bottom w:type="dxa" w:w="80"/>
              <w:right w:type="dxa" w:w="100"/>
            </w:tcMar>
            <w:vAlign w:val="center"/>
          </w:tcPr>
          <w:p>
            <w:pPr>
              <w:jc w:val="left"/>
            </w:pPr>
            <w:r>
              <w:rPr>
                <w:b w:val="false"/>
                <w:bCs w:val="false"/>
                <w:color w:val="000000"/>
                <w:sz w:val="20"/>
                <w:szCs w:val="20"/>
              </w:rPr>
              <w:t xml:space="preserve">Month-to-date actual cost (Aug 1–5, 2026)</w:t>
            </w:r>
          </w:p>
        </w:tc>
        <w:tc>
          <w:tcPr>
            <w:tcW w:type="dxa" w:w="4500"/>
            <w:tcMar>
              <w:top w:type="dxa" w:w="80"/>
              <w:left w:type="dxa" w:w="100"/>
              <w:bottom w:type="dxa" w:w="80"/>
              <w:right w:type="dxa" w:w="100"/>
            </w:tcMar>
            <w:vAlign w:val="center"/>
          </w:tcPr>
          <w:p>
            <w:pPr>
              <w:jc w:val="left"/>
            </w:pPr>
            <w:r>
              <w:rPr>
                <w:b w:val="false"/>
                <w:bCs w:val="false"/>
                <w:color w:val="000000"/>
                <w:sz w:val="20"/>
                <w:szCs w:val="20"/>
              </w:rPr>
              <w:t xml:space="preserve">$22.01</w:t>
            </w:r>
          </w:p>
        </w:tc>
      </w:tr>
      <w:tr>
        <w:trPr>
          <w:cantSplit/>
        </w:trPr>
        <w:tc>
          <w:tcPr>
            <w:tcW w:type="dxa" w:w="4500"/>
            <w:shd w:fill="F2F2F2" w:val="clear"/>
            <w:tcMar>
              <w:top w:type="dxa" w:w="80"/>
              <w:left w:type="dxa" w:w="100"/>
              <w:bottom w:type="dxa" w:w="80"/>
              <w:right w:type="dxa" w:w="100"/>
            </w:tcMar>
            <w:vAlign w:val="center"/>
          </w:tcPr>
          <w:p>
            <w:pPr>
              <w:jc w:val="left"/>
            </w:pPr>
            <w:r>
              <w:rPr>
                <w:b w:val="false"/>
                <w:bCs w:val="false"/>
                <w:color w:val="000000"/>
                <w:sz w:val="20"/>
                <w:szCs w:val="20"/>
              </w:rPr>
              <w:t xml:space="preserve">Monthly budget</w:t>
            </w:r>
          </w:p>
        </w:tc>
        <w:tc>
          <w:tcPr>
            <w:tcW w:type="dxa" w:w="4500"/>
            <w:shd w:fill="F2F2F2" w:val="clear"/>
            <w:tcMar>
              <w:top w:type="dxa" w:w="80"/>
              <w:left w:type="dxa" w:w="100"/>
              <w:bottom w:type="dxa" w:w="80"/>
              <w:right w:type="dxa" w:w="100"/>
            </w:tcMar>
            <w:vAlign w:val="center"/>
          </w:tcPr>
          <w:p>
            <w:pPr>
              <w:jc w:val="left"/>
            </w:pPr>
            <w:r>
              <w:rPr>
                <w:b w:val="false"/>
                <w:bCs w:val="false"/>
                <w:color w:val="000000"/>
                <w:sz w:val="20"/>
                <w:szCs w:val="20"/>
              </w:rPr>
              <w:t xml:space="preserve">$20.00</w:t>
            </w:r>
          </w:p>
        </w:tc>
      </w:tr>
      <w:tr>
        <w:trPr>
          <w:cantSplit/>
        </w:trPr>
        <w:tc>
          <w:tcPr>
            <w:tcW w:type="dxa" w:w="4500"/>
            <w:tcMar>
              <w:top w:type="dxa" w:w="80"/>
              <w:left w:type="dxa" w:w="100"/>
              <w:bottom w:type="dxa" w:w="80"/>
              <w:right w:type="dxa" w:w="100"/>
            </w:tcMar>
            <w:vAlign w:val="center"/>
          </w:tcPr>
          <w:p>
            <w:pPr>
              <w:jc w:val="left"/>
            </w:pPr>
            <w:r>
              <w:rPr>
                <w:b w:val="false"/>
                <w:bCs w:val="false"/>
                <w:color w:val="000000"/>
                <w:sz w:val="20"/>
                <w:szCs w:val="20"/>
              </w:rPr>
              <w:t xml:space="preserve">Budget status (day 5 of month)</w:t>
            </w:r>
          </w:p>
        </w:tc>
        <w:tc>
          <w:tcPr>
            <w:tcW w:type="dxa" w:w="4500"/>
            <w:tcMar>
              <w:top w:type="dxa" w:w="80"/>
              <w:left w:type="dxa" w:w="100"/>
              <w:bottom w:type="dxa" w:w="80"/>
              <w:right w:type="dxa" w:w="100"/>
            </w:tcMar>
            <w:vAlign w:val="center"/>
          </w:tcPr>
          <w:p>
            <w:pPr>
              <w:jc w:val="left"/>
            </w:pPr>
            <w:r>
              <w:rPr>
                <w:b w:val="false"/>
                <w:bCs w:val="false"/>
                <w:color w:val="000000"/>
                <w:sz w:val="20"/>
                <w:szCs w:val="20"/>
              </w:rPr>
              <w:t xml:space="preserve">Over budget by $2.01 (110% of budget)</w:t>
            </w:r>
          </w:p>
        </w:tc>
      </w:tr>
      <w:tr>
        <w:trPr>
          <w:cantSplit/>
        </w:trPr>
        <w:tc>
          <w:tcPr>
            <w:tcW w:type="dxa" w:w="4500"/>
            <w:shd w:fill="F2F2F2" w:val="clear"/>
            <w:tcMar>
              <w:top w:type="dxa" w:w="80"/>
              <w:left w:type="dxa" w:w="100"/>
              <w:bottom w:type="dxa" w:w="80"/>
              <w:right w:type="dxa" w:w="100"/>
            </w:tcMar>
            <w:vAlign w:val="center"/>
          </w:tcPr>
          <w:p>
            <w:pPr>
              <w:jc w:val="left"/>
            </w:pPr>
            <w:r>
              <w:rPr>
                <w:b w:val="false"/>
                <w:bCs w:val="false"/>
                <w:color w:val="000000"/>
                <w:sz w:val="20"/>
                <w:szCs w:val="20"/>
              </w:rPr>
              <w:t xml:space="preserve">Largest single cost driver</w:t>
            </w:r>
          </w:p>
        </w:tc>
        <w:tc>
          <w:tcPr>
            <w:tcW w:type="dxa" w:w="4500"/>
            <w:shd w:fill="F2F2F2" w:val="clear"/>
            <w:tcMar>
              <w:top w:type="dxa" w:w="80"/>
              <w:left w:type="dxa" w:w="100"/>
              <w:bottom w:type="dxa" w:w="80"/>
              <w:right w:type="dxa" w:w="100"/>
            </w:tcMar>
            <w:vAlign w:val="center"/>
          </w:tcPr>
          <w:p>
            <w:pPr>
              <w:jc w:val="left"/>
            </w:pPr>
            <w:r>
              <w:rPr>
                <w:b w:val="false"/>
                <w:bCs w:val="false"/>
                <w:color w:val="000000"/>
                <w:sz w:val="20"/>
                <w:szCs w:val="20"/>
              </w:rPr>
              <w:t xml:space="preserve">orphan-disk-demo — $16.38 (74.4% of spend)</w:t>
            </w:r>
          </w:p>
        </w:tc>
      </w:tr>
      <w:tr>
        <w:trPr>
          <w:cantSplit/>
        </w:trPr>
        <w:tc>
          <w:tcPr>
            <w:tcW w:type="dxa" w:w="4500"/>
            <w:tcMar>
              <w:top w:type="dxa" w:w="80"/>
              <w:left w:type="dxa" w:w="100"/>
              <w:bottom w:type="dxa" w:w="80"/>
              <w:right w:type="dxa" w:w="100"/>
            </w:tcMar>
            <w:vAlign w:val="center"/>
          </w:tcPr>
          <w:p>
            <w:pPr>
              <w:jc w:val="left"/>
            </w:pPr>
            <w:r>
              <w:rPr>
                <w:b w:val="false"/>
                <w:bCs w:val="false"/>
                <w:color w:val="000000"/>
                <w:sz w:val="20"/>
                <w:szCs w:val="20"/>
              </w:rPr>
              <w:t xml:space="preserve">Advisor overall score</w:t>
            </w:r>
          </w:p>
        </w:tc>
        <w:tc>
          <w:tcPr>
            <w:tcW w:type="dxa" w:w="4500"/>
            <w:tcMar>
              <w:top w:type="dxa" w:w="80"/>
              <w:left w:type="dxa" w:w="100"/>
              <w:bottom w:type="dxa" w:w="80"/>
              <w:right w:type="dxa" w:w="100"/>
            </w:tcMar>
            <w:vAlign w:val="center"/>
          </w:tcPr>
          <w:p>
            <w:pPr>
              <w:jc w:val="left"/>
            </w:pPr>
            <w:r>
              <w:rPr>
                <w:b w:val="false"/>
                <w:bCs w:val="false"/>
                <w:color w:val="000000"/>
                <w:sz w:val="20"/>
                <w:szCs w:val="20"/>
              </w:rPr>
              <w:t xml:space="preserve">81%</w:t>
            </w:r>
          </w:p>
        </w:tc>
      </w:tr>
      <w:tr>
        <w:trPr>
          <w:cantSplit/>
        </w:trPr>
        <w:tc>
          <w:tcPr>
            <w:tcW w:type="dxa" w:w="4500"/>
            <w:shd w:fill="F2F2F2" w:val="clear"/>
            <w:tcMar>
              <w:top w:type="dxa" w:w="80"/>
              <w:left w:type="dxa" w:w="100"/>
              <w:bottom w:type="dxa" w:w="80"/>
              <w:right w:type="dxa" w:w="100"/>
            </w:tcMar>
            <w:vAlign w:val="center"/>
          </w:tcPr>
          <w:p>
            <w:pPr>
              <w:jc w:val="left"/>
            </w:pPr>
            <w:r>
              <w:rPr>
                <w:b w:val="false"/>
                <w:bCs w:val="false"/>
                <w:color w:val="000000"/>
                <w:sz w:val="20"/>
                <w:szCs w:val="20"/>
              </w:rPr>
              <w:t xml:space="preserve">Advisor Cost score</w:t>
            </w:r>
          </w:p>
        </w:tc>
        <w:tc>
          <w:tcPr>
            <w:tcW w:type="dxa" w:w="4500"/>
            <w:shd w:fill="F2F2F2" w:val="clear"/>
            <w:tcMar>
              <w:top w:type="dxa" w:w="80"/>
              <w:left w:type="dxa" w:w="100"/>
              <w:bottom w:type="dxa" w:w="80"/>
              <w:right w:type="dxa" w:w="100"/>
            </w:tcMar>
            <w:vAlign w:val="center"/>
          </w:tcPr>
          <w:p>
            <w:pPr>
              <w:jc w:val="left"/>
            </w:pPr>
            <w:r>
              <w:rPr>
                <w:b w:val="false"/>
                <w:bCs w:val="false"/>
                <w:color w:val="000000"/>
                <w:sz w:val="20"/>
                <w:szCs w:val="20"/>
              </w:rPr>
              <w:t xml:space="preserve">37%</w:t>
            </w:r>
          </w:p>
        </w:tc>
      </w:tr>
      <w:tr>
        <w:trPr>
          <w:cantSplit/>
        </w:trPr>
        <w:tc>
          <w:tcPr>
            <w:tcW w:type="dxa" w:w="4500"/>
            <w:tcMar>
              <w:top w:type="dxa" w:w="80"/>
              <w:left w:type="dxa" w:w="100"/>
              <w:bottom w:type="dxa" w:w="80"/>
              <w:right w:type="dxa" w:w="100"/>
            </w:tcMar>
            <w:vAlign w:val="center"/>
          </w:tcPr>
          <w:p>
            <w:pPr>
              <w:jc w:val="left"/>
            </w:pPr>
            <w:r>
              <w:rPr>
                <w:b w:val="false"/>
                <w:bCs w:val="false"/>
                <w:color w:val="000000"/>
                <w:sz w:val="20"/>
                <w:szCs w:val="20"/>
              </w:rPr>
              <w:t xml:space="preserve">Active cost recommendations</w:t>
            </w:r>
          </w:p>
        </w:tc>
        <w:tc>
          <w:tcPr>
            <w:tcW w:type="dxa" w:w="4500"/>
            <w:tcMar>
              <w:top w:type="dxa" w:w="80"/>
              <w:left w:type="dxa" w:w="100"/>
              <w:bottom w:type="dxa" w:w="80"/>
              <w:right w:type="dxa" w:w="100"/>
            </w:tcMar>
            <w:vAlign w:val="center"/>
          </w:tcPr>
          <w:p>
            <w:pPr>
              <w:jc w:val="left"/>
            </w:pPr>
            <w:r>
              <w:rPr>
                <w:b w:val="false"/>
                <w:bCs w:val="false"/>
                <w:color w:val="000000"/>
                <w:sz w:val="20"/>
                <w:szCs w:val="20"/>
              </w:rPr>
              <w:t xml:space="preserve">1 (Medium impact, 0% actioned)</w:t>
            </w:r>
          </w:p>
        </w:tc>
      </w:tr>
      <w:tr>
        <w:trPr>
          <w:cantSplit/>
        </w:trPr>
        <w:tc>
          <w:tcPr>
            <w:tcW w:type="dxa" w:w="4500"/>
            <w:shd w:fill="F2F2F2" w:val="clear"/>
            <w:tcMar>
              <w:top w:type="dxa" w:w="80"/>
              <w:left w:type="dxa" w:w="100"/>
              <w:bottom w:type="dxa" w:w="80"/>
              <w:right w:type="dxa" w:w="100"/>
            </w:tcMar>
            <w:vAlign w:val="center"/>
          </w:tcPr>
          <w:p>
            <w:pPr>
              <w:jc w:val="left"/>
            </w:pPr>
            <w:r>
              <w:rPr>
                <w:b w:val="false"/>
                <w:bCs w:val="false"/>
                <w:color w:val="000000"/>
                <w:sz w:val="20"/>
                <w:szCs w:val="20"/>
              </w:rPr>
              <w:t xml:space="preserve">VM average CPU utilization (7-day)</w:t>
            </w:r>
          </w:p>
        </w:tc>
        <w:tc>
          <w:tcPr>
            <w:tcW w:type="dxa" w:w="4500"/>
            <w:shd w:fill="F2F2F2" w:val="clear"/>
            <w:tcMar>
              <w:top w:type="dxa" w:w="80"/>
              <w:left w:type="dxa" w:w="100"/>
              <w:bottom w:type="dxa" w:w="80"/>
              <w:right w:type="dxa" w:w="100"/>
            </w:tcMar>
            <w:vAlign w:val="center"/>
          </w:tcPr>
          <w:p>
            <w:pPr>
              <w:jc w:val="left"/>
            </w:pPr>
            <w:r>
              <w:rPr>
                <w:b w:val="false"/>
                <w:bCs w:val="false"/>
                <w:color w:val="000000"/>
                <w:sz w:val="20"/>
                <w:szCs w:val="20"/>
              </w:rPr>
              <w:t xml:space="preserve">0.17%</w:t>
            </w:r>
          </w:p>
        </w:tc>
      </w:tr>
    </w:tbl>
    <w:p>
      <w:pPr>
        <w:pStyle w:val="Heading1"/>
        <w:pBdr>
          <w:bottom w:val="single" w:color="1F3864" w:sz="8" w:space="4"/>
        </w:pBdr>
        <w:spacing w:after="240" w:before="480"/>
      </w:pPr>
      <w:r>
        <w:rPr>
          <w:b/>
          <w:bCs/>
          <w:color w:val="1F3864"/>
        </w:rPr>
        <w:t xml:space="preserve">2. Problem Context</w:t>
      </w:r>
    </w:p>
    <w:p>
      <w:pPr>
        <w:spacing w:after="160"/>
      </w:pPr>
      <w:r>
        <w:t xml:space="preserve">Startups — particularly early-stage teams in emerging markets such as Nigeria — commonly move fast on cloud infrastructure and rarely revisit what they provisioned once a project is “done.” Test disks are left behind after a VM is rebuilt, demo virtual machines are never scheduled to shut down, and storage accounts default to premium/hot tiers that were never right for the data being stored. Because cloud bills are usage-based and abstracted from any single visible “item,” this waste is easy to miss until the invoice arrives.</w:t>
      </w:r>
    </w:p>
    <w:p>
      <w:pPr>
        <w:spacing w:after="160"/>
      </w:pPr>
      <w:r>
        <w:t xml:space="preserve">This capstone project builds and demonstrates a lightweight, repeatable cost-audit process — usage review, cost-saving recommendations, a before-and-after comparison, and a written audit report — that a resource-constrained startup team can run monthly using tools already included with their Azure subscription, at no additional cost.</w:t>
      </w:r>
    </w:p>
    <w:p>
      <w:pPr>
        <w:pStyle w:val="Heading1"/>
        <w:pBdr>
          <w:bottom w:val="single" w:color="1F3864" w:sz="8" w:space="4"/>
        </w:pBdr>
        <w:spacing w:after="240" w:before="480"/>
      </w:pPr>
      <w:r>
        <w:rPr>
          <w:b/>
          <w:bCs/>
          <w:color w:val="1F3864"/>
        </w:rPr>
        <w:t xml:space="preserve">3. Audit Scope &amp; Methodology</w:t>
      </w:r>
    </w:p>
    <w:p>
      <w:pPr>
        <w:pStyle w:val="Heading2"/>
        <w:spacing w:after="160" w:before="320"/>
      </w:pPr>
      <w:r>
        <w:rPr>
          <w:b/>
          <w:bCs/>
          <w:color w:val="2E74B5"/>
        </w:rPr>
        <w:t xml:space="preserve">3.1 Scope</w:t>
      </w:r>
    </w:p>
    <w:p>
      <w:pPr>
        <w:pStyle w:val="ListParagraph"/>
        <w:numPr>
          <w:ilvl w:val="0"/>
          <w:numId w:val="2"/>
        </w:numPr>
        <w:spacing w:after="80"/>
      </w:pPr>
      <w:r>
        <w:t xml:space="preserve">Resource group: Cost-Audit (subscription: Azure subscription 1, region: South Africa North)</w:t>
      </w:r>
    </w:p>
    <w:p>
      <w:pPr>
        <w:pStyle w:val="ListParagraph"/>
        <w:numPr>
          <w:ilvl w:val="0"/>
          <w:numId w:val="2"/>
        </w:numPr>
        <w:spacing w:after="80"/>
      </w:pPr>
      <w:r>
        <w:t xml:space="preserve">Resource types in scope: Virtual machine, managed disk, virtual network, storage account</w:t>
      </w:r>
    </w:p>
    <w:p>
      <w:pPr>
        <w:pStyle w:val="ListParagraph"/>
        <w:numPr>
          <w:ilvl w:val="0"/>
          <w:numId w:val="2"/>
        </w:numPr>
        <w:spacing w:after="80"/>
      </w:pPr>
      <w:r>
        <w:t xml:space="preserve">Audit window: cost data for August 1–5, 2026 (accumulated, month-to-date); compute metrics for the trailing 7 days</w:t>
      </w:r>
    </w:p>
    <w:p>
      <w:pPr>
        <w:pStyle w:val="Heading2"/>
        <w:spacing w:after="160" w:before="320"/>
      </w:pPr>
      <w:r>
        <w:rPr>
          <w:b/>
          <w:bCs/>
          <w:color w:val="2E74B5"/>
        </w:rPr>
        <w:t xml:space="preserve">3.2 Methodology</w:t>
      </w:r>
    </w:p>
    <w:p>
      <w:pPr>
        <w:spacing w:after="160"/>
      </w:pPr>
      <w:r>
        <w:t xml:space="preserve">The audit followed a four-step process, mirroring the MVP feature set of this project: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3200"/>
      </w:tblGrid>
      <w:tr>
        <w:trPr>
          <w:tblHeader/>
        </w:trPr>
        <w:tc>
          <w:tcPr>
            <w:tcW w:type="dxa" w:w="1600"/>
            <w:shd w:fill="1F3864" w:val="clear"/>
            <w:tcMar>
              <w:top w:type="dxa" w:w="80"/>
              <w:left w:type="dxa" w:w="100"/>
              <w:bottom w:type="dxa" w:w="80"/>
              <w:right w:type="dxa" w:w="100"/>
            </w:tcMar>
            <w:vAlign w:val="center"/>
          </w:tcPr>
          <w:p>
            <w:pPr>
              <w:jc w:val="left"/>
            </w:pPr>
            <w:r>
              <w:rPr>
                <w:b/>
                <w:bCs/>
                <w:color w:val="FFFFFF"/>
                <w:sz w:val="20"/>
                <w:szCs w:val="20"/>
              </w:rPr>
              <w:t xml:space="preserve">Step</w:t>
            </w:r>
          </w:p>
        </w:tc>
        <w:tc>
          <w:tcPr>
            <w:tcW w:type="dxa" w:w="4200"/>
            <w:shd w:fill="1F3864" w:val="clear"/>
            <w:tcMar>
              <w:top w:type="dxa" w:w="80"/>
              <w:left w:type="dxa" w:w="100"/>
              <w:bottom w:type="dxa" w:w="80"/>
              <w:right w:type="dxa" w:w="100"/>
            </w:tcMar>
            <w:vAlign w:val="center"/>
          </w:tcPr>
          <w:p>
            <w:pPr>
              <w:jc w:val="left"/>
            </w:pPr>
            <w:r>
              <w:rPr>
                <w:b/>
                <w:bCs/>
                <w:color w:val="FFFFFF"/>
                <w:sz w:val="20"/>
                <w:szCs w:val="20"/>
              </w:rPr>
              <w:t xml:space="preserve">Activity</w:t>
            </w:r>
          </w:p>
        </w:tc>
        <w:tc>
          <w:tcPr>
            <w:tcW w:type="dxa" w:w="3200"/>
            <w:shd w:fill="1F3864" w:val="clear"/>
            <w:tcMar>
              <w:top w:type="dxa" w:w="80"/>
              <w:left w:type="dxa" w:w="100"/>
              <w:bottom w:type="dxa" w:w="80"/>
              <w:right w:type="dxa" w:w="100"/>
            </w:tcMar>
            <w:vAlign w:val="center"/>
          </w:tcPr>
          <w:p>
            <w:pPr>
              <w:jc w:val="left"/>
            </w:pPr>
            <w:r>
              <w:rPr>
                <w:b/>
                <w:bCs/>
                <w:color w:val="FFFFFF"/>
                <w:sz w:val="20"/>
                <w:szCs w:val="20"/>
              </w:rPr>
              <w:t xml:space="preserve">Azure tool used</w:t>
            </w:r>
          </w:p>
        </w:tc>
      </w:tr>
      <w:tr>
        <w:trPr>
          <w:cantSplit/>
        </w:trPr>
        <w:tc>
          <w:tcPr>
            <w:tcW w:type="dxa" w:w="1600"/>
            <w:tcMar>
              <w:top w:type="dxa" w:w="80"/>
              <w:left w:type="dxa" w:w="100"/>
              <w:bottom w:type="dxa" w:w="80"/>
              <w:right w:type="dxa" w:w="100"/>
            </w:tcMar>
            <w:vAlign w:val="center"/>
          </w:tcPr>
          <w:p>
            <w:pPr>
              <w:jc w:val="left"/>
            </w:pPr>
            <w:r>
              <w:rPr>
                <w:b w:val="false"/>
                <w:bCs w:val="false"/>
                <w:color w:val="000000"/>
                <w:sz w:val="20"/>
                <w:szCs w:val="20"/>
              </w:rPr>
              <w:t xml:space="preserve">1. Usage review</w:t>
            </w:r>
          </w:p>
        </w:tc>
        <w:tc>
          <w:tcPr>
            <w:tcW w:type="dxa" w:w="4200"/>
            <w:tcMar>
              <w:top w:type="dxa" w:w="80"/>
              <w:left w:type="dxa" w:w="100"/>
              <w:bottom w:type="dxa" w:w="80"/>
              <w:right w:type="dxa" w:w="100"/>
            </w:tcMar>
            <w:vAlign w:val="center"/>
          </w:tcPr>
          <w:p>
            <w:pPr>
              <w:jc w:val="left"/>
            </w:pPr>
            <w:r>
              <w:rPr>
                <w:b w:val="false"/>
                <w:bCs w:val="false"/>
                <w:color w:val="000000"/>
                <w:sz w:val="20"/>
                <w:szCs w:val="20"/>
              </w:rPr>
              <w:t xml:space="preserve">Inventory all resources in the resource group; review VM CPU utilization and disk attachment state</w:t>
            </w:r>
          </w:p>
        </w:tc>
        <w:tc>
          <w:tcPr>
            <w:tcW w:type="dxa" w:w="3200"/>
            <w:tcMar>
              <w:top w:type="dxa" w:w="80"/>
              <w:left w:type="dxa" w:w="100"/>
              <w:bottom w:type="dxa" w:w="80"/>
              <w:right w:type="dxa" w:w="100"/>
            </w:tcMar>
            <w:vAlign w:val="center"/>
          </w:tcPr>
          <w:p>
            <w:pPr>
              <w:jc w:val="left"/>
            </w:pPr>
            <w:r>
              <w:rPr>
                <w:b w:val="false"/>
                <w:bCs w:val="false"/>
                <w:color w:val="000000"/>
                <w:sz w:val="20"/>
                <w:szCs w:val="20"/>
              </w:rPr>
              <w:t xml:space="preserve">Azure Monitor (Metrics), Resource Group Overview</w:t>
            </w:r>
          </w:p>
        </w:tc>
      </w:tr>
      <w:tr>
        <w:trPr>
          <w:cantSplit/>
        </w:trPr>
        <w:tc>
          <w:tcPr>
            <w:tcW w:type="dxa" w:w="1600"/>
            <w:shd w:fill="F2F2F2" w:val="clear"/>
            <w:tcMar>
              <w:top w:type="dxa" w:w="80"/>
              <w:left w:type="dxa" w:w="100"/>
              <w:bottom w:type="dxa" w:w="80"/>
              <w:right w:type="dxa" w:w="100"/>
            </w:tcMar>
            <w:vAlign w:val="center"/>
          </w:tcPr>
          <w:p>
            <w:pPr>
              <w:jc w:val="left"/>
            </w:pPr>
            <w:r>
              <w:rPr>
                <w:b w:val="false"/>
                <w:bCs w:val="false"/>
                <w:color w:val="000000"/>
                <w:sz w:val="20"/>
                <w:szCs w:val="20"/>
              </w:rPr>
              <w:t xml:space="preserve">2. Cost-saving recommendations</w:t>
            </w:r>
          </w:p>
        </w:tc>
        <w:tc>
          <w:tcPr>
            <w:tcW w:type="dxa" w:w="4200"/>
            <w:shd w:fill="F2F2F2" w:val="clear"/>
            <w:tcMar>
              <w:top w:type="dxa" w:w="80"/>
              <w:left w:type="dxa" w:w="100"/>
              <w:bottom w:type="dxa" w:w="80"/>
              <w:right w:type="dxa" w:w="100"/>
            </w:tcMar>
            <w:vAlign w:val="center"/>
          </w:tcPr>
          <w:p>
            <w:pPr>
              <w:jc w:val="left"/>
            </w:pPr>
            <w:r>
              <w:rPr>
                <w:b w:val="false"/>
                <w:bCs w:val="false"/>
                <w:color w:val="000000"/>
                <w:sz w:val="20"/>
                <w:szCs w:val="20"/>
              </w:rPr>
              <w:t xml:space="preserve">Pull automated recommendations and cross-check against manual cost analysis</w:t>
            </w:r>
          </w:p>
        </w:tc>
        <w:tc>
          <w:tcPr>
            <w:tcW w:type="dxa" w:w="3200"/>
            <w:shd w:fill="F2F2F2" w:val="clear"/>
            <w:tcMar>
              <w:top w:type="dxa" w:w="80"/>
              <w:left w:type="dxa" w:w="100"/>
              <w:bottom w:type="dxa" w:w="80"/>
              <w:right w:type="dxa" w:w="100"/>
            </w:tcMar>
            <w:vAlign w:val="center"/>
          </w:tcPr>
          <w:p>
            <w:pPr>
              <w:jc w:val="left"/>
            </w:pPr>
            <w:r>
              <w:rPr>
                <w:b w:val="false"/>
                <w:bCs w:val="false"/>
                <w:color w:val="000000"/>
                <w:sz w:val="20"/>
                <w:szCs w:val="20"/>
              </w:rPr>
              <w:t xml:space="preserve">Azure Advisor</w:t>
            </w:r>
          </w:p>
        </w:tc>
      </w:tr>
      <w:tr>
        <w:trPr>
          <w:cantSplit/>
        </w:trPr>
        <w:tc>
          <w:tcPr>
            <w:tcW w:type="dxa" w:w="1600"/>
            <w:tcMar>
              <w:top w:type="dxa" w:w="80"/>
              <w:left w:type="dxa" w:w="100"/>
              <w:bottom w:type="dxa" w:w="80"/>
              <w:right w:type="dxa" w:w="100"/>
            </w:tcMar>
            <w:vAlign w:val="center"/>
          </w:tcPr>
          <w:p>
            <w:pPr>
              <w:jc w:val="left"/>
            </w:pPr>
            <w:r>
              <w:rPr>
                <w:b w:val="false"/>
                <w:bCs w:val="false"/>
                <w:color w:val="000000"/>
                <w:sz w:val="20"/>
                <w:szCs w:val="20"/>
              </w:rPr>
              <w:t xml:space="preserve">3. Before-and-after comparison</w:t>
            </w:r>
          </w:p>
        </w:tc>
        <w:tc>
          <w:tcPr>
            <w:tcW w:type="dxa" w:w="4200"/>
            <w:tcMar>
              <w:top w:type="dxa" w:w="80"/>
              <w:left w:type="dxa" w:w="100"/>
              <w:bottom w:type="dxa" w:w="80"/>
              <w:right w:type="dxa" w:w="100"/>
            </w:tcMar>
            <w:vAlign w:val="center"/>
          </w:tcPr>
          <w:p>
            <w:pPr>
              <w:jc w:val="left"/>
            </w:pPr>
            <w:r>
              <w:rPr>
                <w:b w:val="false"/>
                <w:bCs w:val="false"/>
                <w:color w:val="000000"/>
                <w:sz w:val="20"/>
                <w:szCs w:val="20"/>
              </w:rPr>
              <w:t xml:space="preserve">Compare current month-to-date spend and Advisor score against a projected post-remediation state</w:t>
            </w:r>
          </w:p>
        </w:tc>
        <w:tc>
          <w:tcPr>
            <w:tcW w:type="dxa" w:w="3200"/>
            <w:tcMar>
              <w:top w:type="dxa" w:w="80"/>
              <w:left w:type="dxa" w:w="100"/>
              <w:bottom w:type="dxa" w:w="80"/>
              <w:right w:type="dxa" w:w="100"/>
            </w:tcMar>
            <w:vAlign w:val="center"/>
          </w:tcPr>
          <w:p>
            <w:pPr>
              <w:jc w:val="left"/>
            </w:pPr>
            <w:r>
              <w:rPr>
                <w:b w:val="false"/>
                <w:bCs w:val="false"/>
                <w:color w:val="000000"/>
                <w:sz w:val="20"/>
                <w:szCs w:val="20"/>
              </w:rPr>
              <w:t xml:space="preserve">Cost Management + Billing (Cost analysis)</w:t>
            </w:r>
          </w:p>
        </w:tc>
      </w:tr>
      <w:tr>
        <w:trPr>
          <w:cantSplit/>
        </w:trPr>
        <w:tc>
          <w:tcPr>
            <w:tcW w:type="dxa" w:w="1600"/>
            <w:shd w:fill="F2F2F2" w:val="clear"/>
            <w:tcMar>
              <w:top w:type="dxa" w:w="80"/>
              <w:left w:type="dxa" w:w="100"/>
              <w:bottom w:type="dxa" w:w="80"/>
              <w:right w:type="dxa" w:w="100"/>
            </w:tcMar>
            <w:vAlign w:val="center"/>
          </w:tcPr>
          <w:p>
            <w:pPr>
              <w:jc w:val="left"/>
            </w:pPr>
            <w:r>
              <w:rPr>
                <w:b w:val="false"/>
                <w:bCs w:val="false"/>
                <w:color w:val="000000"/>
                <w:sz w:val="20"/>
                <w:szCs w:val="20"/>
              </w:rPr>
              <w:t xml:space="preserve">4. Audit report</w:t>
            </w:r>
          </w:p>
        </w:tc>
        <w:tc>
          <w:tcPr>
            <w:tcW w:type="dxa" w:w="4200"/>
            <w:shd w:fill="F2F2F2" w:val="clear"/>
            <w:tcMar>
              <w:top w:type="dxa" w:w="80"/>
              <w:left w:type="dxa" w:w="100"/>
              <w:bottom w:type="dxa" w:w="80"/>
              <w:right w:type="dxa" w:w="100"/>
            </w:tcMar>
            <w:vAlign w:val="center"/>
          </w:tcPr>
          <w:p>
            <w:pPr>
              <w:jc w:val="left"/>
            </w:pPr>
            <w:r>
              <w:rPr>
                <w:b w:val="false"/>
                <w:bCs w:val="false"/>
                <w:color w:val="000000"/>
                <w:sz w:val="20"/>
                <w:szCs w:val="20"/>
              </w:rPr>
              <w:t xml:space="preserve">Document findings, evidence (screenshots), and a prioritized action plan</w:t>
            </w:r>
          </w:p>
        </w:tc>
        <w:tc>
          <w:tcPr>
            <w:tcW w:type="dxa" w:w="3200"/>
            <w:shd w:fill="F2F2F2" w:val="clear"/>
            <w:tcMar>
              <w:top w:type="dxa" w:w="80"/>
              <w:left w:type="dxa" w:w="100"/>
              <w:bottom w:type="dxa" w:w="80"/>
              <w:right w:type="dxa" w:w="100"/>
            </w:tcMar>
            <w:vAlign w:val="center"/>
          </w:tcPr>
          <w:p>
            <w:pPr>
              <w:jc w:val="left"/>
            </w:pPr>
            <w:r>
              <w:rPr>
                <w:b w:val="false"/>
                <w:bCs w:val="false"/>
                <w:color w:val="000000"/>
                <w:sz w:val="20"/>
                <w:szCs w:val="20"/>
              </w:rPr>
              <w:t xml:space="preserve">This report + accompanying PowerShell audit script</w:t>
            </w:r>
          </w:p>
        </w:tc>
      </w:tr>
    </w:tbl>
    <w:p>
      <w:pPr>
        <w:pStyle w:val="Heading1"/>
        <w:pBdr>
          <w:bottom w:val="single" w:color="1F3864" w:sz="8" w:space="4"/>
        </w:pBdr>
        <w:spacing w:after="240" w:before="480"/>
      </w:pPr>
      <w:r>
        <w:rPr>
          <w:b/>
          <w:bCs/>
          <w:color w:val="1F3864"/>
        </w:rPr>
        <w:t xml:space="preserve">4. Environment Overview</w:t>
      </w:r>
    </w:p>
    <w:p>
      <w:pPr>
        <w:spacing w:after="160"/>
      </w:pPr>
      <w:r>
        <w:t xml:space="preserve">The Cost-Audit resource group contains 7 tracked resources (VM, NIC, public IP, disk, virtual network, network security group, and storage account), of which Azure Advisor flagged 1 resource (14.3%) with an active recommendation.</w:t>
      </w:r>
    </w:p>
    <w:p>
      <w:pPr>
        <w:spacing w:after="80" w:before="200"/>
        <w:jc w:val="center"/>
      </w:pPr>
      <w:r>
        <w:drawing>
          <wp:inline distT="0" distB="0" distL="0" distR="0">
            <wp:extent cx="495300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2619375"/>
                    </a:xfrm>
                    <a:prstGeom prst="rect">
                      <a:avLst/>
                    </a:prstGeom>
                  </pic:spPr>
                </pic:pic>
              </a:graphicData>
            </a:graphic>
          </wp:inline>
        </w:drawing>
      </w:r>
    </w:p>
    <w:p>
      <w:pPr>
        <w:spacing w:after="240"/>
        <w:jc w:val="center"/>
      </w:pPr>
      <w:r>
        <w:rPr>
          <w:i/>
          <w:iCs/>
          <w:color w:val="595959"/>
          <w:sz w:val="18"/>
          <w:szCs w:val="18"/>
        </w:rPr>
        <w:t xml:space="preserve">Figure 1 — Azure Advisor overview: Cost score 37%, Reliability 89%, Operational Excellence 100%, Performance 100%.</w:t>
      </w:r>
    </w:p>
    <w:p>
      <w:pPr>
        <w:pStyle w:val="Heading1"/>
        <w:pBdr>
          <w:bottom w:val="single" w:color="1F3864" w:sz="8" w:space="4"/>
        </w:pBdr>
        <w:spacing w:after="240" w:before="480"/>
      </w:pPr>
      <w:r>
        <w:rPr>
          <w:b/>
          <w:bCs/>
          <w:color w:val="1F3864"/>
        </w:rPr>
        <w:t xml:space="preserve">5. Tools &amp; Approach</w:t>
      </w:r>
    </w:p>
    <w:p>
      <w:pPr>
        <w:pStyle w:val="ListParagraph"/>
        <w:numPr>
          <w:ilvl w:val="0"/>
          <w:numId w:val="2"/>
        </w:numPr>
        <w:spacing w:after="80"/>
      </w:pPr>
      <w:r>
        <w:t xml:space="preserve">Azure Advisor — automated, built-in cost/security/reliability/performance recommendations at no extra cost.</w:t>
      </w:r>
    </w:p>
    <w:p>
      <w:pPr>
        <w:pStyle w:val="ListParagraph"/>
        <w:numPr>
          <w:ilvl w:val="0"/>
          <w:numId w:val="2"/>
        </w:numPr>
        <w:spacing w:after="80"/>
      </w:pPr>
      <w:r>
        <w:t xml:space="preserve">Azure Cost Management + Billing (Cost analysis) — actual spend by service and by individual resource, against a defined monthly budget.</w:t>
      </w:r>
    </w:p>
    <w:p>
      <w:pPr>
        <w:pStyle w:val="ListParagraph"/>
        <w:numPr>
          <w:ilvl w:val="0"/>
          <w:numId w:val="2"/>
        </w:numPr>
        <w:spacing w:after="80"/>
      </w:pPr>
      <w:r>
        <w:t xml:space="preserve">Azure Monitor (Metrics) — trailing 7-day CPU utilization for the virtual machine, to validate whether provisioned size matches real usage.</w:t>
      </w:r>
    </w:p>
    <w:p>
      <w:pPr>
        <w:pStyle w:val="ListParagraph"/>
        <w:numPr>
          <w:ilvl w:val="0"/>
          <w:numId w:val="2"/>
        </w:numPr>
        <w:spacing w:after="80"/>
      </w:pPr>
      <w:r>
        <w:t xml:space="preserve">Azure PowerShell (Az module) — a repeatable script (Section 10 / Appendix) to automate this same review on a recurring, scheduled basis.</w:t>
      </w:r>
    </w:p>
    <w:p>
      <w:r>
        <w:br w:type="page"/>
      </w:r>
    </w:p>
    <w:p>
      <w:pPr>
        <w:pStyle w:val="Heading1"/>
        <w:pBdr>
          <w:bottom w:val="single" w:color="1F3864" w:sz="8" w:space="4"/>
        </w:pBdr>
        <w:spacing w:after="240" w:before="480"/>
      </w:pPr>
      <w:r>
        <w:rPr>
          <w:b/>
          <w:bCs/>
          <w:color w:val="1F3864"/>
        </w:rPr>
        <w:t xml:space="preserve">6. Findings</w:t>
      </w:r>
    </w:p>
    <w:p>
      <w:pPr>
        <w:spacing w:after="160"/>
      </w:pPr>
      <w:r>
        <w:t xml:space="preserve">This section presents the detailed evidence gathered for each area of the environment, with the underlying screenshot from the Azure Portal and the corresponding data extracted from it.</w:t>
      </w:r>
    </w:p>
    <w:p>
      <w:pPr>
        <w:pStyle w:val="Heading2"/>
        <w:spacing w:after="160" w:before="320"/>
      </w:pPr>
      <w:r>
        <w:rPr>
          <w:b/>
          <w:bCs/>
          <w:color w:val="2E74B5"/>
        </w:rPr>
        <w:t xml:space="preserve">6.1 Azure Advisor — Score &amp; Recommendations</w:t>
      </w:r>
    </w:p>
    <w:p>
      <w:pPr>
        <w:spacing w:after="80" w:before="200"/>
        <w:jc w:val="center"/>
      </w:pPr>
      <w:r>
        <w:drawing>
          <wp:inline distT="0" distB="0" distL="0" distR="0">
            <wp:extent cx="4953000" cy="2581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2581275"/>
                    </a:xfrm>
                    <a:prstGeom prst="rect">
                      <a:avLst/>
                    </a:prstGeom>
                  </pic:spPr>
                </pic:pic>
              </a:graphicData>
            </a:graphic>
          </wp:inline>
        </w:drawing>
      </w:r>
    </w:p>
    <w:p>
      <w:pPr>
        <w:spacing w:after="240"/>
        <w:jc w:val="center"/>
      </w:pPr>
      <w:r>
        <w:rPr>
          <w:i/>
          <w:iCs/>
          <w:color w:val="595959"/>
          <w:sz w:val="18"/>
          <w:szCs w:val="18"/>
        </w:rPr>
        <w:t xml:space="preserve">Figure 2 — Advisor score breakdown by category.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shd w:fill="1F3864" w:val="clear"/>
            <w:tcMar>
              <w:top w:type="dxa" w:w="80"/>
              <w:left w:type="dxa" w:w="100"/>
              <w:bottom w:type="dxa" w:w="80"/>
              <w:right w:type="dxa" w:w="100"/>
            </w:tcMar>
            <w:vAlign w:val="center"/>
          </w:tcPr>
          <w:p>
            <w:pPr>
              <w:jc w:val="left"/>
            </w:pPr>
            <w:r>
              <w:rPr>
                <w:b/>
                <w:bCs/>
                <w:color w:val="FFFFFF"/>
                <w:sz w:val="20"/>
                <w:szCs w:val="20"/>
              </w:rPr>
              <w:t xml:space="preserve">Advisor category</w:t>
            </w:r>
          </w:p>
        </w:tc>
        <w:tc>
          <w:tcPr>
            <w:tcW w:type="dxa" w:w="4500"/>
            <w:shd w:fill="1F3864" w:val="clear"/>
            <w:tcMar>
              <w:top w:type="dxa" w:w="80"/>
              <w:left w:type="dxa" w:w="100"/>
              <w:bottom w:type="dxa" w:w="80"/>
              <w:right w:type="dxa" w:w="100"/>
            </w:tcMar>
            <w:vAlign w:val="center"/>
          </w:tcPr>
          <w:p>
            <w:pPr>
              <w:jc w:val="left"/>
            </w:pPr>
            <w:r>
              <w:rPr>
                <w:b/>
                <w:bCs/>
                <w:color w:val="FFFFFF"/>
                <w:sz w:val="20"/>
                <w:szCs w:val="20"/>
              </w:rPr>
              <w:t xml:space="preserve">Score</w:t>
            </w:r>
          </w:p>
        </w:tc>
      </w:tr>
      <w:tr>
        <w:trPr>
          <w:cantSplit/>
        </w:trPr>
        <w:tc>
          <w:tcPr>
            <w:tcW w:type="dxa" w:w="4500"/>
            <w:tcMar>
              <w:top w:type="dxa" w:w="80"/>
              <w:left w:type="dxa" w:w="100"/>
              <w:bottom w:type="dxa" w:w="80"/>
              <w:right w:type="dxa" w:w="100"/>
            </w:tcMar>
            <w:vAlign w:val="center"/>
          </w:tcPr>
          <w:p>
            <w:pPr>
              <w:jc w:val="left"/>
            </w:pPr>
            <w:r>
              <w:rPr>
                <w:b w:val="false"/>
                <w:bCs w:val="false"/>
                <w:color w:val="000000"/>
                <w:sz w:val="20"/>
                <w:szCs w:val="20"/>
              </w:rPr>
              <w:t xml:space="preserve">Overall Advisor score</w:t>
            </w:r>
          </w:p>
        </w:tc>
        <w:tc>
          <w:tcPr>
            <w:tcW w:type="dxa" w:w="4500"/>
            <w:tcMar>
              <w:top w:type="dxa" w:w="80"/>
              <w:left w:type="dxa" w:w="100"/>
              <w:bottom w:type="dxa" w:w="80"/>
              <w:right w:type="dxa" w:w="100"/>
            </w:tcMar>
            <w:vAlign w:val="center"/>
          </w:tcPr>
          <w:p>
            <w:pPr>
              <w:jc w:val="left"/>
            </w:pPr>
            <w:r>
              <w:rPr>
                <w:b w:val="false"/>
                <w:bCs w:val="false"/>
                <w:color w:val="000000"/>
                <w:sz w:val="20"/>
                <w:szCs w:val="20"/>
              </w:rPr>
              <w:t xml:space="preserve">81%</w:t>
            </w:r>
          </w:p>
        </w:tc>
      </w:tr>
      <w:tr>
        <w:trPr>
          <w:cantSplit/>
        </w:trPr>
        <w:tc>
          <w:tcPr>
            <w:tcW w:type="dxa" w:w="4500"/>
            <w:shd w:fill="F2F2F2" w:val="clear"/>
            <w:tcMar>
              <w:top w:type="dxa" w:w="80"/>
              <w:left w:type="dxa" w:w="100"/>
              <w:bottom w:type="dxa" w:w="80"/>
              <w:right w:type="dxa" w:w="100"/>
            </w:tcMar>
            <w:vAlign w:val="center"/>
          </w:tcPr>
          <w:p>
            <w:pPr>
              <w:jc w:val="left"/>
            </w:pPr>
            <w:r>
              <w:rPr>
                <w:b w:val="false"/>
                <w:bCs w:val="false"/>
                <w:color w:val="000000"/>
                <w:sz w:val="20"/>
                <w:szCs w:val="20"/>
              </w:rPr>
              <w:t xml:space="preserve">Cost score</w:t>
            </w:r>
          </w:p>
        </w:tc>
        <w:tc>
          <w:tcPr>
            <w:tcW w:type="dxa" w:w="4500"/>
            <w:shd w:fill="F2F2F2" w:val="clear"/>
            <w:tcMar>
              <w:top w:type="dxa" w:w="80"/>
              <w:left w:type="dxa" w:w="100"/>
              <w:bottom w:type="dxa" w:w="80"/>
              <w:right w:type="dxa" w:w="100"/>
            </w:tcMar>
            <w:vAlign w:val="center"/>
          </w:tcPr>
          <w:p>
            <w:pPr>
              <w:jc w:val="left"/>
            </w:pPr>
            <w:r>
              <w:rPr>
                <w:b w:val="false"/>
                <w:bCs w:val="false"/>
                <w:color w:val="000000"/>
                <w:sz w:val="20"/>
                <w:szCs w:val="20"/>
              </w:rPr>
              <w:t xml:space="preserve">37%</w:t>
            </w:r>
          </w:p>
        </w:tc>
      </w:tr>
      <w:tr>
        <w:trPr>
          <w:cantSplit/>
        </w:trPr>
        <w:tc>
          <w:tcPr>
            <w:tcW w:type="dxa" w:w="4500"/>
            <w:tcMar>
              <w:top w:type="dxa" w:w="80"/>
              <w:left w:type="dxa" w:w="100"/>
              <w:bottom w:type="dxa" w:w="80"/>
              <w:right w:type="dxa" w:w="100"/>
            </w:tcMar>
            <w:vAlign w:val="center"/>
          </w:tcPr>
          <w:p>
            <w:pPr>
              <w:jc w:val="left"/>
            </w:pPr>
            <w:r>
              <w:rPr>
                <w:b w:val="false"/>
                <w:bCs w:val="false"/>
                <w:color w:val="000000"/>
                <w:sz w:val="20"/>
                <w:szCs w:val="20"/>
              </w:rPr>
              <w:t xml:space="preserve">Security score</w:t>
            </w:r>
          </w:p>
        </w:tc>
        <w:tc>
          <w:tcPr>
            <w:tcW w:type="dxa" w:w="4500"/>
            <w:tcMar>
              <w:top w:type="dxa" w:w="80"/>
              <w:left w:type="dxa" w:w="100"/>
              <w:bottom w:type="dxa" w:w="80"/>
              <w:right w:type="dxa" w:w="100"/>
            </w:tcMar>
            <w:vAlign w:val="center"/>
          </w:tcPr>
          <w:p>
            <w:pPr>
              <w:jc w:val="left"/>
            </w:pPr>
            <w:r>
              <w:rPr>
                <w:b w:val="false"/>
                <w:bCs w:val="false"/>
                <w:color w:val="000000"/>
                <w:sz w:val="20"/>
                <w:szCs w:val="20"/>
              </w:rPr>
              <w:t xml:space="preserve">Not available (no data returned for this category)</w:t>
            </w:r>
          </w:p>
        </w:tc>
      </w:tr>
      <w:tr>
        <w:trPr>
          <w:cantSplit/>
        </w:trPr>
        <w:tc>
          <w:tcPr>
            <w:tcW w:type="dxa" w:w="4500"/>
            <w:shd w:fill="F2F2F2" w:val="clear"/>
            <w:tcMar>
              <w:top w:type="dxa" w:w="80"/>
              <w:left w:type="dxa" w:w="100"/>
              <w:bottom w:type="dxa" w:w="80"/>
              <w:right w:type="dxa" w:w="100"/>
            </w:tcMar>
            <w:vAlign w:val="center"/>
          </w:tcPr>
          <w:p>
            <w:pPr>
              <w:jc w:val="left"/>
            </w:pPr>
            <w:r>
              <w:rPr>
                <w:b w:val="false"/>
                <w:bCs w:val="false"/>
                <w:color w:val="000000"/>
                <w:sz w:val="20"/>
                <w:szCs w:val="20"/>
              </w:rPr>
              <w:t xml:space="preserve">Reliability score</w:t>
            </w:r>
          </w:p>
        </w:tc>
        <w:tc>
          <w:tcPr>
            <w:tcW w:type="dxa" w:w="4500"/>
            <w:shd w:fill="F2F2F2" w:val="clear"/>
            <w:tcMar>
              <w:top w:type="dxa" w:w="80"/>
              <w:left w:type="dxa" w:w="100"/>
              <w:bottom w:type="dxa" w:w="80"/>
              <w:right w:type="dxa" w:w="100"/>
            </w:tcMar>
            <w:vAlign w:val="center"/>
          </w:tcPr>
          <w:p>
            <w:pPr>
              <w:jc w:val="left"/>
            </w:pPr>
            <w:r>
              <w:rPr>
                <w:b w:val="false"/>
                <w:bCs w:val="false"/>
                <w:color w:val="000000"/>
                <w:sz w:val="20"/>
                <w:szCs w:val="20"/>
              </w:rPr>
              <w:t xml:space="preserve">89%</w:t>
            </w:r>
          </w:p>
        </w:tc>
      </w:tr>
      <w:tr>
        <w:trPr>
          <w:cantSplit/>
        </w:trPr>
        <w:tc>
          <w:tcPr>
            <w:tcW w:type="dxa" w:w="4500"/>
            <w:tcMar>
              <w:top w:type="dxa" w:w="80"/>
              <w:left w:type="dxa" w:w="100"/>
              <w:bottom w:type="dxa" w:w="80"/>
              <w:right w:type="dxa" w:w="100"/>
            </w:tcMar>
            <w:vAlign w:val="center"/>
          </w:tcPr>
          <w:p>
            <w:pPr>
              <w:jc w:val="left"/>
            </w:pPr>
            <w:r>
              <w:rPr>
                <w:b w:val="false"/>
                <w:bCs w:val="false"/>
                <w:color w:val="000000"/>
                <w:sz w:val="20"/>
                <w:szCs w:val="20"/>
              </w:rPr>
              <w:t xml:space="preserve">Operational excellence score</w:t>
            </w:r>
          </w:p>
        </w:tc>
        <w:tc>
          <w:tcPr>
            <w:tcW w:type="dxa" w:w="4500"/>
            <w:tcMar>
              <w:top w:type="dxa" w:w="80"/>
              <w:left w:type="dxa" w:w="100"/>
              <w:bottom w:type="dxa" w:w="80"/>
              <w:right w:type="dxa" w:w="100"/>
            </w:tcMar>
            <w:vAlign w:val="center"/>
          </w:tcPr>
          <w:p>
            <w:pPr>
              <w:jc w:val="left"/>
            </w:pPr>
            <w:r>
              <w:rPr>
                <w:b w:val="false"/>
                <w:bCs w:val="false"/>
                <w:color w:val="000000"/>
                <w:sz w:val="20"/>
                <w:szCs w:val="20"/>
              </w:rPr>
              <w:t xml:space="preserve">100%</w:t>
            </w:r>
          </w:p>
        </w:tc>
      </w:tr>
      <w:tr>
        <w:trPr>
          <w:cantSplit/>
        </w:trPr>
        <w:tc>
          <w:tcPr>
            <w:tcW w:type="dxa" w:w="4500"/>
            <w:shd w:fill="F2F2F2" w:val="clear"/>
            <w:tcMar>
              <w:top w:type="dxa" w:w="80"/>
              <w:left w:type="dxa" w:w="100"/>
              <w:bottom w:type="dxa" w:w="80"/>
              <w:right w:type="dxa" w:w="100"/>
            </w:tcMar>
            <w:vAlign w:val="center"/>
          </w:tcPr>
          <w:p>
            <w:pPr>
              <w:jc w:val="left"/>
            </w:pPr>
            <w:r>
              <w:rPr>
                <w:b w:val="false"/>
                <w:bCs w:val="false"/>
                <w:color w:val="000000"/>
                <w:sz w:val="20"/>
                <w:szCs w:val="20"/>
              </w:rPr>
              <w:t xml:space="preserve">Performance score</w:t>
            </w:r>
          </w:p>
        </w:tc>
        <w:tc>
          <w:tcPr>
            <w:tcW w:type="dxa" w:w="4500"/>
            <w:shd w:fill="F2F2F2" w:val="clear"/>
            <w:tcMar>
              <w:top w:type="dxa" w:w="80"/>
              <w:left w:type="dxa" w:w="100"/>
              <w:bottom w:type="dxa" w:w="80"/>
              <w:right w:type="dxa" w:w="100"/>
            </w:tcMar>
            <w:vAlign w:val="center"/>
          </w:tcPr>
          <w:p>
            <w:pPr>
              <w:jc w:val="left"/>
            </w:pPr>
            <w:r>
              <w:rPr>
                <w:b w:val="false"/>
                <w:bCs w:val="false"/>
                <w:color w:val="000000"/>
                <w:sz w:val="20"/>
                <w:szCs w:val="20"/>
              </w:rPr>
              <w:t xml:space="preserve">100%</w:t>
            </w:r>
          </w:p>
        </w:tc>
      </w:tr>
    </w:tbl>
    <w:p>
      <w:pPr>
        <w:spacing w:after="160"/>
      </w:pPr>
      <w:r>
        <w:t xml:space="preserve"/>
      </w:r>
    </w:p>
    <w:p>
      <w:pPr>
        <w:spacing w:after="80" w:before="200"/>
        <w:jc w:val="center"/>
      </w:pPr>
      <w:r>
        <w:drawing>
          <wp:inline distT="0" distB="0" distL="0" distR="0">
            <wp:extent cx="4953000"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571750"/>
                    </a:xfrm>
                    <a:prstGeom prst="rect">
                      <a:avLst/>
                    </a:prstGeom>
                  </pic:spPr>
                </pic:pic>
              </a:graphicData>
            </a:graphic>
          </wp:inline>
        </w:drawing>
      </w:r>
    </w:p>
    <w:p>
      <w:pPr>
        <w:spacing w:after="240"/>
        <w:jc w:val="center"/>
      </w:pPr>
      <w:r>
        <w:rPr>
          <w:i/>
          <w:iCs/>
          <w:color w:val="595959"/>
          <w:sz w:val="18"/>
          <w:szCs w:val="18"/>
        </w:rPr>
        <w:t xml:space="preserve">Figure 3 — Active Advisor recommendation for the Cost-Audit resource group.</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rPr>
          <w:tblHeader/>
        </w:trPr>
        <w:tc>
          <w:tcPr>
            <w:tcW w:type="dxa" w:w="3200"/>
            <w:shd w:fill="1F3864" w:val="clear"/>
            <w:tcMar>
              <w:top w:type="dxa" w:w="80"/>
              <w:left w:type="dxa" w:w="100"/>
              <w:bottom w:type="dxa" w:w="80"/>
              <w:right w:type="dxa" w:w="100"/>
            </w:tcMar>
            <w:vAlign w:val="center"/>
          </w:tcPr>
          <w:p>
            <w:pPr>
              <w:jc w:val="left"/>
            </w:pPr>
            <w:r>
              <w:rPr>
                <w:b/>
                <w:bCs/>
                <w:color w:val="FFFFFF"/>
                <w:sz w:val="20"/>
                <w:szCs w:val="20"/>
              </w:rPr>
              <w:t xml:space="preserve">Field</w:t>
            </w:r>
          </w:p>
        </w:tc>
        <w:tc>
          <w:tcPr>
            <w:tcW w:type="dxa" w:w="5800"/>
            <w:shd w:fill="1F3864" w:val="clear"/>
            <w:tcMar>
              <w:top w:type="dxa" w:w="80"/>
              <w:left w:type="dxa" w:w="100"/>
              <w:bottom w:type="dxa" w:w="80"/>
              <w:right w:type="dxa" w:w="100"/>
            </w:tcMar>
            <w:vAlign w:val="center"/>
          </w:tcPr>
          <w:p>
            <w:pPr>
              <w:jc w:val="left"/>
            </w:pPr>
            <w:r>
              <w:rPr>
                <w:b/>
                <w:bCs/>
                <w:color w:val="FFFFFF"/>
                <w:sz w:val="20"/>
                <w:szCs w:val="20"/>
              </w:rPr>
              <w:t xml:space="preserve">Value</w:t>
            </w:r>
          </w:p>
        </w:tc>
      </w:tr>
      <w:tr>
        <w:trPr>
          <w:cantSplit/>
        </w:trPr>
        <w:tc>
          <w:tcPr>
            <w:tcW w:type="dxa" w:w="3200"/>
            <w:tcMar>
              <w:top w:type="dxa" w:w="80"/>
              <w:left w:type="dxa" w:w="100"/>
              <w:bottom w:type="dxa" w:w="80"/>
              <w:right w:type="dxa" w:w="100"/>
            </w:tcMar>
            <w:vAlign w:val="center"/>
          </w:tcPr>
          <w:p>
            <w:pPr>
              <w:jc w:val="left"/>
            </w:pPr>
            <w:r>
              <w:rPr>
                <w:b w:val="false"/>
                <w:bCs w:val="false"/>
                <w:color w:val="000000"/>
                <w:sz w:val="20"/>
                <w:szCs w:val="20"/>
              </w:rPr>
              <w:t xml:space="preserve">Recommendation</w:t>
            </w:r>
          </w:p>
        </w:tc>
        <w:tc>
          <w:tcPr>
            <w:tcW w:type="dxa" w:w="5800"/>
            <w:tcMar>
              <w:top w:type="dxa" w:w="80"/>
              <w:left w:type="dxa" w:w="100"/>
              <w:bottom w:type="dxa" w:w="80"/>
              <w:right w:type="dxa" w:w="100"/>
            </w:tcMar>
            <w:vAlign w:val="center"/>
          </w:tcPr>
          <w:p>
            <w:pPr>
              <w:jc w:val="left"/>
            </w:pPr>
            <w:r>
              <w:rPr>
                <w:b w:val="false"/>
                <w:bCs w:val="false"/>
                <w:color w:val="000000"/>
                <w:sz w:val="20"/>
                <w:szCs w:val="20"/>
              </w:rPr>
              <w:t xml:space="preserve">Review disks that are not attached to a VM and evaluate if you still need the disks</w:t>
            </w:r>
          </w:p>
        </w:tc>
      </w:tr>
      <w:tr>
        <w:trPr>
          <w:cantSplit/>
        </w:trPr>
        <w:tc>
          <w:tcPr>
            <w:tcW w:type="dxa" w:w="3200"/>
            <w:shd w:fill="F2F2F2" w:val="clear"/>
            <w:tcMar>
              <w:top w:type="dxa" w:w="80"/>
              <w:left w:type="dxa" w:w="100"/>
              <w:bottom w:type="dxa" w:w="80"/>
              <w:right w:type="dxa" w:w="100"/>
            </w:tcMar>
            <w:vAlign w:val="center"/>
          </w:tcPr>
          <w:p>
            <w:pPr>
              <w:jc w:val="left"/>
            </w:pPr>
            <w:r>
              <w:rPr>
                <w:b w:val="false"/>
                <w:bCs w:val="false"/>
                <w:color w:val="000000"/>
                <w:sz w:val="20"/>
                <w:szCs w:val="20"/>
              </w:rPr>
              <w:t xml:space="preserve">Impact</w:t>
            </w:r>
          </w:p>
        </w:tc>
        <w:tc>
          <w:tcPr>
            <w:tcW w:type="dxa" w:w="5800"/>
            <w:shd w:fill="F2F2F2" w:val="clear"/>
            <w:tcMar>
              <w:top w:type="dxa" w:w="80"/>
              <w:left w:type="dxa" w:w="100"/>
              <w:bottom w:type="dxa" w:w="80"/>
              <w:right w:type="dxa" w:w="100"/>
            </w:tcMar>
            <w:vAlign w:val="center"/>
          </w:tcPr>
          <w:p>
            <w:pPr>
              <w:jc w:val="left"/>
            </w:pPr>
            <w:r>
              <w:rPr>
                <w:b w:val="false"/>
                <w:bCs w:val="false"/>
                <w:color w:val="000000"/>
                <w:sz w:val="20"/>
                <w:szCs w:val="20"/>
              </w:rPr>
              <w:t xml:space="preserve">Medium</w:t>
            </w:r>
          </w:p>
        </w:tc>
      </w:tr>
      <w:tr>
        <w:trPr>
          <w:cantSplit/>
        </w:trPr>
        <w:tc>
          <w:tcPr>
            <w:tcW w:type="dxa" w:w="3200"/>
            <w:tcMar>
              <w:top w:type="dxa" w:w="80"/>
              <w:left w:type="dxa" w:w="100"/>
              <w:bottom w:type="dxa" w:w="80"/>
              <w:right w:type="dxa" w:w="100"/>
            </w:tcMar>
            <w:vAlign w:val="center"/>
          </w:tcPr>
          <w:p>
            <w:pPr>
              <w:jc w:val="left"/>
            </w:pPr>
            <w:r>
              <w:rPr>
                <w:b w:val="false"/>
                <w:bCs w:val="false"/>
                <w:color w:val="000000"/>
                <w:sz w:val="20"/>
                <w:szCs w:val="20"/>
              </w:rPr>
              <w:t xml:space="preserve">Active resources affected</w:t>
            </w:r>
          </w:p>
        </w:tc>
        <w:tc>
          <w:tcPr>
            <w:tcW w:type="dxa" w:w="5800"/>
            <w:tcMar>
              <w:top w:type="dxa" w:w="80"/>
              <w:left w:type="dxa" w:w="100"/>
              <w:bottom w:type="dxa" w:w="80"/>
              <w:right w:type="dxa" w:w="100"/>
            </w:tcMar>
            <w:vAlign w:val="center"/>
          </w:tcPr>
          <w:p>
            <w:pPr>
              <w:jc w:val="left"/>
            </w:pPr>
            <w:r>
              <w:rPr>
                <w:b w:val="false"/>
                <w:bCs w:val="false"/>
                <w:color w:val="000000"/>
                <w:sz w:val="20"/>
                <w:szCs w:val="20"/>
              </w:rPr>
              <w:t xml:space="preserve">1 of 1 disks</w:t>
            </w:r>
          </w:p>
        </w:tc>
      </w:tr>
      <w:tr>
        <w:trPr>
          <w:cantSplit/>
        </w:trPr>
        <w:tc>
          <w:tcPr>
            <w:tcW w:type="dxa" w:w="3200"/>
            <w:shd w:fill="F2F2F2" w:val="clear"/>
            <w:tcMar>
              <w:top w:type="dxa" w:w="80"/>
              <w:left w:type="dxa" w:w="100"/>
              <w:bottom w:type="dxa" w:w="80"/>
              <w:right w:type="dxa" w:w="100"/>
            </w:tcMar>
            <w:vAlign w:val="center"/>
          </w:tcPr>
          <w:p>
            <w:pPr>
              <w:jc w:val="left"/>
            </w:pPr>
            <w:r>
              <w:rPr>
                <w:b w:val="false"/>
                <w:bCs w:val="false"/>
                <w:color w:val="000000"/>
                <w:sz w:val="20"/>
                <w:szCs w:val="20"/>
              </w:rPr>
              <w:t xml:space="preserve">Completion progress</w:t>
            </w:r>
          </w:p>
        </w:tc>
        <w:tc>
          <w:tcPr>
            <w:tcW w:type="dxa" w:w="5800"/>
            <w:shd w:fill="F2F2F2" w:val="clear"/>
            <w:tcMar>
              <w:top w:type="dxa" w:w="80"/>
              <w:left w:type="dxa" w:w="100"/>
              <w:bottom w:type="dxa" w:w="80"/>
              <w:right w:type="dxa" w:w="100"/>
            </w:tcMar>
            <w:vAlign w:val="center"/>
          </w:tcPr>
          <w:p>
            <w:pPr>
              <w:jc w:val="left"/>
            </w:pPr>
            <w:r>
              <w:rPr>
                <w:b w:val="false"/>
                <w:bCs w:val="false"/>
                <w:color w:val="000000"/>
                <w:sz w:val="20"/>
                <w:szCs w:val="20"/>
              </w:rPr>
              <w:t xml:space="preserve">0%</w:t>
            </w:r>
          </w:p>
        </w:tc>
      </w:tr>
      <w:tr>
        <w:trPr>
          <w:cantSplit/>
        </w:trPr>
        <w:tc>
          <w:tcPr>
            <w:tcW w:type="dxa" w:w="3200"/>
            <w:tcMar>
              <w:top w:type="dxa" w:w="80"/>
              <w:left w:type="dxa" w:w="100"/>
              <w:bottom w:type="dxa" w:w="80"/>
              <w:right w:type="dxa" w:w="100"/>
            </w:tcMar>
            <w:vAlign w:val="center"/>
          </w:tcPr>
          <w:p>
            <w:pPr>
              <w:jc w:val="left"/>
            </w:pPr>
            <w:r>
              <w:rPr>
                <w:b w:val="false"/>
                <w:bCs w:val="false"/>
                <w:color w:val="000000"/>
                <w:sz w:val="20"/>
                <w:szCs w:val="20"/>
              </w:rPr>
              <w:t xml:space="preserve">Advisor-reported potential savings</w:t>
            </w:r>
          </w:p>
        </w:tc>
        <w:tc>
          <w:tcPr>
            <w:tcW w:type="dxa" w:w="5800"/>
            <w:tcMar>
              <w:top w:type="dxa" w:w="80"/>
              <w:left w:type="dxa" w:w="100"/>
              <w:bottom w:type="dxa" w:w="80"/>
              <w:right w:type="dxa" w:w="100"/>
            </w:tcMar>
            <w:vAlign w:val="center"/>
          </w:tcPr>
          <w:p>
            <w:pPr>
              <w:jc w:val="left"/>
            </w:pPr>
            <w:r>
              <w:rPr>
                <w:b w:val="false"/>
                <w:bCs w:val="false"/>
                <w:color w:val="000000"/>
                <w:sz w:val="20"/>
                <w:szCs w:val="20"/>
              </w:rPr>
              <w:t xml:space="preserve">No data (Advisor could not price this automatically)</w:t>
            </w:r>
          </w:p>
        </w:tc>
      </w:tr>
      <w:tr>
        <w:trPr>
          <w:cantSplit/>
        </w:trPr>
        <w:tc>
          <w:tcPr>
            <w:tcW w:type="dxa" w:w="3200"/>
            <w:shd w:fill="F2F2F2" w:val="clear"/>
            <w:tcMar>
              <w:top w:type="dxa" w:w="80"/>
              <w:left w:type="dxa" w:w="100"/>
              <w:bottom w:type="dxa" w:w="80"/>
              <w:right w:type="dxa" w:w="100"/>
            </w:tcMar>
            <w:vAlign w:val="center"/>
          </w:tcPr>
          <w:p>
            <w:pPr>
              <w:jc w:val="left"/>
            </w:pPr>
            <w:r>
              <w:rPr>
                <w:b w:val="false"/>
                <w:bCs w:val="false"/>
                <w:color w:val="000000"/>
                <w:sz w:val="20"/>
                <w:szCs w:val="20"/>
              </w:rPr>
              <w:t xml:space="preserve">Resource-group Advisor coverage</w:t>
            </w:r>
          </w:p>
        </w:tc>
        <w:tc>
          <w:tcPr>
            <w:tcW w:type="dxa" w:w="5800"/>
            <w:shd w:fill="F2F2F2" w:val="clear"/>
            <w:tcMar>
              <w:top w:type="dxa" w:w="80"/>
              <w:left w:type="dxa" w:w="100"/>
              <w:bottom w:type="dxa" w:w="80"/>
              <w:right w:type="dxa" w:w="100"/>
            </w:tcMar>
            <w:vAlign w:val="center"/>
          </w:tcPr>
          <w:p>
            <w:pPr>
              <w:jc w:val="left"/>
            </w:pPr>
            <w:r>
              <w:rPr>
                <w:b w:val="false"/>
                <w:bCs w:val="false"/>
                <w:color w:val="000000"/>
                <w:sz w:val="20"/>
                <w:szCs w:val="20"/>
              </w:rPr>
              <w:t xml:space="preserve">1 of 7 active resources (14.3%)</w:t>
            </w:r>
          </w:p>
        </w:tc>
      </w:tr>
    </w:tbl>
    <w:p>
      <w:pPr>
        <w:pStyle w:val="Heading2"/>
        <w:spacing w:after="160" w:before="320"/>
      </w:pPr>
      <w:r>
        <w:rPr>
          <w:b/>
          <w:bCs/>
          <w:color w:val="2E74B5"/>
        </w:rPr>
        <w:t xml:space="preserve">6.2 Cost Analysis</w:t>
      </w:r>
    </w:p>
    <w:p>
      <w:pPr>
        <w:spacing w:after="80" w:before="200"/>
        <w:jc w:val="center"/>
      </w:pPr>
      <w:r>
        <w:drawing>
          <wp:inline distT="0" distB="0" distL="0" distR="0">
            <wp:extent cx="5334000" cy="3019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019425"/>
                    </a:xfrm>
                    <a:prstGeom prst="rect">
                      <a:avLst/>
                    </a:prstGeom>
                  </pic:spPr>
                </pic:pic>
              </a:graphicData>
            </a:graphic>
          </wp:inline>
        </w:drawing>
      </w:r>
    </w:p>
    <w:p>
      <w:pPr>
        <w:spacing w:after="240"/>
        <w:jc w:val="center"/>
      </w:pPr>
      <w:r>
        <w:rPr>
          <w:i/>
          <w:iCs/>
          <w:color w:val="595959"/>
          <w:sz w:val="18"/>
          <w:szCs w:val="18"/>
        </w:rPr>
        <w:t xml:space="preserve">Figure 4 — Cost analysis for Cost-Audit, August 2026, accumulated view.</w:t>
      </w:r>
    </w:p>
    <w:p>
      <w:pPr>
        <w:pStyle w:val="Heading3"/>
        <w:spacing w:after="120" w:before="240"/>
      </w:pPr>
      <w:r>
        <w:rPr>
          <w:b/>
          <w:bCs/>
        </w:rPr>
        <w:t xml:space="preserve">Spend vs. budget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0"/>
        <w:gridCol w:w="5000"/>
      </w:tblGrid>
      <w:tr>
        <w:trPr>
          <w:tblHeader/>
        </w:trPr>
        <w:tc>
          <w:tcPr>
            <w:tcW w:type="dxa" w:w="4000"/>
            <w:shd w:fill="1F3864" w:val="clear"/>
            <w:tcMar>
              <w:top w:type="dxa" w:w="80"/>
              <w:left w:type="dxa" w:w="100"/>
              <w:bottom w:type="dxa" w:w="80"/>
              <w:right w:type="dxa" w:w="100"/>
            </w:tcMar>
            <w:vAlign w:val="center"/>
          </w:tcPr>
          <w:p>
            <w:pPr>
              <w:jc w:val="left"/>
            </w:pPr>
            <w:r>
              <w:rPr>
                <w:b/>
                <w:bCs/>
                <w:color w:val="FFFFFF"/>
                <w:sz w:val="20"/>
                <w:szCs w:val="20"/>
              </w:rPr>
              <w:t xml:space="preserve">Metric</w:t>
            </w:r>
          </w:p>
        </w:tc>
        <w:tc>
          <w:tcPr>
            <w:tcW w:type="dxa" w:w="5000"/>
            <w:shd w:fill="1F3864" w:val="clear"/>
            <w:tcMar>
              <w:top w:type="dxa" w:w="80"/>
              <w:left w:type="dxa" w:w="100"/>
              <w:bottom w:type="dxa" w:w="80"/>
              <w:right w:type="dxa" w:w="100"/>
            </w:tcMar>
            <w:vAlign w:val="center"/>
          </w:tcPr>
          <w:p>
            <w:pPr>
              <w:jc w:val="left"/>
            </w:pPr>
            <w:r>
              <w:rPr>
                <w:b/>
                <w:bCs/>
                <w:color w:val="FFFFFF"/>
                <w:sz w:val="20"/>
                <w:szCs w:val="20"/>
              </w:rPr>
              <w:t xml:space="preserve">Value</w:t>
            </w:r>
          </w:p>
        </w:tc>
      </w:tr>
      <w:tr>
        <w:trPr>
          <w:cantSplit/>
        </w:trPr>
        <w:tc>
          <w:tcPr>
            <w:tcW w:type="dxa" w:w="4000"/>
            <w:tcMar>
              <w:top w:type="dxa" w:w="80"/>
              <w:left w:type="dxa" w:w="100"/>
              <w:bottom w:type="dxa" w:w="80"/>
              <w:right w:type="dxa" w:w="100"/>
            </w:tcMar>
            <w:vAlign w:val="center"/>
          </w:tcPr>
          <w:p>
            <w:pPr>
              <w:jc w:val="left"/>
            </w:pPr>
            <w:r>
              <w:rPr>
                <w:b w:val="false"/>
                <w:bCs w:val="false"/>
                <w:color w:val="000000"/>
                <w:sz w:val="20"/>
                <w:szCs w:val="20"/>
              </w:rPr>
              <w:t xml:space="preserve">Actual cost (Aug 1–5, 2026)</w:t>
            </w:r>
          </w:p>
        </w:tc>
        <w:tc>
          <w:tcPr>
            <w:tcW w:type="dxa" w:w="5000"/>
            <w:tcMar>
              <w:top w:type="dxa" w:w="80"/>
              <w:left w:type="dxa" w:w="100"/>
              <w:bottom w:type="dxa" w:w="80"/>
              <w:right w:type="dxa" w:w="100"/>
            </w:tcMar>
            <w:vAlign w:val="center"/>
          </w:tcPr>
          <w:p>
            <w:pPr>
              <w:jc w:val="left"/>
            </w:pPr>
            <w:r>
              <w:rPr>
                <w:b w:val="false"/>
                <w:bCs w:val="false"/>
                <w:color w:val="000000"/>
                <w:sz w:val="20"/>
                <w:szCs w:val="20"/>
              </w:rPr>
              <w:t xml:space="preserve">$22.01</w:t>
            </w:r>
          </w:p>
        </w:tc>
      </w:tr>
      <w:tr>
        <w:trPr>
          <w:cantSplit/>
        </w:trPr>
        <w:tc>
          <w:tcPr>
            <w:tcW w:type="dxa" w:w="4000"/>
            <w:shd w:fill="F2F2F2" w:val="clear"/>
            <w:tcMar>
              <w:top w:type="dxa" w:w="80"/>
              <w:left w:type="dxa" w:w="100"/>
              <w:bottom w:type="dxa" w:w="80"/>
              <w:right w:type="dxa" w:w="100"/>
            </w:tcMar>
            <w:vAlign w:val="center"/>
          </w:tcPr>
          <w:p>
            <w:pPr>
              <w:jc w:val="left"/>
            </w:pPr>
            <w:r>
              <w:rPr>
                <w:b w:val="false"/>
                <w:bCs w:val="false"/>
                <w:color w:val="000000"/>
                <w:sz w:val="20"/>
                <w:szCs w:val="20"/>
              </w:rPr>
              <w:t xml:space="preserve">Monthly budget (BUDGET-NG)</w:t>
            </w:r>
          </w:p>
        </w:tc>
        <w:tc>
          <w:tcPr>
            <w:tcW w:type="dxa" w:w="5000"/>
            <w:shd w:fill="F2F2F2" w:val="clear"/>
            <w:tcMar>
              <w:top w:type="dxa" w:w="80"/>
              <w:left w:type="dxa" w:w="100"/>
              <w:bottom w:type="dxa" w:w="80"/>
              <w:right w:type="dxa" w:w="100"/>
            </w:tcMar>
            <w:vAlign w:val="center"/>
          </w:tcPr>
          <w:p>
            <w:pPr>
              <w:jc w:val="left"/>
            </w:pPr>
            <w:r>
              <w:rPr>
                <w:b w:val="false"/>
                <w:bCs w:val="false"/>
                <w:color w:val="000000"/>
                <w:sz w:val="20"/>
                <w:szCs w:val="20"/>
              </w:rPr>
              <w:t xml:space="preserve">$20.00 / month</w:t>
            </w:r>
          </w:p>
        </w:tc>
      </w:tr>
      <w:tr>
        <w:trPr>
          <w:cantSplit/>
        </w:trPr>
        <w:tc>
          <w:tcPr>
            <w:tcW w:type="dxa" w:w="4000"/>
            <w:tcMar>
              <w:top w:type="dxa" w:w="80"/>
              <w:left w:type="dxa" w:w="100"/>
              <w:bottom w:type="dxa" w:w="80"/>
              <w:right w:type="dxa" w:w="100"/>
            </w:tcMar>
            <w:vAlign w:val="center"/>
          </w:tcPr>
          <w:p>
            <w:pPr>
              <w:jc w:val="left"/>
            </w:pPr>
            <w:r>
              <w:rPr>
                <w:b w:val="false"/>
                <w:bCs w:val="false"/>
                <w:color w:val="000000"/>
                <w:sz w:val="20"/>
                <w:szCs w:val="20"/>
              </w:rPr>
              <w:t xml:space="preserve">Budget status</w:t>
            </w:r>
          </w:p>
        </w:tc>
        <w:tc>
          <w:tcPr>
            <w:tcW w:type="dxa" w:w="5000"/>
            <w:tcMar>
              <w:top w:type="dxa" w:w="80"/>
              <w:left w:type="dxa" w:w="100"/>
              <w:bottom w:type="dxa" w:w="80"/>
              <w:right w:type="dxa" w:w="100"/>
            </w:tcMar>
            <w:vAlign w:val="center"/>
          </w:tcPr>
          <w:p>
            <w:pPr>
              <w:jc w:val="left"/>
            </w:pPr>
            <w:r>
              <w:rPr>
                <w:b w:val="false"/>
                <w:bCs w:val="false"/>
                <w:color w:val="000000"/>
                <w:sz w:val="20"/>
                <w:szCs w:val="20"/>
              </w:rPr>
              <w:t xml:space="preserve">Exceeded by $2.01 (110% of budget) only 5 days into the month</w:t>
            </w:r>
          </w:p>
        </w:tc>
      </w:tr>
      <w:tr>
        <w:trPr>
          <w:cantSplit/>
        </w:trPr>
        <w:tc>
          <w:tcPr>
            <w:tcW w:type="dxa" w:w="4000"/>
            <w:shd w:fill="F2F2F2" w:val="clear"/>
            <w:tcMar>
              <w:top w:type="dxa" w:w="80"/>
              <w:left w:type="dxa" w:w="100"/>
              <w:bottom w:type="dxa" w:w="80"/>
              <w:right w:type="dxa" w:w="100"/>
            </w:tcMar>
            <w:vAlign w:val="center"/>
          </w:tcPr>
          <w:p>
            <w:pPr>
              <w:jc w:val="left"/>
            </w:pPr>
            <w:r>
              <w:rPr>
                <w:b w:val="false"/>
                <w:bCs w:val="false"/>
                <w:color w:val="000000"/>
                <w:sz w:val="20"/>
                <w:szCs w:val="20"/>
              </w:rPr>
              <w:t xml:space="preserve">Forecast</w:t>
            </w:r>
          </w:p>
        </w:tc>
        <w:tc>
          <w:tcPr>
            <w:tcW w:type="dxa" w:w="5000"/>
            <w:shd w:fill="F2F2F2" w:val="clear"/>
            <w:tcMar>
              <w:top w:type="dxa" w:w="80"/>
              <w:left w:type="dxa" w:w="100"/>
              <w:bottom w:type="dxa" w:w="80"/>
              <w:right w:type="dxa" w:w="100"/>
            </w:tcMar>
            <w:vAlign w:val="center"/>
          </w:tcPr>
          <w:p>
            <w:pPr>
              <w:jc w:val="left"/>
            </w:pPr>
            <w:r>
              <w:rPr>
                <w:b w:val="false"/>
                <w:bCs w:val="false"/>
                <w:color w:val="000000"/>
                <w:sz w:val="20"/>
                <w:szCs w:val="20"/>
              </w:rPr>
              <w:t xml:space="preserve">Unavailable (insufficient historical data)</w:t>
            </w:r>
          </w:p>
        </w:tc>
      </w:tr>
    </w:tbl>
    <w:p>
      <w:pPr>
        <w:pStyle w:val="Heading3"/>
        <w:spacing w:after="120" w:before="240"/>
      </w:pPr>
      <w:r>
        <w:rPr>
          <w:b/>
          <w:bCs/>
        </w:rPr>
        <w:t xml:space="preserve">Spend by service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2800"/>
        <w:gridCol w:w="3000"/>
      </w:tblGrid>
      <w:tr>
        <w:trPr>
          <w:tblHeader/>
        </w:trPr>
        <w:tc>
          <w:tcPr>
            <w:tcW w:type="dxa" w:w="3200"/>
            <w:shd w:fill="1F3864" w:val="clear"/>
            <w:tcMar>
              <w:top w:type="dxa" w:w="80"/>
              <w:left w:type="dxa" w:w="100"/>
              <w:bottom w:type="dxa" w:w="80"/>
              <w:right w:type="dxa" w:w="100"/>
            </w:tcMar>
            <w:vAlign w:val="center"/>
          </w:tcPr>
          <w:p>
            <w:pPr>
              <w:jc w:val="left"/>
            </w:pPr>
            <w:r>
              <w:rPr>
                <w:b/>
                <w:bCs/>
                <w:color w:val="FFFFFF"/>
                <w:sz w:val="20"/>
                <w:szCs w:val="20"/>
              </w:rPr>
              <w:t xml:space="preserve">Service</w:t>
            </w:r>
          </w:p>
        </w:tc>
        <w:tc>
          <w:tcPr>
            <w:tcW w:type="dxa" w:w="2800"/>
            <w:shd w:fill="1F3864" w:val="clear"/>
            <w:tcMar>
              <w:top w:type="dxa" w:w="80"/>
              <w:left w:type="dxa" w:w="100"/>
              <w:bottom w:type="dxa" w:w="80"/>
              <w:right w:type="dxa" w:w="100"/>
            </w:tcMar>
            <w:vAlign w:val="center"/>
          </w:tcPr>
          <w:p>
            <w:pPr>
              <w:jc w:val="left"/>
            </w:pPr>
            <w:r>
              <w:rPr>
                <w:b/>
                <w:bCs/>
                <w:color w:val="FFFFFF"/>
                <w:sz w:val="20"/>
                <w:szCs w:val="20"/>
              </w:rPr>
              <w:t xml:space="preserve">Cost (USD)</w:t>
            </w:r>
          </w:p>
        </w:tc>
        <w:tc>
          <w:tcPr>
            <w:tcW w:type="dxa" w:w="3000"/>
            <w:shd w:fill="1F3864" w:val="clear"/>
            <w:tcMar>
              <w:top w:type="dxa" w:w="80"/>
              <w:left w:type="dxa" w:w="100"/>
              <w:bottom w:type="dxa" w:w="80"/>
              <w:right w:type="dxa" w:w="100"/>
            </w:tcMar>
            <w:vAlign w:val="center"/>
          </w:tcPr>
          <w:p>
            <w:pPr>
              <w:jc w:val="left"/>
            </w:pPr>
            <w:r>
              <w:rPr>
                <w:b/>
                <w:bCs/>
                <w:color w:val="FFFFFF"/>
                <w:sz w:val="20"/>
                <w:szCs w:val="20"/>
              </w:rPr>
              <w:t xml:space="preserve">% of total</w:t>
            </w:r>
          </w:p>
        </w:tc>
      </w:tr>
      <w:tr>
        <w:trPr>
          <w:cantSplit/>
        </w:trPr>
        <w:tc>
          <w:tcPr>
            <w:tcW w:type="dxa" w:w="3200"/>
            <w:tcMar>
              <w:top w:type="dxa" w:w="80"/>
              <w:left w:type="dxa" w:w="100"/>
              <w:bottom w:type="dxa" w:w="80"/>
              <w:right w:type="dxa" w:w="100"/>
            </w:tcMar>
            <w:vAlign w:val="center"/>
          </w:tcPr>
          <w:p>
            <w:pPr>
              <w:jc w:val="left"/>
            </w:pPr>
            <w:r>
              <w:rPr>
                <w:b w:val="false"/>
                <w:bCs w:val="false"/>
                <w:color w:val="000000"/>
                <w:sz w:val="20"/>
                <w:szCs w:val="20"/>
              </w:rPr>
              <w:t xml:space="preserve">Storage</w:t>
            </w:r>
          </w:p>
        </w:tc>
        <w:tc>
          <w:tcPr>
            <w:tcW w:type="dxa" w:w="2800"/>
            <w:tcMar>
              <w:top w:type="dxa" w:w="80"/>
              <w:left w:type="dxa" w:w="100"/>
              <w:bottom w:type="dxa" w:w="80"/>
              <w:right w:type="dxa" w:w="100"/>
            </w:tcMar>
            <w:vAlign w:val="center"/>
          </w:tcPr>
          <w:p>
            <w:pPr>
              <w:jc w:val="left"/>
            </w:pPr>
            <w:r>
              <w:rPr>
                <w:b w:val="false"/>
                <w:bCs w:val="false"/>
                <w:color w:val="000000"/>
                <w:sz w:val="20"/>
                <w:szCs w:val="20"/>
              </w:rPr>
              <w:t xml:space="preserve">$17.35</w:t>
            </w:r>
          </w:p>
        </w:tc>
        <w:tc>
          <w:tcPr>
            <w:tcW w:type="dxa" w:w="3000"/>
            <w:tcMar>
              <w:top w:type="dxa" w:w="80"/>
              <w:left w:type="dxa" w:w="100"/>
              <w:bottom w:type="dxa" w:w="80"/>
              <w:right w:type="dxa" w:w="100"/>
            </w:tcMar>
            <w:vAlign w:val="center"/>
          </w:tcPr>
          <w:p>
            <w:pPr>
              <w:jc w:val="left"/>
            </w:pPr>
            <w:r>
              <w:rPr>
                <w:b w:val="false"/>
                <w:bCs w:val="false"/>
                <w:color w:val="000000"/>
                <w:sz w:val="20"/>
                <w:szCs w:val="20"/>
              </w:rPr>
              <w:t xml:space="preserve">78.8%</w:t>
            </w:r>
          </w:p>
        </w:tc>
      </w:tr>
      <w:tr>
        <w:trPr>
          <w:cantSplit/>
        </w:trPr>
        <w:tc>
          <w:tcPr>
            <w:tcW w:type="dxa" w:w="3200"/>
            <w:shd w:fill="F2F2F2" w:val="clear"/>
            <w:tcMar>
              <w:top w:type="dxa" w:w="80"/>
              <w:left w:type="dxa" w:w="100"/>
              <w:bottom w:type="dxa" w:w="80"/>
              <w:right w:type="dxa" w:w="100"/>
            </w:tcMar>
            <w:vAlign w:val="center"/>
          </w:tcPr>
          <w:p>
            <w:pPr>
              <w:jc w:val="left"/>
            </w:pPr>
            <w:r>
              <w:rPr>
                <w:b w:val="false"/>
                <w:bCs w:val="false"/>
                <w:color w:val="000000"/>
                <w:sz w:val="20"/>
                <w:szCs w:val="20"/>
              </w:rPr>
              <w:t xml:space="preserve">Virtual Machines</w:t>
            </w:r>
          </w:p>
        </w:tc>
        <w:tc>
          <w:tcPr>
            <w:tcW w:type="dxa" w:w="2800"/>
            <w:shd w:fill="F2F2F2" w:val="clear"/>
            <w:tcMar>
              <w:top w:type="dxa" w:w="80"/>
              <w:left w:type="dxa" w:w="100"/>
              <w:bottom w:type="dxa" w:w="80"/>
              <w:right w:type="dxa" w:w="100"/>
            </w:tcMar>
            <w:vAlign w:val="center"/>
          </w:tcPr>
          <w:p>
            <w:pPr>
              <w:jc w:val="left"/>
            </w:pPr>
            <w:r>
              <w:rPr>
                <w:b w:val="false"/>
                <w:bCs w:val="false"/>
                <w:color w:val="000000"/>
                <w:sz w:val="20"/>
                <w:szCs w:val="20"/>
              </w:rPr>
              <w:t xml:space="preserve">$3.53</w:t>
            </w:r>
          </w:p>
        </w:tc>
        <w:tc>
          <w:tcPr>
            <w:tcW w:type="dxa" w:w="3000"/>
            <w:shd w:fill="F2F2F2" w:val="clear"/>
            <w:tcMar>
              <w:top w:type="dxa" w:w="80"/>
              <w:left w:type="dxa" w:w="100"/>
              <w:bottom w:type="dxa" w:w="80"/>
              <w:right w:type="dxa" w:w="100"/>
            </w:tcMar>
            <w:vAlign w:val="center"/>
          </w:tcPr>
          <w:p>
            <w:pPr>
              <w:jc w:val="left"/>
            </w:pPr>
            <w:r>
              <w:rPr>
                <w:b w:val="false"/>
                <w:bCs w:val="false"/>
                <w:color w:val="000000"/>
                <w:sz w:val="20"/>
                <w:szCs w:val="20"/>
              </w:rPr>
              <w:t xml:space="preserve">16.0%</w:t>
            </w:r>
          </w:p>
        </w:tc>
      </w:tr>
      <w:tr>
        <w:trPr>
          <w:cantSplit/>
        </w:trPr>
        <w:tc>
          <w:tcPr>
            <w:tcW w:type="dxa" w:w="3200"/>
            <w:tcMar>
              <w:top w:type="dxa" w:w="80"/>
              <w:left w:type="dxa" w:w="100"/>
              <w:bottom w:type="dxa" w:w="80"/>
              <w:right w:type="dxa" w:w="100"/>
            </w:tcMar>
            <w:vAlign w:val="center"/>
          </w:tcPr>
          <w:p>
            <w:pPr>
              <w:jc w:val="left"/>
            </w:pPr>
            <w:r>
              <w:rPr>
                <w:b w:val="false"/>
                <w:bCs w:val="false"/>
                <w:color w:val="000000"/>
                <w:sz w:val="20"/>
                <w:szCs w:val="20"/>
              </w:rPr>
              <w:t xml:space="preserve">Virtual Network</w:t>
            </w:r>
          </w:p>
        </w:tc>
        <w:tc>
          <w:tcPr>
            <w:tcW w:type="dxa" w:w="2800"/>
            <w:tcMar>
              <w:top w:type="dxa" w:w="80"/>
              <w:left w:type="dxa" w:w="100"/>
              <w:bottom w:type="dxa" w:w="80"/>
              <w:right w:type="dxa" w:w="100"/>
            </w:tcMar>
            <w:vAlign w:val="center"/>
          </w:tcPr>
          <w:p>
            <w:pPr>
              <w:jc w:val="left"/>
            </w:pPr>
            <w:r>
              <w:rPr>
                <w:b w:val="false"/>
                <w:bCs w:val="false"/>
                <w:color w:val="000000"/>
                <w:sz w:val="20"/>
                <w:szCs w:val="20"/>
              </w:rPr>
              <w:t xml:space="preserve">$1.12</w:t>
            </w:r>
          </w:p>
        </w:tc>
        <w:tc>
          <w:tcPr>
            <w:tcW w:type="dxa" w:w="3000"/>
            <w:tcMar>
              <w:top w:type="dxa" w:w="80"/>
              <w:left w:type="dxa" w:w="100"/>
              <w:bottom w:type="dxa" w:w="80"/>
              <w:right w:type="dxa" w:w="100"/>
            </w:tcMar>
            <w:vAlign w:val="center"/>
          </w:tcPr>
          <w:p>
            <w:pPr>
              <w:jc w:val="left"/>
            </w:pPr>
            <w:r>
              <w:rPr>
                <w:b w:val="false"/>
                <w:bCs w:val="false"/>
                <w:color w:val="000000"/>
                <w:sz w:val="20"/>
                <w:szCs w:val="20"/>
              </w:rPr>
              <w:t xml:space="preserve">5.1%</w:t>
            </w:r>
          </w:p>
        </w:tc>
      </w:tr>
      <w:tr>
        <w:trPr>
          <w:cantSplit/>
        </w:trPr>
        <w:tc>
          <w:tcPr>
            <w:tcW w:type="dxa" w:w="3200"/>
            <w:shd w:fill="F2F2F2" w:val="clear"/>
            <w:tcMar>
              <w:top w:type="dxa" w:w="80"/>
              <w:left w:type="dxa" w:w="100"/>
              <w:bottom w:type="dxa" w:w="80"/>
              <w:right w:type="dxa" w:w="100"/>
            </w:tcMar>
            <w:vAlign w:val="center"/>
          </w:tcPr>
          <w:p>
            <w:pPr>
              <w:jc w:val="left"/>
            </w:pPr>
            <w:r>
              <w:rPr>
                <w:b w:val="false"/>
                <w:bCs w:val="false"/>
                <w:color w:val="000000"/>
                <w:sz w:val="20"/>
                <w:szCs w:val="20"/>
              </w:rPr>
              <w:t xml:space="preserve">Bandwidth</w:t>
            </w:r>
          </w:p>
        </w:tc>
        <w:tc>
          <w:tcPr>
            <w:tcW w:type="dxa" w:w="2800"/>
            <w:shd w:fill="F2F2F2" w:val="clear"/>
            <w:tcMar>
              <w:top w:type="dxa" w:w="80"/>
              <w:left w:type="dxa" w:w="100"/>
              <w:bottom w:type="dxa" w:w="80"/>
              <w:right w:type="dxa" w:w="100"/>
            </w:tcMar>
            <w:vAlign w:val="center"/>
          </w:tcPr>
          <w:p>
            <w:pPr>
              <w:jc w:val="left"/>
            </w:pPr>
            <w:r>
              <w:rPr>
                <w:b w:val="false"/>
                <w:bCs w:val="false"/>
                <w:color w:val="000000"/>
                <w:sz w:val="20"/>
                <w:szCs w:val="20"/>
              </w:rPr>
              <w:t xml:space="preserve">&lt; $0.01</w:t>
            </w:r>
          </w:p>
        </w:tc>
        <w:tc>
          <w:tcPr>
            <w:tcW w:type="dxa" w:w="3000"/>
            <w:shd w:fill="F2F2F2" w:val="clear"/>
            <w:tcMar>
              <w:top w:type="dxa" w:w="80"/>
              <w:left w:type="dxa" w:w="100"/>
              <w:bottom w:type="dxa" w:w="80"/>
              <w:right w:type="dxa" w:w="100"/>
            </w:tcMar>
            <w:vAlign w:val="center"/>
          </w:tcPr>
          <w:p>
            <w:pPr>
              <w:jc w:val="left"/>
            </w:pPr>
            <w:r>
              <w:rPr>
                <w:b w:val="false"/>
                <w:bCs w:val="false"/>
                <w:color w:val="000000"/>
                <w:sz w:val="20"/>
                <w:szCs w:val="20"/>
              </w:rPr>
              <w:t xml:space="preserve">&lt; 0.1%</w:t>
            </w:r>
          </w:p>
        </w:tc>
      </w:tr>
    </w:tbl>
    <w:p>
      <w:pPr>
        <w:pStyle w:val="Heading3"/>
        <w:spacing w:after="120" w:before="240"/>
      </w:pPr>
      <w:r>
        <w:rPr>
          <w:b/>
          <w:bCs/>
        </w:rPr>
        <w:t xml:space="preserve">Spend by resource (top contributors)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200"/>
        <w:gridCol w:w="2800"/>
        <w:gridCol w:w="2000"/>
      </w:tblGrid>
      <w:tr>
        <w:trPr>
          <w:tblHeader/>
        </w:trPr>
        <w:tc>
          <w:tcPr>
            <w:tcW w:type="dxa" w:w="4200"/>
            <w:shd w:fill="1F3864" w:val="clear"/>
            <w:tcMar>
              <w:top w:type="dxa" w:w="80"/>
              <w:left w:type="dxa" w:w="100"/>
              <w:bottom w:type="dxa" w:w="80"/>
              <w:right w:type="dxa" w:w="100"/>
            </w:tcMar>
            <w:vAlign w:val="center"/>
          </w:tcPr>
          <w:p>
            <w:pPr>
              <w:jc w:val="left"/>
            </w:pPr>
            <w:r>
              <w:rPr>
                <w:b/>
                <w:bCs/>
                <w:color w:val="FFFFFF"/>
                <w:sz w:val="20"/>
                <w:szCs w:val="20"/>
              </w:rPr>
              <w:t xml:space="preserve">Resource</w:t>
            </w:r>
          </w:p>
        </w:tc>
        <w:tc>
          <w:tcPr>
            <w:tcW w:type="dxa" w:w="2800"/>
            <w:shd w:fill="1F3864" w:val="clear"/>
            <w:tcMar>
              <w:top w:type="dxa" w:w="80"/>
              <w:left w:type="dxa" w:w="100"/>
              <w:bottom w:type="dxa" w:w="80"/>
              <w:right w:type="dxa" w:w="100"/>
            </w:tcMar>
            <w:vAlign w:val="center"/>
          </w:tcPr>
          <w:p>
            <w:pPr>
              <w:jc w:val="left"/>
            </w:pPr>
            <w:r>
              <w:rPr>
                <w:b/>
                <w:bCs/>
                <w:color w:val="FFFFFF"/>
                <w:sz w:val="20"/>
                <w:szCs w:val="20"/>
              </w:rPr>
              <w:t xml:space="preserve">Cost (USD)</w:t>
            </w:r>
          </w:p>
        </w:tc>
        <w:tc>
          <w:tcPr>
            <w:tcW w:type="dxa" w:w="2000"/>
            <w:shd w:fill="1F3864" w:val="clear"/>
            <w:tcMar>
              <w:top w:type="dxa" w:w="80"/>
              <w:left w:type="dxa" w:w="100"/>
              <w:bottom w:type="dxa" w:w="80"/>
              <w:right w:type="dxa" w:w="100"/>
            </w:tcMar>
            <w:vAlign w:val="center"/>
          </w:tcPr>
          <w:p>
            <w:pPr>
              <w:jc w:val="left"/>
            </w:pPr>
            <w:r>
              <w:rPr>
                <w:b/>
                <w:bCs/>
                <w:color w:val="FFFFFF"/>
                <w:sz w:val="20"/>
                <w:szCs w:val="20"/>
              </w:rPr>
              <w:t xml:space="preserve">% of total</w:t>
            </w:r>
          </w:p>
        </w:tc>
      </w:tr>
      <w:tr>
        <w:trPr>
          <w:cantSplit/>
        </w:trPr>
        <w:tc>
          <w:tcPr>
            <w:tcW w:type="dxa" w:w="4200"/>
            <w:tcMar>
              <w:top w:type="dxa" w:w="80"/>
              <w:left w:type="dxa" w:w="100"/>
              <w:bottom w:type="dxa" w:w="80"/>
              <w:right w:type="dxa" w:w="100"/>
            </w:tcMar>
            <w:vAlign w:val="center"/>
          </w:tcPr>
          <w:p>
            <w:pPr>
              <w:jc w:val="left"/>
            </w:pPr>
            <w:r>
              <w:rPr>
                <w:b w:val="false"/>
                <w:bCs w:val="false"/>
                <w:color w:val="000000"/>
                <w:sz w:val="20"/>
                <w:szCs w:val="20"/>
              </w:rPr>
              <w:t xml:space="preserve">orphan-disk-demo (unattached disk)</w:t>
            </w:r>
          </w:p>
        </w:tc>
        <w:tc>
          <w:tcPr>
            <w:tcW w:type="dxa" w:w="2800"/>
            <w:tcMar>
              <w:top w:type="dxa" w:w="80"/>
              <w:left w:type="dxa" w:w="100"/>
              <w:bottom w:type="dxa" w:w="80"/>
              <w:right w:type="dxa" w:w="100"/>
            </w:tcMar>
            <w:vAlign w:val="center"/>
          </w:tcPr>
          <w:p>
            <w:pPr>
              <w:jc w:val="left"/>
            </w:pPr>
            <w:r>
              <w:rPr>
                <w:b w:val="false"/>
                <w:bCs w:val="false"/>
                <w:color w:val="000000"/>
                <w:sz w:val="20"/>
                <w:szCs w:val="20"/>
              </w:rPr>
              <w:t xml:space="preserve">$16.38</w:t>
            </w:r>
          </w:p>
        </w:tc>
        <w:tc>
          <w:tcPr>
            <w:tcW w:type="dxa" w:w="2000"/>
            <w:tcMar>
              <w:top w:type="dxa" w:w="80"/>
              <w:left w:type="dxa" w:w="100"/>
              <w:bottom w:type="dxa" w:w="80"/>
              <w:right w:type="dxa" w:w="100"/>
            </w:tcMar>
            <w:vAlign w:val="center"/>
          </w:tcPr>
          <w:p>
            <w:pPr>
              <w:jc w:val="left"/>
            </w:pPr>
            <w:r>
              <w:rPr>
                <w:b w:val="false"/>
                <w:bCs w:val="false"/>
                <w:color w:val="000000"/>
                <w:sz w:val="20"/>
                <w:szCs w:val="20"/>
              </w:rPr>
              <w:t xml:space="preserve">74.4%</w:t>
            </w:r>
          </w:p>
        </w:tc>
      </w:tr>
      <w:tr>
        <w:trPr>
          <w:cantSplit/>
        </w:trPr>
        <w:tc>
          <w:tcPr>
            <w:tcW w:type="dxa" w:w="4200"/>
            <w:shd w:fill="F2F2F2" w:val="clear"/>
            <w:tcMar>
              <w:top w:type="dxa" w:w="80"/>
              <w:left w:type="dxa" w:w="100"/>
              <w:bottom w:type="dxa" w:w="80"/>
              <w:right w:type="dxa" w:w="100"/>
            </w:tcMar>
            <w:vAlign w:val="center"/>
          </w:tcPr>
          <w:p>
            <w:pPr>
              <w:jc w:val="left"/>
            </w:pPr>
            <w:r>
              <w:rPr>
                <w:b w:val="false"/>
                <w:bCs w:val="false"/>
                <w:color w:val="000000"/>
                <w:sz w:val="20"/>
                <w:szCs w:val="20"/>
              </w:rPr>
              <w:t xml:space="preserve">vm-cost-audit-demo (virtual machine)</w:t>
            </w:r>
          </w:p>
        </w:tc>
        <w:tc>
          <w:tcPr>
            <w:tcW w:type="dxa" w:w="2800"/>
            <w:shd w:fill="F2F2F2" w:val="clear"/>
            <w:tcMar>
              <w:top w:type="dxa" w:w="80"/>
              <w:left w:type="dxa" w:w="100"/>
              <w:bottom w:type="dxa" w:w="80"/>
              <w:right w:type="dxa" w:w="100"/>
            </w:tcMar>
            <w:vAlign w:val="center"/>
          </w:tcPr>
          <w:p>
            <w:pPr>
              <w:jc w:val="left"/>
            </w:pPr>
            <w:r>
              <w:rPr>
                <w:b w:val="false"/>
                <w:bCs w:val="false"/>
                <w:color w:val="000000"/>
                <w:sz w:val="20"/>
                <w:szCs w:val="20"/>
              </w:rPr>
              <w:t xml:space="preserve">$3.53</w:t>
            </w:r>
          </w:p>
        </w:tc>
        <w:tc>
          <w:tcPr>
            <w:tcW w:type="dxa" w:w="2000"/>
            <w:shd w:fill="F2F2F2" w:val="clear"/>
            <w:tcMar>
              <w:top w:type="dxa" w:w="80"/>
              <w:left w:type="dxa" w:w="100"/>
              <w:bottom w:type="dxa" w:w="80"/>
              <w:right w:type="dxa" w:w="100"/>
            </w:tcMar>
            <w:vAlign w:val="center"/>
          </w:tcPr>
          <w:p>
            <w:pPr>
              <w:jc w:val="left"/>
            </w:pPr>
            <w:r>
              <w:rPr>
                <w:b w:val="false"/>
                <w:bCs w:val="false"/>
                <w:color w:val="000000"/>
                <w:sz w:val="20"/>
                <w:szCs w:val="20"/>
              </w:rPr>
              <w:t xml:space="preserve">16.0%</w:t>
            </w:r>
          </w:p>
        </w:tc>
      </w:tr>
      <w:tr>
        <w:trPr>
          <w:cantSplit/>
        </w:trPr>
        <w:tc>
          <w:tcPr>
            <w:tcW w:type="dxa" w:w="4200"/>
            <w:tcMar>
              <w:top w:type="dxa" w:w="80"/>
              <w:left w:type="dxa" w:w="100"/>
              <w:bottom w:type="dxa" w:w="80"/>
              <w:right w:type="dxa" w:w="100"/>
            </w:tcMar>
            <w:vAlign w:val="center"/>
          </w:tcPr>
          <w:p>
            <w:pPr>
              <w:jc w:val="left"/>
            </w:pPr>
            <w:r>
              <w:rPr>
                <w:b w:val="false"/>
                <w:bCs w:val="false"/>
                <w:color w:val="000000"/>
                <w:sz w:val="20"/>
                <w:szCs w:val="20"/>
              </w:rPr>
              <w:t xml:space="preserve">vm-cost-audit-demo-vnet (network)</w:t>
            </w:r>
          </w:p>
        </w:tc>
        <w:tc>
          <w:tcPr>
            <w:tcW w:type="dxa" w:w="2800"/>
            <w:tcMar>
              <w:top w:type="dxa" w:w="80"/>
              <w:left w:type="dxa" w:w="100"/>
              <w:bottom w:type="dxa" w:w="80"/>
              <w:right w:type="dxa" w:w="100"/>
            </w:tcMar>
            <w:vAlign w:val="center"/>
          </w:tcPr>
          <w:p>
            <w:pPr>
              <w:jc w:val="left"/>
            </w:pPr>
            <w:r>
              <w:rPr>
                <w:b w:val="false"/>
                <w:bCs w:val="false"/>
                <w:color w:val="000000"/>
                <w:sz w:val="20"/>
                <w:szCs w:val="20"/>
              </w:rPr>
              <w:t xml:space="preserve">$0.97</w:t>
            </w:r>
          </w:p>
        </w:tc>
        <w:tc>
          <w:tcPr>
            <w:tcW w:type="dxa" w:w="2000"/>
            <w:tcMar>
              <w:top w:type="dxa" w:w="80"/>
              <w:left w:type="dxa" w:w="100"/>
              <w:bottom w:type="dxa" w:w="80"/>
              <w:right w:type="dxa" w:w="100"/>
            </w:tcMar>
            <w:vAlign w:val="center"/>
          </w:tcPr>
          <w:p>
            <w:pPr>
              <w:jc w:val="left"/>
            </w:pPr>
            <w:r>
              <w:rPr>
                <w:b w:val="false"/>
                <w:bCs w:val="false"/>
                <w:color w:val="000000"/>
                <w:sz w:val="20"/>
                <w:szCs w:val="20"/>
              </w:rPr>
              <w:t xml:space="preserve">4.4%</w:t>
            </w:r>
          </w:p>
        </w:tc>
      </w:tr>
      <w:tr>
        <w:trPr>
          <w:cantSplit/>
        </w:trPr>
        <w:tc>
          <w:tcPr>
            <w:tcW w:type="dxa" w:w="4200"/>
            <w:shd w:fill="F2F2F2" w:val="clear"/>
            <w:tcMar>
              <w:top w:type="dxa" w:w="80"/>
              <w:left w:type="dxa" w:w="100"/>
              <w:bottom w:type="dxa" w:w="80"/>
              <w:right w:type="dxa" w:w="100"/>
            </w:tcMar>
            <w:vAlign w:val="center"/>
          </w:tcPr>
          <w:p>
            <w:pPr>
              <w:jc w:val="left"/>
            </w:pPr>
            <w:r>
              <w:rPr>
                <w:b w:val="false"/>
                <w:bCs w:val="false"/>
                <w:color w:val="000000"/>
                <w:sz w:val="20"/>
                <w:szCs w:val="20"/>
              </w:rPr>
              <w:t xml:space="preserve">All other resources (NIC, public IP, NSG)</w:t>
            </w:r>
          </w:p>
        </w:tc>
        <w:tc>
          <w:tcPr>
            <w:tcW w:type="dxa" w:w="2800"/>
            <w:shd w:fill="F2F2F2" w:val="clear"/>
            <w:tcMar>
              <w:top w:type="dxa" w:w="80"/>
              <w:left w:type="dxa" w:w="100"/>
              <w:bottom w:type="dxa" w:w="80"/>
              <w:right w:type="dxa" w:w="100"/>
            </w:tcMar>
            <w:vAlign w:val="center"/>
          </w:tcPr>
          <w:p>
            <w:pPr>
              <w:jc w:val="left"/>
            </w:pPr>
            <w:r>
              <w:rPr>
                <w:b w:val="false"/>
                <w:bCs w:val="false"/>
                <w:color w:val="000000"/>
                <w:sz w:val="20"/>
                <w:szCs w:val="20"/>
              </w:rPr>
              <w:t xml:space="preserve">$0.13</w:t>
            </w:r>
          </w:p>
        </w:tc>
        <w:tc>
          <w:tcPr>
            <w:tcW w:type="dxa" w:w="2000"/>
            <w:shd w:fill="F2F2F2" w:val="clear"/>
            <w:tcMar>
              <w:top w:type="dxa" w:w="80"/>
              <w:left w:type="dxa" w:w="100"/>
              <w:bottom w:type="dxa" w:w="80"/>
              <w:right w:type="dxa" w:w="100"/>
            </w:tcMar>
            <w:vAlign w:val="center"/>
          </w:tcPr>
          <w:p>
            <w:pPr>
              <w:jc w:val="left"/>
            </w:pPr>
            <w:r>
              <w:rPr>
                <w:b w:val="false"/>
                <w:bCs w:val="false"/>
                <w:color w:val="000000"/>
                <w:sz w:val="20"/>
                <w:szCs w:val="20"/>
              </w:rPr>
              <w:t xml:space="preserve">0.6%</w:t>
            </w:r>
          </w:p>
        </w:tc>
      </w:tr>
    </w:tbl>
    <w:p>
      <w:pPr>
        <w:spacing w:after="160"/>
      </w:pPr>
      <w:r>
        <w:rPr>
          <w:i/>
          <w:iCs/>
          <w:color w:val="C00000"/>
        </w:rPr>
        <w:t xml:space="preserve">Observation: a single unattached disk — doing no work for the business — is responsible for nearly three-quarters of all spend in this resource group and is, on its own, the reason the monthly budget was breached in the first week of the billing cycle.</w:t>
      </w:r>
    </w:p>
    <w:p>
      <w:pPr>
        <w:pStyle w:val="Heading2"/>
        <w:spacing w:after="160" w:before="320"/>
      </w:pPr>
      <w:r>
        <w:rPr>
          <w:b/>
          <w:bCs/>
          <w:color w:val="2E74B5"/>
        </w:rPr>
        <w:t xml:space="preserve">6.3 Compute (Virtual Machine) Utilization Review</w:t>
      </w:r>
    </w:p>
    <w:p>
      <w:pPr>
        <w:spacing w:after="80" w:before="200"/>
        <w:jc w:val="center"/>
      </w:pPr>
      <w:r>
        <w:drawing>
          <wp:inline distT="0" distB="0" distL="0" distR="0">
            <wp:extent cx="4953000" cy="2686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53000" cy="2686050"/>
                    </a:xfrm>
                    <a:prstGeom prst="rect">
                      <a:avLst/>
                    </a:prstGeom>
                  </pic:spPr>
                </pic:pic>
              </a:graphicData>
            </a:graphic>
          </wp:inline>
        </w:drawing>
      </w:r>
    </w:p>
    <w:p>
      <w:pPr>
        <w:spacing w:after="240"/>
        <w:jc w:val="center"/>
      </w:pPr>
      <w:r>
        <w:rPr>
          <w:i/>
          <w:iCs/>
          <w:color w:val="595959"/>
          <w:sz w:val="18"/>
          <w:szCs w:val="18"/>
        </w:rPr>
        <w:t xml:space="preserve">Figure 5 — vm-cost-audit-demo configuration: Standard B2ls v2, 2 vCPUs, 4 GiB RAM.</w:t>
      </w:r>
    </w:p>
    <w:p>
      <w:pPr>
        <w:spacing w:after="80" w:before="200"/>
        <w:jc w:val="center"/>
      </w:pPr>
      <w:r>
        <w:drawing>
          <wp:inline distT="0" distB="0" distL="0" distR="0">
            <wp:extent cx="533400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619375"/>
                    </a:xfrm>
                    <a:prstGeom prst="rect">
                      <a:avLst/>
                    </a:prstGeom>
                  </pic:spPr>
                </pic:pic>
              </a:graphicData>
            </a:graphic>
          </wp:inline>
        </w:drawing>
      </w:r>
    </w:p>
    <w:p>
      <w:pPr>
        <w:spacing w:after="240"/>
        <w:jc w:val="center"/>
      </w:pPr>
      <w:r>
        <w:rPr>
          <w:i/>
          <w:iCs/>
          <w:color w:val="595959"/>
          <w:sz w:val="18"/>
          <w:szCs w:val="18"/>
        </w:rPr>
        <w:t xml:space="preserve">Figure 6 — Average CPU utilization, trailing 7 days: 0.1719%.</w:t>
      </w:r>
    </w:p>
    <w:p>
      <w:pPr>
        <w:spacing w:after="80" w:before="200"/>
        <w:jc w:val="center"/>
      </w:pPr>
      <w:r>
        <w:drawing>
          <wp:inline distT="0" distB="0" distL="0" distR="0">
            <wp:extent cx="4572000" cy="2019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2019300"/>
                    </a:xfrm>
                    <a:prstGeom prst="rect">
                      <a:avLst/>
                    </a:prstGeom>
                  </pic:spPr>
                </pic:pic>
              </a:graphicData>
            </a:graphic>
          </wp:inline>
        </w:drawing>
      </w:r>
    </w:p>
    <w:p>
      <w:pPr>
        <w:spacing w:after="240"/>
        <w:jc w:val="center"/>
      </w:pPr>
      <w:r>
        <w:rPr>
          <w:i/>
          <w:iCs/>
          <w:color w:val="595959"/>
          <w:sz w:val="18"/>
          <w:szCs w:val="18"/>
        </w:rPr>
        <w:t xml:space="preserve">Figure 7 — VM status at time of audit: Stopped (deallocated).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600"/>
        <w:gridCol w:w="5400"/>
      </w:tblGrid>
      <w:tr>
        <w:trPr>
          <w:tblHeader/>
        </w:trPr>
        <w:tc>
          <w:tcPr>
            <w:tcW w:type="dxa" w:w="3600"/>
            <w:shd w:fill="1F3864" w:val="clear"/>
            <w:tcMar>
              <w:top w:type="dxa" w:w="80"/>
              <w:left w:type="dxa" w:w="100"/>
              <w:bottom w:type="dxa" w:w="80"/>
              <w:right w:type="dxa" w:w="100"/>
            </w:tcMar>
            <w:vAlign w:val="center"/>
          </w:tcPr>
          <w:p>
            <w:pPr>
              <w:jc w:val="left"/>
            </w:pPr>
            <w:r>
              <w:rPr>
                <w:b/>
                <w:bCs/>
                <w:color w:val="FFFFFF"/>
                <w:sz w:val="20"/>
                <w:szCs w:val="20"/>
              </w:rPr>
              <w:t xml:space="preserve">Property</w:t>
            </w:r>
          </w:p>
        </w:tc>
        <w:tc>
          <w:tcPr>
            <w:tcW w:type="dxa" w:w="5400"/>
            <w:shd w:fill="1F3864" w:val="clear"/>
            <w:tcMar>
              <w:top w:type="dxa" w:w="80"/>
              <w:left w:type="dxa" w:w="100"/>
              <w:bottom w:type="dxa" w:w="80"/>
              <w:right w:type="dxa" w:w="100"/>
            </w:tcMar>
            <w:vAlign w:val="center"/>
          </w:tcPr>
          <w:p>
            <w:pPr>
              <w:jc w:val="left"/>
            </w:pPr>
            <w:r>
              <w:rPr>
                <w:b/>
                <w:bCs/>
                <w:color w:val="FFFFFF"/>
                <w:sz w:val="20"/>
                <w:szCs w:val="20"/>
              </w:rPr>
              <w:t xml:space="preserve">Value</w:t>
            </w:r>
          </w:p>
        </w:tc>
      </w:tr>
      <w:tr>
        <w:trPr>
          <w:cantSplit/>
        </w:trPr>
        <w:tc>
          <w:tcPr>
            <w:tcW w:type="dxa" w:w="3600"/>
            <w:tcMar>
              <w:top w:type="dxa" w:w="80"/>
              <w:left w:type="dxa" w:w="100"/>
              <w:bottom w:type="dxa" w:w="80"/>
              <w:right w:type="dxa" w:w="100"/>
            </w:tcMar>
            <w:vAlign w:val="center"/>
          </w:tcPr>
          <w:p>
            <w:pPr>
              <w:jc w:val="left"/>
            </w:pPr>
            <w:r>
              <w:rPr>
                <w:b w:val="false"/>
                <w:bCs w:val="false"/>
                <w:color w:val="000000"/>
                <w:sz w:val="20"/>
                <w:szCs w:val="20"/>
              </w:rPr>
              <w:t xml:space="preserve">VM name</w:t>
            </w:r>
          </w:p>
        </w:tc>
        <w:tc>
          <w:tcPr>
            <w:tcW w:type="dxa" w:w="5400"/>
            <w:tcMar>
              <w:top w:type="dxa" w:w="80"/>
              <w:left w:type="dxa" w:w="100"/>
              <w:bottom w:type="dxa" w:w="80"/>
              <w:right w:type="dxa" w:w="100"/>
            </w:tcMar>
            <w:vAlign w:val="center"/>
          </w:tcPr>
          <w:p>
            <w:pPr>
              <w:jc w:val="left"/>
            </w:pPr>
            <w:r>
              <w:rPr>
                <w:b w:val="false"/>
                <w:bCs w:val="false"/>
                <w:color w:val="000000"/>
                <w:sz w:val="20"/>
                <w:szCs w:val="20"/>
              </w:rPr>
              <w:t xml:space="preserve">vm-cost-audit-demo</w:t>
            </w:r>
          </w:p>
        </w:tc>
      </w:tr>
      <w:tr>
        <w:trPr>
          <w:cantSplit/>
        </w:trPr>
        <w:tc>
          <w:tcPr>
            <w:tcW w:type="dxa" w:w="3600"/>
            <w:shd w:fill="F2F2F2" w:val="clear"/>
            <w:tcMar>
              <w:top w:type="dxa" w:w="80"/>
              <w:left w:type="dxa" w:w="100"/>
              <w:bottom w:type="dxa" w:w="80"/>
              <w:right w:type="dxa" w:w="100"/>
            </w:tcMar>
            <w:vAlign w:val="center"/>
          </w:tcPr>
          <w:p>
            <w:pPr>
              <w:jc w:val="left"/>
            </w:pPr>
            <w:r>
              <w:rPr>
                <w:b w:val="false"/>
                <w:bCs w:val="false"/>
                <w:color w:val="000000"/>
                <w:sz w:val="20"/>
                <w:szCs w:val="20"/>
              </w:rPr>
              <w:t xml:space="preserve">Operating system</w:t>
            </w:r>
          </w:p>
        </w:tc>
        <w:tc>
          <w:tcPr>
            <w:tcW w:type="dxa" w:w="5400"/>
            <w:shd w:fill="F2F2F2" w:val="clear"/>
            <w:tcMar>
              <w:top w:type="dxa" w:w="80"/>
              <w:left w:type="dxa" w:w="100"/>
              <w:bottom w:type="dxa" w:w="80"/>
              <w:right w:type="dxa" w:w="100"/>
            </w:tcMar>
            <w:vAlign w:val="center"/>
          </w:tcPr>
          <w:p>
            <w:pPr>
              <w:jc w:val="left"/>
            </w:pPr>
            <w:r>
              <w:rPr>
                <w:b w:val="false"/>
                <w:bCs w:val="false"/>
                <w:color w:val="000000"/>
                <w:sz w:val="20"/>
                <w:szCs w:val="20"/>
              </w:rPr>
              <w:t xml:space="preserve">Linux — Ubuntu 22.04 LTS (Pro)</w:t>
            </w:r>
          </w:p>
        </w:tc>
      </w:tr>
      <w:tr>
        <w:trPr>
          <w:cantSplit/>
        </w:trPr>
        <w:tc>
          <w:tcPr>
            <w:tcW w:type="dxa" w:w="3600"/>
            <w:tcMar>
              <w:top w:type="dxa" w:w="80"/>
              <w:left w:type="dxa" w:w="100"/>
              <w:bottom w:type="dxa" w:w="80"/>
              <w:right w:type="dxa" w:w="100"/>
            </w:tcMar>
            <w:vAlign w:val="center"/>
          </w:tcPr>
          <w:p>
            <w:pPr>
              <w:jc w:val="left"/>
            </w:pPr>
            <w:r>
              <w:rPr>
                <w:b w:val="false"/>
                <w:bCs w:val="false"/>
                <w:color w:val="000000"/>
                <w:sz w:val="20"/>
                <w:szCs w:val="20"/>
              </w:rPr>
              <w:t xml:space="preserve">Size</w:t>
            </w:r>
          </w:p>
        </w:tc>
        <w:tc>
          <w:tcPr>
            <w:tcW w:type="dxa" w:w="5400"/>
            <w:tcMar>
              <w:top w:type="dxa" w:w="80"/>
              <w:left w:type="dxa" w:w="100"/>
              <w:bottom w:type="dxa" w:w="80"/>
              <w:right w:type="dxa" w:w="100"/>
            </w:tcMar>
            <w:vAlign w:val="center"/>
          </w:tcPr>
          <w:p>
            <w:pPr>
              <w:jc w:val="left"/>
            </w:pPr>
            <w:r>
              <w:rPr>
                <w:b w:val="false"/>
                <w:bCs w:val="false"/>
                <w:color w:val="000000"/>
                <w:sz w:val="20"/>
                <w:szCs w:val="20"/>
              </w:rPr>
              <w:t xml:space="preserve">Standard B2ls v2 (2 vCPUs, 4 GiB RAM)</w:t>
            </w:r>
          </w:p>
        </w:tc>
      </w:tr>
      <w:tr>
        <w:trPr>
          <w:cantSplit/>
        </w:trPr>
        <w:tc>
          <w:tcPr>
            <w:tcW w:type="dxa" w:w="3600"/>
            <w:shd w:fill="F2F2F2" w:val="clear"/>
            <w:tcMar>
              <w:top w:type="dxa" w:w="80"/>
              <w:left w:type="dxa" w:w="100"/>
              <w:bottom w:type="dxa" w:w="80"/>
              <w:right w:type="dxa" w:w="100"/>
            </w:tcMar>
            <w:vAlign w:val="center"/>
          </w:tcPr>
          <w:p>
            <w:pPr>
              <w:jc w:val="left"/>
            </w:pPr>
            <w:r>
              <w:rPr>
                <w:b w:val="false"/>
                <w:bCs w:val="false"/>
                <w:color w:val="000000"/>
                <w:sz w:val="20"/>
                <w:szCs w:val="20"/>
              </w:rPr>
              <w:t xml:space="preserve">Region</w:t>
            </w:r>
          </w:p>
        </w:tc>
        <w:tc>
          <w:tcPr>
            <w:tcW w:type="dxa" w:w="5400"/>
            <w:shd w:fill="F2F2F2" w:val="clear"/>
            <w:tcMar>
              <w:top w:type="dxa" w:w="80"/>
              <w:left w:type="dxa" w:w="100"/>
              <w:bottom w:type="dxa" w:w="80"/>
              <w:right w:type="dxa" w:w="100"/>
            </w:tcMar>
            <w:vAlign w:val="center"/>
          </w:tcPr>
          <w:p>
            <w:pPr>
              <w:jc w:val="left"/>
            </w:pPr>
            <w:r>
              <w:rPr>
                <w:b w:val="false"/>
                <w:bCs w:val="false"/>
                <w:color w:val="000000"/>
                <w:sz w:val="20"/>
                <w:szCs w:val="20"/>
              </w:rPr>
              <w:t xml:space="preserve">South Africa North (Zone 1)</w:t>
            </w:r>
          </w:p>
        </w:tc>
      </w:tr>
      <w:tr>
        <w:trPr>
          <w:cantSplit/>
        </w:trPr>
        <w:tc>
          <w:tcPr>
            <w:tcW w:type="dxa" w:w="3600"/>
            <w:tcMar>
              <w:top w:type="dxa" w:w="80"/>
              <w:left w:type="dxa" w:w="100"/>
              <w:bottom w:type="dxa" w:w="80"/>
              <w:right w:type="dxa" w:w="100"/>
            </w:tcMar>
            <w:vAlign w:val="center"/>
          </w:tcPr>
          <w:p>
            <w:pPr>
              <w:jc w:val="left"/>
            </w:pPr>
            <w:r>
              <w:rPr>
                <w:b w:val="false"/>
                <w:bCs w:val="false"/>
                <w:color w:val="000000"/>
                <w:sz w:val="20"/>
                <w:szCs w:val="20"/>
              </w:rPr>
              <w:t xml:space="preserve">Status at time of audit</w:t>
            </w:r>
          </w:p>
        </w:tc>
        <w:tc>
          <w:tcPr>
            <w:tcW w:type="dxa" w:w="5400"/>
            <w:tcMar>
              <w:top w:type="dxa" w:w="80"/>
              <w:left w:type="dxa" w:w="100"/>
              <w:bottom w:type="dxa" w:w="80"/>
              <w:right w:type="dxa" w:w="100"/>
            </w:tcMar>
            <w:vAlign w:val="center"/>
          </w:tcPr>
          <w:p>
            <w:pPr>
              <w:jc w:val="left"/>
            </w:pPr>
            <w:r>
              <w:rPr>
                <w:b w:val="false"/>
                <w:bCs w:val="false"/>
                <w:color w:val="000000"/>
                <w:sz w:val="20"/>
                <w:szCs w:val="20"/>
              </w:rPr>
              <w:t xml:space="preserve">Stopped (deallocated)</w:t>
            </w:r>
          </w:p>
        </w:tc>
      </w:tr>
      <w:tr>
        <w:trPr>
          <w:cantSplit/>
        </w:trPr>
        <w:tc>
          <w:tcPr>
            <w:tcW w:type="dxa" w:w="3600"/>
            <w:shd w:fill="F2F2F2" w:val="clear"/>
            <w:tcMar>
              <w:top w:type="dxa" w:w="80"/>
              <w:left w:type="dxa" w:w="100"/>
              <w:bottom w:type="dxa" w:w="80"/>
              <w:right w:type="dxa" w:w="100"/>
            </w:tcMar>
            <w:vAlign w:val="center"/>
          </w:tcPr>
          <w:p>
            <w:pPr>
              <w:jc w:val="left"/>
            </w:pPr>
            <w:r>
              <w:rPr>
                <w:b w:val="false"/>
                <w:bCs w:val="false"/>
                <w:color w:val="000000"/>
                <w:sz w:val="20"/>
                <w:szCs w:val="20"/>
              </w:rPr>
              <w:t xml:space="preserve">Auto-shutdown</w:t>
            </w:r>
          </w:p>
        </w:tc>
        <w:tc>
          <w:tcPr>
            <w:tcW w:type="dxa" w:w="5400"/>
            <w:shd w:fill="F2F2F2" w:val="clear"/>
            <w:tcMar>
              <w:top w:type="dxa" w:w="80"/>
              <w:left w:type="dxa" w:w="100"/>
              <w:bottom w:type="dxa" w:w="80"/>
              <w:right w:type="dxa" w:w="100"/>
            </w:tcMar>
            <w:vAlign w:val="center"/>
          </w:tcPr>
          <w:p>
            <w:pPr>
              <w:jc w:val="left"/>
            </w:pPr>
            <w:r>
              <w:rPr>
                <w:b w:val="false"/>
                <w:bCs w:val="false"/>
                <w:color w:val="000000"/>
                <w:sz w:val="20"/>
                <w:szCs w:val="20"/>
              </w:rPr>
              <w:t xml:space="preserve">Not enabled</w:t>
            </w:r>
          </w:p>
        </w:tc>
      </w:tr>
      <w:tr>
        <w:trPr>
          <w:cantSplit/>
        </w:trPr>
        <w:tc>
          <w:tcPr>
            <w:tcW w:type="dxa" w:w="3600"/>
            <w:tcMar>
              <w:top w:type="dxa" w:w="80"/>
              <w:left w:type="dxa" w:w="100"/>
              <w:bottom w:type="dxa" w:w="80"/>
              <w:right w:type="dxa" w:w="100"/>
            </w:tcMar>
            <w:vAlign w:val="center"/>
          </w:tcPr>
          <w:p>
            <w:pPr>
              <w:jc w:val="left"/>
            </w:pPr>
            <w:r>
              <w:rPr>
                <w:b w:val="false"/>
                <w:bCs w:val="false"/>
                <w:color w:val="000000"/>
                <w:sz w:val="20"/>
                <w:szCs w:val="20"/>
              </w:rPr>
              <w:t xml:space="preserve">Average CPU, trailing 7 days</w:t>
            </w:r>
          </w:p>
        </w:tc>
        <w:tc>
          <w:tcPr>
            <w:tcW w:type="dxa" w:w="5400"/>
            <w:tcMar>
              <w:top w:type="dxa" w:w="80"/>
              <w:left w:type="dxa" w:w="100"/>
              <w:bottom w:type="dxa" w:w="80"/>
              <w:right w:type="dxa" w:w="100"/>
            </w:tcMar>
            <w:vAlign w:val="center"/>
          </w:tcPr>
          <w:p>
            <w:pPr>
              <w:jc w:val="left"/>
            </w:pPr>
            <w:r>
              <w:rPr>
                <w:b w:val="false"/>
                <w:bCs w:val="false"/>
                <w:color w:val="000000"/>
                <w:sz w:val="20"/>
                <w:szCs w:val="20"/>
              </w:rPr>
              <w:t xml:space="preserve">0.17%</w:t>
            </w:r>
          </w:p>
        </w:tc>
      </w:tr>
      <w:tr>
        <w:trPr>
          <w:cantSplit/>
        </w:trPr>
        <w:tc>
          <w:tcPr>
            <w:tcW w:type="dxa" w:w="3600"/>
            <w:shd w:fill="F2F2F2" w:val="clear"/>
            <w:tcMar>
              <w:top w:type="dxa" w:w="80"/>
              <w:left w:type="dxa" w:w="100"/>
              <w:bottom w:type="dxa" w:w="80"/>
              <w:right w:type="dxa" w:w="100"/>
            </w:tcMar>
            <w:vAlign w:val="center"/>
          </w:tcPr>
          <w:p>
            <w:pPr>
              <w:jc w:val="left"/>
            </w:pPr>
            <w:r>
              <w:rPr>
                <w:b w:val="false"/>
                <w:bCs w:val="false"/>
                <w:color w:val="000000"/>
                <w:sz w:val="20"/>
                <w:szCs w:val="20"/>
              </w:rPr>
              <w:t xml:space="preserve">Peak CPU, trailing 7 days</w:t>
            </w:r>
          </w:p>
        </w:tc>
        <w:tc>
          <w:tcPr>
            <w:tcW w:type="dxa" w:w="5400"/>
            <w:shd w:fill="F2F2F2" w:val="clear"/>
            <w:tcMar>
              <w:top w:type="dxa" w:w="80"/>
              <w:left w:type="dxa" w:w="100"/>
              <w:bottom w:type="dxa" w:w="80"/>
              <w:right w:type="dxa" w:w="100"/>
            </w:tcMar>
            <w:vAlign w:val="center"/>
          </w:tcPr>
          <w:p>
            <w:pPr>
              <w:jc w:val="left"/>
            </w:pPr>
            <w:r>
              <w:rPr>
                <w:b w:val="false"/>
                <w:bCs w:val="false"/>
                <w:color w:val="000000"/>
                <w:sz w:val="20"/>
                <w:szCs w:val="20"/>
              </w:rPr>
              <w:t xml:space="preserve">~1.6% (prior to the VM being stopped)</w:t>
            </w:r>
          </w:p>
        </w:tc>
      </w:tr>
      <w:tr>
        <w:trPr>
          <w:cantSplit/>
        </w:trPr>
        <w:tc>
          <w:tcPr>
            <w:tcW w:type="dxa" w:w="3600"/>
            <w:tcMar>
              <w:top w:type="dxa" w:w="80"/>
              <w:left w:type="dxa" w:w="100"/>
              <w:bottom w:type="dxa" w:w="80"/>
              <w:right w:type="dxa" w:w="100"/>
            </w:tcMar>
            <w:vAlign w:val="center"/>
          </w:tcPr>
          <w:p>
            <w:pPr>
              <w:jc w:val="left"/>
            </w:pPr>
            <w:r>
              <w:rPr>
                <w:b w:val="false"/>
                <w:bCs w:val="false"/>
                <w:color w:val="000000"/>
                <w:sz w:val="20"/>
                <w:szCs w:val="20"/>
              </w:rPr>
              <w:t xml:space="preserve">Public IP</w:t>
            </w:r>
          </w:p>
        </w:tc>
        <w:tc>
          <w:tcPr>
            <w:tcW w:type="dxa" w:w="5400"/>
            <w:tcMar>
              <w:top w:type="dxa" w:w="80"/>
              <w:left w:type="dxa" w:w="100"/>
              <w:bottom w:type="dxa" w:w="80"/>
              <w:right w:type="dxa" w:w="100"/>
            </w:tcMar>
            <w:vAlign w:val="center"/>
          </w:tcPr>
          <w:p>
            <w:pPr>
              <w:jc w:val="left"/>
            </w:pPr>
            <w:r>
              <w:rPr>
                <w:b w:val="false"/>
                <w:bCs w:val="false"/>
                <w:color w:val="000000"/>
                <w:sz w:val="20"/>
                <w:szCs w:val="20"/>
              </w:rPr>
              <w:t xml:space="preserve">4.222.218.107 (static allocation)</w:t>
            </w:r>
          </w:p>
        </w:tc>
      </w:tr>
      <w:tr>
        <w:trPr>
          <w:cantSplit/>
        </w:trPr>
        <w:tc>
          <w:tcPr>
            <w:tcW w:type="dxa" w:w="3600"/>
            <w:shd w:fill="F2F2F2" w:val="clear"/>
            <w:tcMar>
              <w:top w:type="dxa" w:w="80"/>
              <w:left w:type="dxa" w:w="100"/>
              <w:bottom w:type="dxa" w:w="80"/>
              <w:right w:type="dxa" w:w="100"/>
            </w:tcMar>
            <w:vAlign w:val="center"/>
          </w:tcPr>
          <w:p>
            <w:pPr>
              <w:jc w:val="left"/>
            </w:pPr>
            <w:r>
              <w:rPr>
                <w:b w:val="false"/>
                <w:bCs w:val="false"/>
                <w:color w:val="000000"/>
                <w:sz w:val="20"/>
                <w:szCs w:val="20"/>
              </w:rPr>
              <w:t xml:space="preserve">Created</w:t>
            </w:r>
          </w:p>
        </w:tc>
        <w:tc>
          <w:tcPr>
            <w:tcW w:type="dxa" w:w="5400"/>
            <w:shd w:fill="F2F2F2" w:val="clear"/>
            <w:tcMar>
              <w:top w:type="dxa" w:w="80"/>
              <w:left w:type="dxa" w:w="100"/>
              <w:bottom w:type="dxa" w:w="80"/>
              <w:right w:type="dxa" w:w="100"/>
            </w:tcMar>
            <w:vAlign w:val="center"/>
          </w:tcPr>
          <w:p>
            <w:pPr>
              <w:jc w:val="left"/>
            </w:pPr>
            <w:r>
              <w:rPr>
                <w:b w:val="false"/>
                <w:bCs w:val="false"/>
                <w:color w:val="000000"/>
                <w:sz w:val="20"/>
                <w:szCs w:val="20"/>
              </w:rPr>
              <w:t xml:space="preserve">August 3, 2026, 12:39 PM UTC</w:t>
            </w:r>
          </w:p>
        </w:tc>
      </w:tr>
    </w:tbl>
    <w:p>
      <w:pPr>
        <w:spacing w:after="160"/>
      </w:pPr>
      <w:r>
        <w:rPr>
          <w:i/>
          <w:iCs/>
          <w:color w:val="C00000"/>
        </w:rPr>
        <w:t xml:space="preserve">Observation: sustained CPU utilization below 1% indicates the VM is significantly oversized for its actual workload (idle/demo usage), and the absence of an auto-shutdown schedule means the VM would continue to accrue compute charges around the clock whenever it is running, regardless of whether anyone is using it.</w:t>
      </w:r>
    </w:p>
    <w:p>
      <w:pPr>
        <w:pStyle w:val="Heading2"/>
        <w:spacing w:after="160" w:before="320"/>
      </w:pPr>
      <w:r>
        <w:rPr>
          <w:b/>
          <w:bCs/>
          <w:color w:val="2E74B5"/>
        </w:rPr>
        <w:t xml:space="preserve">6.4 Storage Account Review</w:t>
      </w:r>
    </w:p>
    <w:p>
      <w:pPr>
        <w:spacing w:after="80" w:before="200"/>
        <w:jc w:val="center"/>
      </w:pPr>
      <w:r>
        <w:drawing>
          <wp:inline distT="0" distB="0" distL="0" distR="0">
            <wp:extent cx="4762500" cy="3467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3467100"/>
                    </a:xfrm>
                    <a:prstGeom prst="rect">
                      <a:avLst/>
                    </a:prstGeom>
                  </pic:spPr>
                </pic:pic>
              </a:graphicData>
            </a:graphic>
          </wp:inline>
        </w:drawing>
      </w:r>
    </w:p>
    <w:p>
      <w:pPr>
        <w:spacing w:after="240"/>
        <w:jc w:val="center"/>
      </w:pPr>
      <w:r>
        <w:rPr>
          <w:i/>
          <w:iCs/>
          <w:color w:val="595959"/>
          <w:sz w:val="18"/>
          <w:szCs w:val="18"/>
        </w:rPr>
        <w:t xml:space="preserve">Figure 8 — storagecostaudit storage account essentials.</w:t>
      </w:r>
    </w:p>
    <w:p>
      <w:pPr>
        <w:spacing w:after="80" w:before="200"/>
        <w:jc w:val="center"/>
      </w:pPr>
      <w:r>
        <w:drawing>
          <wp:inline distT="0" distB="0" distL="0" distR="0">
            <wp:extent cx="5334000" cy="4057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4057650"/>
                    </a:xfrm>
                    <a:prstGeom prst="rect">
                      <a:avLst/>
                    </a:prstGeom>
                  </pic:spPr>
                </pic:pic>
              </a:graphicData>
            </a:graphic>
          </wp:inline>
        </w:drawing>
      </w:r>
    </w:p>
    <w:p>
      <w:pPr>
        <w:spacing w:after="240"/>
        <w:jc w:val="center"/>
      </w:pPr>
      <w:r>
        <w:rPr>
          <w:i/>
          <w:iCs/>
          <w:color w:val="595959"/>
          <w:sz w:val="18"/>
          <w:szCs w:val="18"/>
        </w:rPr>
        <w:t xml:space="preserve">Figure 9 — Blob service and security configuration.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600"/>
        <w:gridCol w:w="5400"/>
      </w:tblGrid>
      <w:tr>
        <w:trPr>
          <w:tblHeader/>
        </w:trPr>
        <w:tc>
          <w:tcPr>
            <w:tcW w:type="dxa" w:w="3600"/>
            <w:shd w:fill="1F3864" w:val="clear"/>
            <w:tcMar>
              <w:top w:type="dxa" w:w="80"/>
              <w:left w:type="dxa" w:w="100"/>
              <w:bottom w:type="dxa" w:w="80"/>
              <w:right w:type="dxa" w:w="100"/>
            </w:tcMar>
            <w:vAlign w:val="center"/>
          </w:tcPr>
          <w:p>
            <w:pPr>
              <w:jc w:val="left"/>
            </w:pPr>
            <w:r>
              <w:rPr>
                <w:b/>
                <w:bCs/>
                <w:color w:val="FFFFFF"/>
                <w:sz w:val="20"/>
                <w:szCs w:val="20"/>
              </w:rPr>
              <w:t xml:space="preserve">Property</w:t>
            </w:r>
          </w:p>
        </w:tc>
        <w:tc>
          <w:tcPr>
            <w:tcW w:type="dxa" w:w="5400"/>
            <w:shd w:fill="1F3864" w:val="clear"/>
            <w:tcMar>
              <w:top w:type="dxa" w:w="80"/>
              <w:left w:type="dxa" w:w="100"/>
              <w:bottom w:type="dxa" w:w="80"/>
              <w:right w:type="dxa" w:w="100"/>
            </w:tcMar>
            <w:vAlign w:val="center"/>
          </w:tcPr>
          <w:p>
            <w:pPr>
              <w:jc w:val="left"/>
            </w:pPr>
            <w:r>
              <w:rPr>
                <w:b/>
                <w:bCs/>
                <w:color w:val="FFFFFF"/>
                <w:sz w:val="20"/>
                <w:szCs w:val="20"/>
              </w:rPr>
              <w:t xml:space="preserve">Value</w:t>
            </w:r>
          </w:p>
        </w:tc>
      </w:tr>
      <w:tr>
        <w:trPr>
          <w:cantSplit/>
        </w:trPr>
        <w:tc>
          <w:tcPr>
            <w:tcW w:type="dxa" w:w="3600"/>
            <w:tcMar>
              <w:top w:type="dxa" w:w="80"/>
              <w:left w:type="dxa" w:w="100"/>
              <w:bottom w:type="dxa" w:w="80"/>
              <w:right w:type="dxa" w:w="100"/>
            </w:tcMar>
            <w:vAlign w:val="center"/>
          </w:tcPr>
          <w:p>
            <w:pPr>
              <w:jc w:val="left"/>
            </w:pPr>
            <w:r>
              <w:rPr>
                <w:b w:val="false"/>
                <w:bCs w:val="false"/>
                <w:color w:val="000000"/>
                <w:sz w:val="20"/>
                <w:szCs w:val="20"/>
              </w:rPr>
              <w:t xml:space="preserve">Account name</w:t>
            </w:r>
          </w:p>
        </w:tc>
        <w:tc>
          <w:tcPr>
            <w:tcW w:type="dxa" w:w="5400"/>
            <w:tcMar>
              <w:top w:type="dxa" w:w="80"/>
              <w:left w:type="dxa" w:w="100"/>
              <w:bottom w:type="dxa" w:w="80"/>
              <w:right w:type="dxa" w:w="100"/>
            </w:tcMar>
            <w:vAlign w:val="center"/>
          </w:tcPr>
          <w:p>
            <w:pPr>
              <w:jc w:val="left"/>
            </w:pPr>
            <w:r>
              <w:rPr>
                <w:b w:val="false"/>
                <w:bCs w:val="false"/>
                <w:color w:val="000000"/>
                <w:sz w:val="20"/>
                <w:szCs w:val="20"/>
              </w:rPr>
              <w:t xml:space="preserve">storagecostaudit</w:t>
            </w:r>
          </w:p>
        </w:tc>
      </w:tr>
      <w:tr>
        <w:trPr>
          <w:cantSplit/>
        </w:trPr>
        <w:tc>
          <w:tcPr>
            <w:tcW w:type="dxa" w:w="3600"/>
            <w:shd w:fill="F2F2F2" w:val="clear"/>
            <w:tcMar>
              <w:top w:type="dxa" w:w="80"/>
              <w:left w:type="dxa" w:w="100"/>
              <w:bottom w:type="dxa" w:w="80"/>
              <w:right w:type="dxa" w:w="100"/>
            </w:tcMar>
            <w:vAlign w:val="center"/>
          </w:tcPr>
          <w:p>
            <w:pPr>
              <w:jc w:val="left"/>
            </w:pPr>
            <w:r>
              <w:rPr>
                <w:b w:val="false"/>
                <w:bCs w:val="false"/>
                <w:color w:val="000000"/>
                <w:sz w:val="20"/>
                <w:szCs w:val="20"/>
              </w:rPr>
              <w:t xml:space="preserve">Resource group</w:t>
            </w:r>
          </w:p>
        </w:tc>
        <w:tc>
          <w:tcPr>
            <w:tcW w:type="dxa" w:w="5400"/>
            <w:shd w:fill="F2F2F2" w:val="clear"/>
            <w:tcMar>
              <w:top w:type="dxa" w:w="80"/>
              <w:left w:type="dxa" w:w="100"/>
              <w:bottom w:type="dxa" w:w="80"/>
              <w:right w:type="dxa" w:w="100"/>
            </w:tcMar>
            <w:vAlign w:val="center"/>
          </w:tcPr>
          <w:p>
            <w:pPr>
              <w:jc w:val="left"/>
            </w:pPr>
            <w:r>
              <w:rPr>
                <w:b w:val="false"/>
                <w:bCs w:val="false"/>
                <w:color w:val="000000"/>
                <w:sz w:val="20"/>
                <w:szCs w:val="20"/>
              </w:rPr>
              <w:t xml:space="preserve">Cost-Audit</w:t>
            </w:r>
          </w:p>
        </w:tc>
      </w:tr>
      <w:tr>
        <w:trPr>
          <w:cantSplit/>
        </w:trPr>
        <w:tc>
          <w:tcPr>
            <w:tcW w:type="dxa" w:w="3600"/>
            <w:tcMar>
              <w:top w:type="dxa" w:w="80"/>
              <w:left w:type="dxa" w:w="100"/>
              <w:bottom w:type="dxa" w:w="80"/>
              <w:right w:type="dxa" w:w="100"/>
            </w:tcMar>
            <w:vAlign w:val="center"/>
          </w:tcPr>
          <w:p>
            <w:pPr>
              <w:jc w:val="left"/>
            </w:pPr>
            <w:r>
              <w:rPr>
                <w:b w:val="false"/>
                <w:bCs w:val="false"/>
                <w:color w:val="000000"/>
                <w:sz w:val="20"/>
                <w:szCs w:val="20"/>
              </w:rPr>
              <w:t xml:space="preserve">Region</w:t>
            </w:r>
          </w:p>
        </w:tc>
        <w:tc>
          <w:tcPr>
            <w:tcW w:type="dxa" w:w="5400"/>
            <w:tcMar>
              <w:top w:type="dxa" w:w="80"/>
              <w:left w:type="dxa" w:w="100"/>
              <w:bottom w:type="dxa" w:w="80"/>
              <w:right w:type="dxa" w:w="100"/>
            </w:tcMar>
            <w:vAlign w:val="center"/>
          </w:tcPr>
          <w:p>
            <w:pPr>
              <w:jc w:val="left"/>
            </w:pPr>
            <w:r>
              <w:rPr>
                <w:b w:val="false"/>
                <w:bCs w:val="false"/>
                <w:color w:val="000000"/>
                <w:sz w:val="20"/>
                <w:szCs w:val="20"/>
              </w:rPr>
              <w:t xml:space="preserve">South Africa North</w:t>
            </w:r>
          </w:p>
        </w:tc>
      </w:tr>
      <w:tr>
        <w:trPr>
          <w:cantSplit/>
        </w:trPr>
        <w:tc>
          <w:tcPr>
            <w:tcW w:type="dxa" w:w="3600"/>
            <w:shd w:fill="F2F2F2" w:val="clear"/>
            <w:tcMar>
              <w:top w:type="dxa" w:w="80"/>
              <w:left w:type="dxa" w:w="100"/>
              <w:bottom w:type="dxa" w:w="80"/>
              <w:right w:type="dxa" w:w="100"/>
            </w:tcMar>
            <w:vAlign w:val="center"/>
          </w:tcPr>
          <w:p>
            <w:pPr>
              <w:jc w:val="left"/>
            </w:pPr>
            <w:r>
              <w:rPr>
                <w:b w:val="false"/>
                <w:bCs w:val="false"/>
                <w:color w:val="000000"/>
                <w:sz w:val="20"/>
                <w:szCs w:val="20"/>
              </w:rPr>
              <w:t xml:space="preserve">Performance tier</w:t>
            </w:r>
          </w:p>
        </w:tc>
        <w:tc>
          <w:tcPr>
            <w:tcW w:type="dxa" w:w="5400"/>
            <w:shd w:fill="F2F2F2" w:val="clear"/>
            <w:tcMar>
              <w:top w:type="dxa" w:w="80"/>
              <w:left w:type="dxa" w:w="100"/>
              <w:bottom w:type="dxa" w:w="80"/>
              <w:right w:type="dxa" w:w="100"/>
            </w:tcMar>
            <w:vAlign w:val="center"/>
          </w:tcPr>
          <w:p>
            <w:pPr>
              <w:jc w:val="left"/>
            </w:pPr>
            <w:r>
              <w:rPr>
                <w:b w:val="false"/>
                <w:bCs w:val="false"/>
                <w:color w:val="000000"/>
                <w:sz w:val="20"/>
                <w:szCs w:val="20"/>
              </w:rPr>
              <w:t xml:space="preserve">Standard</w:t>
            </w:r>
          </w:p>
        </w:tc>
      </w:tr>
      <w:tr>
        <w:trPr>
          <w:cantSplit/>
        </w:trPr>
        <w:tc>
          <w:tcPr>
            <w:tcW w:type="dxa" w:w="3600"/>
            <w:tcMar>
              <w:top w:type="dxa" w:w="80"/>
              <w:left w:type="dxa" w:w="100"/>
              <w:bottom w:type="dxa" w:w="80"/>
              <w:right w:type="dxa" w:w="100"/>
            </w:tcMar>
            <w:vAlign w:val="center"/>
          </w:tcPr>
          <w:p>
            <w:pPr>
              <w:jc w:val="left"/>
            </w:pPr>
            <w:r>
              <w:rPr>
                <w:b w:val="false"/>
                <w:bCs w:val="false"/>
                <w:color w:val="000000"/>
                <w:sz w:val="20"/>
                <w:szCs w:val="20"/>
              </w:rPr>
              <w:t xml:space="preserve">Replication</w:t>
            </w:r>
          </w:p>
        </w:tc>
        <w:tc>
          <w:tcPr>
            <w:tcW w:type="dxa" w:w="5400"/>
            <w:tcMar>
              <w:top w:type="dxa" w:w="80"/>
              <w:left w:type="dxa" w:w="100"/>
              <w:bottom w:type="dxa" w:w="80"/>
              <w:right w:type="dxa" w:w="100"/>
            </w:tcMar>
            <w:vAlign w:val="center"/>
          </w:tcPr>
          <w:p>
            <w:pPr>
              <w:jc w:val="left"/>
            </w:pPr>
            <w:r>
              <w:rPr>
                <w:b w:val="false"/>
                <w:bCs w:val="false"/>
                <w:color w:val="000000"/>
                <w:sz w:val="20"/>
                <w:szCs w:val="20"/>
              </w:rPr>
              <w:t xml:space="preserve">Locally-redundant storage (LRS)</w:t>
            </w:r>
          </w:p>
        </w:tc>
      </w:tr>
      <w:tr>
        <w:trPr>
          <w:cantSplit/>
        </w:trPr>
        <w:tc>
          <w:tcPr>
            <w:tcW w:type="dxa" w:w="3600"/>
            <w:shd w:fill="F2F2F2" w:val="clear"/>
            <w:tcMar>
              <w:top w:type="dxa" w:w="80"/>
              <w:left w:type="dxa" w:w="100"/>
              <w:bottom w:type="dxa" w:w="80"/>
              <w:right w:type="dxa" w:w="100"/>
            </w:tcMar>
            <w:vAlign w:val="center"/>
          </w:tcPr>
          <w:p>
            <w:pPr>
              <w:jc w:val="left"/>
            </w:pPr>
            <w:r>
              <w:rPr>
                <w:b w:val="false"/>
                <w:bCs w:val="false"/>
                <w:color w:val="000000"/>
                <w:sz w:val="20"/>
                <w:szCs w:val="20"/>
              </w:rPr>
              <w:t xml:space="preserve">Account kind</w:t>
            </w:r>
          </w:p>
        </w:tc>
        <w:tc>
          <w:tcPr>
            <w:tcW w:type="dxa" w:w="5400"/>
            <w:shd w:fill="F2F2F2" w:val="clear"/>
            <w:tcMar>
              <w:top w:type="dxa" w:w="80"/>
              <w:left w:type="dxa" w:w="100"/>
              <w:bottom w:type="dxa" w:w="80"/>
              <w:right w:type="dxa" w:w="100"/>
            </w:tcMar>
            <w:vAlign w:val="center"/>
          </w:tcPr>
          <w:p>
            <w:pPr>
              <w:jc w:val="left"/>
            </w:pPr>
            <w:r>
              <w:rPr>
                <w:b w:val="false"/>
                <w:bCs w:val="false"/>
                <w:color w:val="000000"/>
                <w:sz w:val="20"/>
                <w:szCs w:val="20"/>
              </w:rPr>
              <w:t xml:space="preserve">StorageV2 (general purpose v2)</w:t>
            </w:r>
          </w:p>
        </w:tc>
      </w:tr>
      <w:tr>
        <w:trPr>
          <w:cantSplit/>
        </w:trPr>
        <w:tc>
          <w:tcPr>
            <w:tcW w:type="dxa" w:w="3600"/>
            <w:tcMar>
              <w:top w:type="dxa" w:w="80"/>
              <w:left w:type="dxa" w:w="100"/>
              <w:bottom w:type="dxa" w:w="80"/>
              <w:right w:type="dxa" w:w="100"/>
            </w:tcMar>
            <w:vAlign w:val="center"/>
          </w:tcPr>
          <w:p>
            <w:pPr>
              <w:jc w:val="left"/>
            </w:pPr>
            <w:r>
              <w:rPr>
                <w:b w:val="false"/>
                <w:bCs w:val="false"/>
                <w:color w:val="000000"/>
                <w:sz w:val="20"/>
                <w:szCs w:val="20"/>
              </w:rPr>
              <w:t xml:space="preserve">Default access tier</w:t>
            </w:r>
          </w:p>
        </w:tc>
        <w:tc>
          <w:tcPr>
            <w:tcW w:type="dxa" w:w="5400"/>
            <w:tcMar>
              <w:top w:type="dxa" w:w="80"/>
              <w:left w:type="dxa" w:w="100"/>
              <w:bottom w:type="dxa" w:w="80"/>
              <w:right w:type="dxa" w:w="100"/>
            </w:tcMar>
            <w:vAlign w:val="center"/>
          </w:tcPr>
          <w:p>
            <w:pPr>
              <w:jc w:val="left"/>
            </w:pPr>
            <w:r>
              <w:rPr>
                <w:b w:val="false"/>
                <w:bCs w:val="false"/>
                <w:color w:val="000000"/>
                <w:sz w:val="20"/>
                <w:szCs w:val="20"/>
              </w:rPr>
              <w:t xml:space="preserve">Hot</w:t>
            </w:r>
          </w:p>
        </w:tc>
      </w:tr>
      <w:tr>
        <w:trPr>
          <w:cantSplit/>
        </w:trPr>
        <w:tc>
          <w:tcPr>
            <w:tcW w:type="dxa" w:w="3600"/>
            <w:shd w:fill="F2F2F2" w:val="clear"/>
            <w:tcMar>
              <w:top w:type="dxa" w:w="80"/>
              <w:left w:type="dxa" w:w="100"/>
              <w:bottom w:type="dxa" w:w="80"/>
              <w:right w:type="dxa" w:w="100"/>
            </w:tcMar>
            <w:vAlign w:val="center"/>
          </w:tcPr>
          <w:p>
            <w:pPr>
              <w:jc w:val="left"/>
            </w:pPr>
            <w:r>
              <w:rPr>
                <w:b w:val="false"/>
                <w:bCs w:val="false"/>
                <w:color w:val="000000"/>
                <w:sz w:val="20"/>
                <w:szCs w:val="20"/>
              </w:rPr>
              <w:t xml:space="preserve">Public network access</w:t>
            </w:r>
          </w:p>
        </w:tc>
        <w:tc>
          <w:tcPr>
            <w:tcW w:type="dxa" w:w="5400"/>
            <w:shd w:fill="F2F2F2" w:val="clear"/>
            <w:tcMar>
              <w:top w:type="dxa" w:w="80"/>
              <w:left w:type="dxa" w:w="100"/>
              <w:bottom w:type="dxa" w:w="80"/>
              <w:right w:type="dxa" w:w="100"/>
            </w:tcMar>
            <w:vAlign w:val="center"/>
          </w:tcPr>
          <w:p>
            <w:pPr>
              <w:jc w:val="left"/>
            </w:pPr>
            <w:r>
              <w:rPr>
                <w:b w:val="false"/>
                <w:bCs w:val="false"/>
                <w:color w:val="000000"/>
                <w:sz w:val="20"/>
                <w:szCs w:val="20"/>
              </w:rPr>
              <w:t xml:space="preserve">Enabled (from all networks)</w:t>
            </w:r>
          </w:p>
        </w:tc>
      </w:tr>
      <w:tr>
        <w:trPr>
          <w:cantSplit/>
        </w:trPr>
        <w:tc>
          <w:tcPr>
            <w:tcW w:type="dxa" w:w="3600"/>
            <w:tcMar>
              <w:top w:type="dxa" w:w="80"/>
              <w:left w:type="dxa" w:w="100"/>
              <w:bottom w:type="dxa" w:w="80"/>
              <w:right w:type="dxa" w:w="100"/>
            </w:tcMar>
            <w:vAlign w:val="center"/>
          </w:tcPr>
          <w:p>
            <w:pPr>
              <w:jc w:val="left"/>
            </w:pPr>
            <w:r>
              <w:rPr>
                <w:b w:val="false"/>
                <w:bCs w:val="false"/>
                <w:color w:val="000000"/>
                <w:sz w:val="20"/>
                <w:szCs w:val="20"/>
              </w:rPr>
              <w:t xml:space="preserve">Blob / container soft delete</w:t>
            </w:r>
          </w:p>
        </w:tc>
        <w:tc>
          <w:tcPr>
            <w:tcW w:type="dxa" w:w="5400"/>
            <w:tcMar>
              <w:top w:type="dxa" w:w="80"/>
              <w:left w:type="dxa" w:w="100"/>
              <w:bottom w:type="dxa" w:w="80"/>
              <w:right w:type="dxa" w:w="100"/>
            </w:tcMar>
            <w:vAlign w:val="center"/>
          </w:tcPr>
          <w:p>
            <w:pPr>
              <w:jc w:val="left"/>
            </w:pPr>
            <w:r>
              <w:rPr>
                <w:b w:val="false"/>
                <w:bCs w:val="false"/>
                <w:color w:val="000000"/>
                <w:sz w:val="20"/>
                <w:szCs w:val="20"/>
              </w:rPr>
              <w:t xml:space="preserve">Enabled (7-day retention)</w:t>
            </w:r>
          </w:p>
        </w:tc>
      </w:tr>
      <w:tr>
        <w:trPr>
          <w:cantSplit/>
        </w:trPr>
        <w:tc>
          <w:tcPr>
            <w:tcW w:type="dxa" w:w="3600"/>
            <w:shd w:fill="F2F2F2" w:val="clear"/>
            <w:tcMar>
              <w:top w:type="dxa" w:w="80"/>
              <w:left w:type="dxa" w:w="100"/>
              <w:bottom w:type="dxa" w:w="80"/>
              <w:right w:type="dxa" w:w="100"/>
            </w:tcMar>
            <w:vAlign w:val="center"/>
          </w:tcPr>
          <w:p>
            <w:pPr>
              <w:jc w:val="left"/>
            </w:pPr>
            <w:r>
              <w:rPr>
                <w:b w:val="false"/>
                <w:bCs w:val="false"/>
                <w:color w:val="000000"/>
                <w:sz w:val="20"/>
                <w:szCs w:val="20"/>
              </w:rPr>
              <w:t xml:space="preserve">Versioning</w:t>
            </w:r>
          </w:p>
        </w:tc>
        <w:tc>
          <w:tcPr>
            <w:tcW w:type="dxa" w:w="5400"/>
            <w:shd w:fill="F2F2F2" w:val="clear"/>
            <w:tcMar>
              <w:top w:type="dxa" w:w="80"/>
              <w:left w:type="dxa" w:w="100"/>
              <w:bottom w:type="dxa" w:w="80"/>
              <w:right w:type="dxa" w:w="100"/>
            </w:tcMar>
            <w:vAlign w:val="center"/>
          </w:tcPr>
          <w:p>
            <w:pPr>
              <w:jc w:val="left"/>
            </w:pPr>
            <w:r>
              <w:rPr>
                <w:b w:val="false"/>
                <w:bCs w:val="false"/>
                <w:color w:val="000000"/>
                <w:sz w:val="20"/>
                <w:szCs w:val="20"/>
              </w:rPr>
              <w:t xml:space="preserve">Disabled</w:t>
            </w:r>
          </w:p>
        </w:tc>
      </w:tr>
      <w:tr>
        <w:trPr>
          <w:cantSplit/>
        </w:trPr>
        <w:tc>
          <w:tcPr>
            <w:tcW w:type="dxa" w:w="3600"/>
            <w:tcMar>
              <w:top w:type="dxa" w:w="80"/>
              <w:left w:type="dxa" w:w="100"/>
              <w:bottom w:type="dxa" w:w="80"/>
              <w:right w:type="dxa" w:w="100"/>
            </w:tcMar>
            <w:vAlign w:val="center"/>
          </w:tcPr>
          <w:p>
            <w:pPr>
              <w:jc w:val="left"/>
            </w:pPr>
            <w:r>
              <w:rPr>
                <w:b w:val="false"/>
                <w:bCs w:val="false"/>
                <w:color w:val="000000"/>
                <w:sz w:val="20"/>
                <w:szCs w:val="20"/>
              </w:rPr>
              <w:t xml:space="preserve">Minimum TLS version</w:t>
            </w:r>
          </w:p>
        </w:tc>
        <w:tc>
          <w:tcPr>
            <w:tcW w:type="dxa" w:w="5400"/>
            <w:tcMar>
              <w:top w:type="dxa" w:w="80"/>
              <w:left w:type="dxa" w:w="100"/>
              <w:bottom w:type="dxa" w:w="80"/>
              <w:right w:type="dxa" w:w="100"/>
            </w:tcMar>
            <w:vAlign w:val="center"/>
          </w:tcPr>
          <w:p>
            <w:pPr>
              <w:jc w:val="left"/>
            </w:pPr>
            <w:r>
              <w:rPr>
                <w:b w:val="false"/>
                <w:bCs w:val="false"/>
                <w:color w:val="000000"/>
                <w:sz w:val="20"/>
                <w:szCs w:val="20"/>
              </w:rPr>
              <w:t xml:space="preserve">1.2</w:t>
            </w:r>
          </w:p>
        </w:tc>
      </w:tr>
      <w:tr>
        <w:trPr>
          <w:cantSplit/>
        </w:trPr>
        <w:tc>
          <w:tcPr>
            <w:tcW w:type="dxa" w:w="3600"/>
            <w:shd w:fill="F2F2F2" w:val="clear"/>
            <w:tcMar>
              <w:top w:type="dxa" w:w="80"/>
              <w:left w:type="dxa" w:w="100"/>
              <w:bottom w:type="dxa" w:w="80"/>
              <w:right w:type="dxa" w:w="100"/>
            </w:tcMar>
            <w:vAlign w:val="center"/>
          </w:tcPr>
          <w:p>
            <w:pPr>
              <w:jc w:val="left"/>
            </w:pPr>
            <w:r>
              <w:rPr>
                <w:b w:val="false"/>
                <w:bCs w:val="false"/>
                <w:color w:val="000000"/>
                <w:sz w:val="20"/>
                <w:szCs w:val="20"/>
              </w:rPr>
              <w:t xml:space="preserve">Infrastructure (double) encryption</w:t>
            </w:r>
          </w:p>
        </w:tc>
        <w:tc>
          <w:tcPr>
            <w:tcW w:type="dxa" w:w="5400"/>
            <w:shd w:fill="F2F2F2" w:val="clear"/>
            <w:tcMar>
              <w:top w:type="dxa" w:w="80"/>
              <w:left w:type="dxa" w:w="100"/>
              <w:bottom w:type="dxa" w:w="80"/>
              <w:right w:type="dxa" w:w="100"/>
            </w:tcMar>
            <w:vAlign w:val="center"/>
          </w:tcPr>
          <w:p>
            <w:pPr>
              <w:jc w:val="left"/>
            </w:pPr>
            <w:r>
              <w:rPr>
                <w:b w:val="false"/>
                <w:bCs w:val="false"/>
                <w:color w:val="000000"/>
                <w:sz w:val="20"/>
                <w:szCs w:val="20"/>
              </w:rPr>
              <w:t xml:space="preserve">Disabled</w:t>
            </w:r>
          </w:p>
        </w:tc>
      </w:tr>
    </w:tbl>
    <w:p>
      <w:pPr>
        <w:spacing w:after="160"/>
      </w:pPr>
      <w:r>
        <w:rPr>
          <w:i/>
          <w:iCs/>
          <w:color w:val="595959"/>
        </w:rPr>
        <w:t xml:space="preserve">Observation: the account is on the Hot access tier by default. Hot is the right choice only for data accessed frequently; if this account is (or becomes) a store for infrequently-accessed logs, backups, or archives, Cool or Archive tiers would materially reduce per-GB storage cost. Public network access being open to all networks is a security note worth flagging even though it is outside the cost scope of this audit.</w:t>
      </w:r>
    </w:p>
    <w:p>
      <w:pPr>
        <w:pStyle w:val="Heading2"/>
        <w:spacing w:after="160" w:before="320"/>
      </w:pPr>
      <w:r>
        <w:rPr>
          <w:b/>
          <w:bCs/>
          <w:color w:val="2E74B5"/>
        </w:rPr>
        <w:t xml:space="preserve">6.5 Orphaned Resource Discovery — Unattached Managed Disk</w:t>
      </w:r>
    </w:p>
    <w:p>
      <w:pPr>
        <w:spacing w:after="80" w:before="200"/>
        <w:jc w:val="center"/>
      </w:pPr>
      <w:r>
        <w:drawing>
          <wp:inline distT="0" distB="0" distL="0" distR="0">
            <wp:extent cx="4762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62500" cy="3609975"/>
                    </a:xfrm>
                    <a:prstGeom prst="rect">
                      <a:avLst/>
                    </a:prstGeom>
                  </pic:spPr>
                </pic:pic>
              </a:graphicData>
            </a:graphic>
          </wp:inline>
        </w:drawing>
      </w:r>
    </w:p>
    <w:p>
      <w:pPr>
        <w:spacing w:after="240"/>
        <w:jc w:val="center"/>
      </w:pPr>
      <w:r>
        <w:rPr>
          <w:i/>
          <w:iCs/>
          <w:color w:val="595959"/>
          <w:sz w:val="18"/>
          <w:szCs w:val="18"/>
        </w:rPr>
        <w:t xml:space="preserve">Figure 10 — orphan-disk-demo: disk state “Unattached”, no VM managing it.</w:t>
      </w:r>
    </w:p>
    <w:p>
      <w:pPr>
        <w:spacing w:after="80" w:before="200"/>
        <w:jc w:val="center"/>
      </w:pPr>
      <w:r>
        <w:drawing>
          <wp:inline distT="0" distB="0" distL="0" distR="0">
            <wp:extent cx="5334000" cy="3495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495675"/>
                    </a:xfrm>
                    <a:prstGeom prst="rect">
                      <a:avLst/>
                    </a:prstGeom>
                  </pic:spPr>
                </pic:pic>
              </a:graphicData>
            </a:graphic>
          </wp:inline>
        </w:drawing>
      </w:r>
    </w:p>
    <w:p>
      <w:pPr>
        <w:spacing w:after="240"/>
        <w:jc w:val="center"/>
      </w:pPr>
      <w:r>
        <w:rPr>
          <w:i/>
          <w:iCs/>
          <w:color w:val="595959"/>
          <w:sz w:val="18"/>
          <w:szCs w:val="18"/>
        </w:rPr>
        <w:t xml:space="preserve">Figure 11 — Disk size, performance, and encryption configuration.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600"/>
        <w:gridCol w:w="5400"/>
      </w:tblGrid>
      <w:tr>
        <w:trPr>
          <w:tblHeader/>
        </w:trPr>
        <w:tc>
          <w:tcPr>
            <w:tcW w:type="dxa" w:w="3600"/>
            <w:shd w:fill="1F3864" w:val="clear"/>
            <w:tcMar>
              <w:top w:type="dxa" w:w="80"/>
              <w:left w:type="dxa" w:w="100"/>
              <w:bottom w:type="dxa" w:w="80"/>
              <w:right w:type="dxa" w:w="100"/>
            </w:tcMar>
            <w:vAlign w:val="center"/>
          </w:tcPr>
          <w:p>
            <w:pPr>
              <w:jc w:val="left"/>
            </w:pPr>
            <w:r>
              <w:rPr>
                <w:b/>
                <w:bCs/>
                <w:color w:val="FFFFFF"/>
                <w:sz w:val="20"/>
                <w:szCs w:val="20"/>
              </w:rPr>
              <w:t xml:space="preserve">Property</w:t>
            </w:r>
          </w:p>
        </w:tc>
        <w:tc>
          <w:tcPr>
            <w:tcW w:type="dxa" w:w="5400"/>
            <w:shd w:fill="1F3864" w:val="clear"/>
            <w:tcMar>
              <w:top w:type="dxa" w:w="80"/>
              <w:left w:type="dxa" w:w="100"/>
              <w:bottom w:type="dxa" w:w="80"/>
              <w:right w:type="dxa" w:w="100"/>
            </w:tcMar>
            <w:vAlign w:val="center"/>
          </w:tcPr>
          <w:p>
            <w:pPr>
              <w:jc w:val="left"/>
            </w:pPr>
            <w:r>
              <w:rPr>
                <w:b/>
                <w:bCs/>
                <w:color w:val="FFFFFF"/>
                <w:sz w:val="20"/>
                <w:szCs w:val="20"/>
              </w:rPr>
              <w:t xml:space="preserve">Value</w:t>
            </w:r>
          </w:p>
        </w:tc>
      </w:tr>
      <w:tr>
        <w:trPr>
          <w:cantSplit/>
        </w:trPr>
        <w:tc>
          <w:tcPr>
            <w:tcW w:type="dxa" w:w="3600"/>
            <w:tcMar>
              <w:top w:type="dxa" w:w="80"/>
              <w:left w:type="dxa" w:w="100"/>
              <w:bottom w:type="dxa" w:w="80"/>
              <w:right w:type="dxa" w:w="100"/>
            </w:tcMar>
            <w:vAlign w:val="center"/>
          </w:tcPr>
          <w:p>
            <w:pPr>
              <w:jc w:val="left"/>
            </w:pPr>
            <w:r>
              <w:rPr>
                <w:b w:val="false"/>
                <w:bCs w:val="false"/>
                <w:color w:val="000000"/>
                <w:sz w:val="20"/>
                <w:szCs w:val="20"/>
              </w:rPr>
              <w:t xml:space="preserve">Disk name</w:t>
            </w:r>
          </w:p>
        </w:tc>
        <w:tc>
          <w:tcPr>
            <w:tcW w:type="dxa" w:w="5400"/>
            <w:tcMar>
              <w:top w:type="dxa" w:w="80"/>
              <w:left w:type="dxa" w:w="100"/>
              <w:bottom w:type="dxa" w:w="80"/>
              <w:right w:type="dxa" w:w="100"/>
            </w:tcMar>
            <w:vAlign w:val="center"/>
          </w:tcPr>
          <w:p>
            <w:pPr>
              <w:jc w:val="left"/>
            </w:pPr>
            <w:r>
              <w:rPr>
                <w:b w:val="false"/>
                <w:bCs w:val="false"/>
                <w:color w:val="000000"/>
                <w:sz w:val="20"/>
                <w:szCs w:val="20"/>
              </w:rPr>
              <w:t xml:space="preserve">orphan-disk-demo</w:t>
            </w:r>
          </w:p>
        </w:tc>
      </w:tr>
      <w:tr>
        <w:trPr>
          <w:cantSplit/>
        </w:trPr>
        <w:tc>
          <w:tcPr>
            <w:tcW w:type="dxa" w:w="3600"/>
            <w:shd w:fill="F2F2F2" w:val="clear"/>
            <w:tcMar>
              <w:top w:type="dxa" w:w="80"/>
              <w:left w:type="dxa" w:w="100"/>
              <w:bottom w:type="dxa" w:w="80"/>
              <w:right w:type="dxa" w:w="100"/>
            </w:tcMar>
            <w:vAlign w:val="center"/>
          </w:tcPr>
          <w:p>
            <w:pPr>
              <w:jc w:val="left"/>
            </w:pPr>
            <w:r>
              <w:rPr>
                <w:b w:val="false"/>
                <w:bCs w:val="false"/>
                <w:color w:val="000000"/>
                <w:sz w:val="20"/>
                <w:szCs w:val="20"/>
              </w:rPr>
              <w:t xml:space="preserve">Disk state</w:t>
            </w:r>
          </w:p>
        </w:tc>
        <w:tc>
          <w:tcPr>
            <w:tcW w:type="dxa" w:w="5400"/>
            <w:shd w:fill="F2F2F2" w:val="clear"/>
            <w:tcMar>
              <w:top w:type="dxa" w:w="80"/>
              <w:left w:type="dxa" w:w="100"/>
              <w:bottom w:type="dxa" w:w="80"/>
              <w:right w:type="dxa" w:w="100"/>
            </w:tcMar>
            <w:vAlign w:val="center"/>
          </w:tcPr>
          <w:p>
            <w:pPr>
              <w:jc w:val="left"/>
            </w:pPr>
            <w:r>
              <w:rPr>
                <w:b w:val="false"/>
                <w:bCs w:val="false"/>
                <w:color w:val="000000"/>
                <w:sz w:val="20"/>
                <w:szCs w:val="20"/>
              </w:rPr>
              <w:t xml:space="preserve">Unattached</w:t>
            </w:r>
          </w:p>
        </w:tc>
      </w:tr>
      <w:tr>
        <w:trPr>
          <w:cantSplit/>
        </w:trPr>
        <w:tc>
          <w:tcPr>
            <w:tcW w:type="dxa" w:w="3600"/>
            <w:tcMar>
              <w:top w:type="dxa" w:w="80"/>
              <w:left w:type="dxa" w:w="100"/>
              <w:bottom w:type="dxa" w:w="80"/>
              <w:right w:type="dxa" w:w="100"/>
            </w:tcMar>
            <w:vAlign w:val="center"/>
          </w:tcPr>
          <w:p>
            <w:pPr>
              <w:jc w:val="left"/>
            </w:pPr>
            <w:r>
              <w:rPr>
                <w:b w:val="false"/>
                <w:bCs w:val="false"/>
                <w:color w:val="000000"/>
                <w:sz w:val="20"/>
                <w:szCs w:val="20"/>
              </w:rPr>
              <w:t xml:space="preserve">Managed by (VM)</w:t>
            </w:r>
          </w:p>
        </w:tc>
        <w:tc>
          <w:tcPr>
            <w:tcW w:type="dxa" w:w="5400"/>
            <w:tcMar>
              <w:top w:type="dxa" w:w="80"/>
              <w:left w:type="dxa" w:w="100"/>
              <w:bottom w:type="dxa" w:w="80"/>
              <w:right w:type="dxa" w:w="100"/>
            </w:tcMar>
            <w:vAlign w:val="center"/>
          </w:tcPr>
          <w:p>
            <w:pPr>
              <w:jc w:val="left"/>
            </w:pPr>
            <w:r>
              <w:rPr>
                <w:b w:val="false"/>
                <w:bCs w:val="false"/>
                <w:color w:val="000000"/>
                <w:sz w:val="20"/>
                <w:szCs w:val="20"/>
              </w:rPr>
              <w:t xml:space="preserve">— (none)</w:t>
            </w:r>
          </w:p>
        </w:tc>
      </w:tr>
      <w:tr>
        <w:trPr>
          <w:cantSplit/>
        </w:trPr>
        <w:tc>
          <w:tcPr>
            <w:tcW w:type="dxa" w:w="3600"/>
            <w:shd w:fill="F2F2F2" w:val="clear"/>
            <w:tcMar>
              <w:top w:type="dxa" w:w="80"/>
              <w:left w:type="dxa" w:w="100"/>
              <w:bottom w:type="dxa" w:w="80"/>
              <w:right w:type="dxa" w:w="100"/>
            </w:tcMar>
            <w:vAlign w:val="center"/>
          </w:tcPr>
          <w:p>
            <w:pPr>
              <w:jc w:val="left"/>
            </w:pPr>
            <w:r>
              <w:rPr>
                <w:b w:val="false"/>
                <w:bCs w:val="false"/>
                <w:color w:val="000000"/>
                <w:sz w:val="20"/>
                <w:szCs w:val="20"/>
              </w:rPr>
              <w:t xml:space="preserve">Size</w:t>
            </w:r>
          </w:p>
        </w:tc>
        <w:tc>
          <w:tcPr>
            <w:tcW w:type="dxa" w:w="5400"/>
            <w:shd w:fill="F2F2F2" w:val="clear"/>
            <w:tcMar>
              <w:top w:type="dxa" w:w="80"/>
              <w:left w:type="dxa" w:w="100"/>
              <w:bottom w:type="dxa" w:w="80"/>
              <w:right w:type="dxa" w:w="100"/>
            </w:tcMar>
            <w:vAlign w:val="center"/>
          </w:tcPr>
          <w:p>
            <w:pPr>
              <w:jc w:val="left"/>
            </w:pPr>
            <w:r>
              <w:rPr>
                <w:b w:val="false"/>
                <w:bCs w:val="false"/>
                <w:color w:val="000000"/>
                <w:sz w:val="20"/>
                <w:szCs w:val="20"/>
              </w:rPr>
              <w:t xml:space="preserve">1024 GiB</w:t>
            </w:r>
          </w:p>
        </w:tc>
      </w:tr>
      <w:tr>
        <w:trPr>
          <w:cantSplit/>
        </w:trPr>
        <w:tc>
          <w:tcPr>
            <w:tcW w:type="dxa" w:w="3600"/>
            <w:tcMar>
              <w:top w:type="dxa" w:w="80"/>
              <w:left w:type="dxa" w:w="100"/>
              <w:bottom w:type="dxa" w:w="80"/>
              <w:right w:type="dxa" w:w="100"/>
            </w:tcMar>
            <w:vAlign w:val="center"/>
          </w:tcPr>
          <w:p>
            <w:pPr>
              <w:jc w:val="left"/>
            </w:pPr>
            <w:r>
              <w:rPr>
                <w:b w:val="false"/>
                <w:bCs w:val="false"/>
                <w:color w:val="000000"/>
                <w:sz w:val="20"/>
                <w:szCs w:val="20"/>
              </w:rPr>
              <w:t xml:space="preserve">Storage type</w:t>
            </w:r>
          </w:p>
        </w:tc>
        <w:tc>
          <w:tcPr>
            <w:tcW w:type="dxa" w:w="5400"/>
            <w:tcMar>
              <w:top w:type="dxa" w:w="80"/>
              <w:left w:type="dxa" w:w="100"/>
              <w:bottom w:type="dxa" w:w="80"/>
              <w:right w:type="dxa" w:w="100"/>
            </w:tcMar>
            <w:vAlign w:val="center"/>
          </w:tcPr>
          <w:p>
            <w:pPr>
              <w:jc w:val="left"/>
            </w:pPr>
            <w:r>
              <w:rPr>
                <w:b w:val="false"/>
                <w:bCs w:val="false"/>
                <w:color w:val="000000"/>
                <w:sz w:val="20"/>
                <w:szCs w:val="20"/>
              </w:rPr>
              <w:t xml:space="preserve">Premium SSD v2 (LRS)</w:t>
            </w:r>
          </w:p>
        </w:tc>
      </w:tr>
      <w:tr>
        <w:trPr>
          <w:cantSplit/>
        </w:trPr>
        <w:tc>
          <w:tcPr>
            <w:tcW w:type="dxa" w:w="3600"/>
            <w:shd w:fill="F2F2F2" w:val="clear"/>
            <w:tcMar>
              <w:top w:type="dxa" w:w="80"/>
              <w:left w:type="dxa" w:w="100"/>
              <w:bottom w:type="dxa" w:w="80"/>
              <w:right w:type="dxa" w:w="100"/>
            </w:tcMar>
            <w:vAlign w:val="center"/>
          </w:tcPr>
          <w:p>
            <w:pPr>
              <w:jc w:val="left"/>
            </w:pPr>
            <w:r>
              <w:rPr>
                <w:b w:val="false"/>
                <w:bCs w:val="false"/>
                <w:color w:val="000000"/>
                <w:sz w:val="20"/>
                <w:szCs w:val="20"/>
              </w:rPr>
              <w:t xml:space="preserve">Provisioned IOPS</w:t>
            </w:r>
          </w:p>
        </w:tc>
        <w:tc>
          <w:tcPr>
            <w:tcW w:type="dxa" w:w="5400"/>
            <w:shd w:fill="F2F2F2" w:val="clear"/>
            <w:tcMar>
              <w:top w:type="dxa" w:w="80"/>
              <w:left w:type="dxa" w:w="100"/>
              <w:bottom w:type="dxa" w:w="80"/>
              <w:right w:type="dxa" w:w="100"/>
            </w:tcMar>
            <w:vAlign w:val="center"/>
          </w:tcPr>
          <w:p>
            <w:pPr>
              <w:jc w:val="left"/>
            </w:pPr>
            <w:r>
              <w:rPr>
                <w:b w:val="false"/>
                <w:bCs w:val="false"/>
                <w:color w:val="000000"/>
                <w:sz w:val="20"/>
                <w:szCs w:val="20"/>
              </w:rPr>
              <w:t xml:space="preserve">3,000</w:t>
            </w:r>
          </w:p>
        </w:tc>
      </w:tr>
      <w:tr>
        <w:trPr>
          <w:cantSplit/>
        </w:trPr>
        <w:tc>
          <w:tcPr>
            <w:tcW w:type="dxa" w:w="3600"/>
            <w:tcMar>
              <w:top w:type="dxa" w:w="80"/>
              <w:left w:type="dxa" w:w="100"/>
              <w:bottom w:type="dxa" w:w="80"/>
              <w:right w:type="dxa" w:w="100"/>
            </w:tcMar>
            <w:vAlign w:val="center"/>
          </w:tcPr>
          <w:p>
            <w:pPr>
              <w:jc w:val="left"/>
            </w:pPr>
            <w:r>
              <w:rPr>
                <w:b w:val="false"/>
                <w:bCs w:val="false"/>
                <w:color w:val="000000"/>
                <w:sz w:val="20"/>
                <w:szCs w:val="20"/>
              </w:rPr>
              <w:t xml:space="preserve">Provisioned throughput</w:t>
            </w:r>
          </w:p>
        </w:tc>
        <w:tc>
          <w:tcPr>
            <w:tcW w:type="dxa" w:w="5400"/>
            <w:tcMar>
              <w:top w:type="dxa" w:w="80"/>
              <w:left w:type="dxa" w:w="100"/>
              <w:bottom w:type="dxa" w:w="80"/>
              <w:right w:type="dxa" w:w="100"/>
            </w:tcMar>
            <w:vAlign w:val="center"/>
          </w:tcPr>
          <w:p>
            <w:pPr>
              <w:jc w:val="left"/>
            </w:pPr>
            <w:r>
              <w:rPr>
                <w:b w:val="false"/>
                <w:bCs w:val="false"/>
                <w:color w:val="000000"/>
                <w:sz w:val="20"/>
                <w:szCs w:val="20"/>
              </w:rPr>
              <w:t xml:space="preserve">125 MB/s</w:t>
            </w:r>
          </w:p>
        </w:tc>
      </w:tr>
      <w:tr>
        <w:trPr>
          <w:cantSplit/>
        </w:trPr>
        <w:tc>
          <w:tcPr>
            <w:tcW w:type="dxa" w:w="3600"/>
            <w:shd w:fill="F2F2F2" w:val="clear"/>
            <w:tcMar>
              <w:top w:type="dxa" w:w="80"/>
              <w:left w:type="dxa" w:w="100"/>
              <w:bottom w:type="dxa" w:w="80"/>
              <w:right w:type="dxa" w:w="100"/>
            </w:tcMar>
            <w:vAlign w:val="center"/>
          </w:tcPr>
          <w:p>
            <w:pPr>
              <w:jc w:val="left"/>
            </w:pPr>
            <w:r>
              <w:rPr>
                <w:b w:val="false"/>
                <w:bCs w:val="false"/>
                <w:color w:val="000000"/>
                <w:sz w:val="20"/>
                <w:szCs w:val="20"/>
              </w:rPr>
              <w:t xml:space="preserve">Region</w:t>
            </w:r>
          </w:p>
        </w:tc>
        <w:tc>
          <w:tcPr>
            <w:tcW w:type="dxa" w:w="5400"/>
            <w:shd w:fill="F2F2F2" w:val="clear"/>
            <w:tcMar>
              <w:top w:type="dxa" w:w="80"/>
              <w:left w:type="dxa" w:w="100"/>
              <w:bottom w:type="dxa" w:w="80"/>
              <w:right w:type="dxa" w:w="100"/>
            </w:tcMar>
            <w:vAlign w:val="center"/>
          </w:tcPr>
          <w:p>
            <w:pPr>
              <w:jc w:val="left"/>
            </w:pPr>
            <w:r>
              <w:rPr>
                <w:b w:val="false"/>
                <w:bCs w:val="false"/>
                <w:color w:val="000000"/>
                <w:sz w:val="20"/>
                <w:szCs w:val="20"/>
              </w:rPr>
              <w:t xml:space="preserve">South Africa North (Zone 1)</w:t>
            </w:r>
          </w:p>
        </w:tc>
      </w:tr>
      <w:tr>
        <w:trPr>
          <w:cantSplit/>
        </w:trPr>
        <w:tc>
          <w:tcPr>
            <w:tcW w:type="dxa" w:w="3600"/>
            <w:tcMar>
              <w:top w:type="dxa" w:w="80"/>
              <w:left w:type="dxa" w:w="100"/>
              <w:bottom w:type="dxa" w:w="80"/>
              <w:right w:type="dxa" w:w="100"/>
            </w:tcMar>
            <w:vAlign w:val="center"/>
          </w:tcPr>
          <w:p>
            <w:pPr>
              <w:jc w:val="left"/>
            </w:pPr>
            <w:r>
              <w:rPr>
                <w:b w:val="false"/>
                <w:bCs w:val="false"/>
                <w:color w:val="000000"/>
                <w:sz w:val="20"/>
                <w:szCs w:val="20"/>
              </w:rPr>
              <w:t xml:space="preserve">Created</w:t>
            </w:r>
          </w:p>
        </w:tc>
        <w:tc>
          <w:tcPr>
            <w:tcW w:type="dxa" w:w="5400"/>
            <w:tcMar>
              <w:top w:type="dxa" w:w="80"/>
              <w:left w:type="dxa" w:w="100"/>
              <w:bottom w:type="dxa" w:w="80"/>
              <w:right w:type="dxa" w:w="100"/>
            </w:tcMar>
            <w:vAlign w:val="center"/>
          </w:tcPr>
          <w:p>
            <w:pPr>
              <w:jc w:val="left"/>
            </w:pPr>
            <w:r>
              <w:rPr>
                <w:b w:val="false"/>
                <w:bCs w:val="false"/>
                <w:color w:val="000000"/>
                <w:sz w:val="20"/>
                <w:szCs w:val="20"/>
              </w:rPr>
              <w:t xml:space="preserve">August 3, 2026, 3:07 PM</w:t>
            </w:r>
          </w:p>
        </w:tc>
      </w:tr>
      <w:tr>
        <w:trPr>
          <w:cantSplit/>
        </w:trPr>
        <w:tc>
          <w:tcPr>
            <w:tcW w:type="dxa" w:w="3600"/>
            <w:shd w:fill="F2F2F2" w:val="clear"/>
            <w:tcMar>
              <w:top w:type="dxa" w:w="80"/>
              <w:left w:type="dxa" w:w="100"/>
              <w:bottom w:type="dxa" w:w="80"/>
              <w:right w:type="dxa" w:w="100"/>
            </w:tcMar>
            <w:vAlign w:val="center"/>
          </w:tcPr>
          <w:p>
            <w:pPr>
              <w:jc w:val="left"/>
            </w:pPr>
            <w:r>
              <w:rPr>
                <w:b w:val="false"/>
                <w:bCs w:val="false"/>
                <w:color w:val="000000"/>
                <w:sz w:val="20"/>
                <w:szCs w:val="20"/>
              </w:rPr>
              <w:t xml:space="preserve">Encryption</w:t>
            </w:r>
          </w:p>
        </w:tc>
        <w:tc>
          <w:tcPr>
            <w:tcW w:type="dxa" w:w="5400"/>
            <w:shd w:fill="F2F2F2" w:val="clear"/>
            <w:tcMar>
              <w:top w:type="dxa" w:w="80"/>
              <w:left w:type="dxa" w:w="100"/>
              <w:bottom w:type="dxa" w:w="80"/>
              <w:right w:type="dxa" w:w="100"/>
            </w:tcMar>
            <w:vAlign w:val="center"/>
          </w:tcPr>
          <w:p>
            <w:pPr>
              <w:jc w:val="left"/>
            </w:pPr>
            <w:r>
              <w:rPr>
                <w:b w:val="false"/>
                <w:bCs w:val="false"/>
                <w:color w:val="000000"/>
                <w:sz w:val="20"/>
                <w:szCs w:val="20"/>
              </w:rPr>
              <w:t xml:space="preserve">Platform-managed key</w:t>
            </w:r>
          </w:p>
        </w:tc>
      </w:tr>
      <w:tr>
        <w:trPr>
          <w:cantSplit/>
        </w:trPr>
        <w:tc>
          <w:tcPr>
            <w:tcW w:type="dxa" w:w="3600"/>
            <w:tcMar>
              <w:top w:type="dxa" w:w="80"/>
              <w:left w:type="dxa" w:w="100"/>
              <w:bottom w:type="dxa" w:w="80"/>
              <w:right w:type="dxa" w:w="100"/>
            </w:tcMar>
            <w:vAlign w:val="center"/>
          </w:tcPr>
          <w:p>
            <w:pPr>
              <w:jc w:val="left"/>
            </w:pPr>
            <w:r>
              <w:rPr>
                <w:b w:val="false"/>
                <w:bCs w:val="false"/>
                <w:color w:val="000000"/>
                <w:sz w:val="20"/>
                <w:szCs w:val="20"/>
              </w:rPr>
              <w:t xml:space="preserve">Cost impact (Aug 1–5, 2026)</w:t>
            </w:r>
          </w:p>
        </w:tc>
        <w:tc>
          <w:tcPr>
            <w:tcW w:type="dxa" w:w="5400"/>
            <w:tcMar>
              <w:top w:type="dxa" w:w="80"/>
              <w:left w:type="dxa" w:w="100"/>
              <w:bottom w:type="dxa" w:w="80"/>
              <w:right w:type="dxa" w:w="100"/>
            </w:tcMar>
            <w:vAlign w:val="center"/>
          </w:tcPr>
          <w:p>
            <w:pPr>
              <w:jc w:val="left"/>
            </w:pPr>
            <w:r>
              <w:rPr>
                <w:b w:val="false"/>
                <w:bCs w:val="false"/>
                <w:color w:val="000000"/>
                <w:sz w:val="20"/>
                <w:szCs w:val="20"/>
              </w:rPr>
              <w:t xml:space="preserve">$16.38 (74.4% of resource-group spend)</w:t>
            </w:r>
          </w:p>
        </w:tc>
      </w:tr>
    </w:tbl>
    <w:p>
      <w:pPr>
        <w:spacing w:after="160"/>
      </w:pPr>
      <w:r>
        <w:rPr>
          <w:b/>
          <w:bCs/>
          <w:color w:val="C00000"/>
        </w:rPr>
        <w:t xml:space="preserve">This disk was provisioned at 1024 GiB on the Premium SSD v2 tier — a high-performance, high-cost tier (3,000 IOPS / 125 MB/s provisioned) — and has never been attached to a virtual machine. At its observed burn rate of roughly $8/day, an unattended disk of this size and tier would accrue on the order of $240+ per month (≈ $2,900+ annualized) in pure waste if left in place. This is the single highest-priority finding in the audit.</w:t>
      </w:r>
    </w:p>
    <w:p>
      <w:r>
        <w:br w:type="page"/>
      </w:r>
    </w:p>
    <w:p>
      <w:pPr>
        <w:pStyle w:val="Heading1"/>
        <w:pBdr>
          <w:bottom w:val="single" w:color="1F3864" w:sz="8" w:space="4"/>
        </w:pBdr>
        <w:spacing w:after="240" w:before="480"/>
      </w:pPr>
      <w:r>
        <w:rPr>
          <w:b/>
          <w:bCs/>
          <w:color w:val="1F3864"/>
        </w:rPr>
        <w:t xml:space="preserve">7. Recommendations &amp; Rightsizing Actions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
        <w:gridCol w:w="4400"/>
        <w:gridCol w:w="1600"/>
        <w:gridCol w:w="2900"/>
      </w:tblGrid>
      <w:tr>
        <w:trPr>
          <w:tblHeader/>
        </w:trPr>
        <w:tc>
          <w:tcPr>
            <w:tcW w:type="dxa" w:w="500"/>
            <w:shd w:fill="1F3864" w:val="clear"/>
            <w:tcMar>
              <w:top w:type="dxa" w:w="80"/>
              <w:left w:type="dxa" w:w="100"/>
              <w:bottom w:type="dxa" w:w="80"/>
              <w:right w:type="dxa" w:w="100"/>
            </w:tcMar>
            <w:vAlign w:val="center"/>
          </w:tcPr>
          <w:p>
            <w:pPr>
              <w:jc w:val="left"/>
            </w:pPr>
            <w:r>
              <w:rPr>
                <w:b/>
                <w:bCs/>
                <w:color w:val="FFFFFF"/>
                <w:sz w:val="20"/>
                <w:szCs w:val="20"/>
              </w:rPr>
              <w:t xml:space="preserve">#</w:t>
            </w:r>
          </w:p>
        </w:tc>
        <w:tc>
          <w:tcPr>
            <w:tcW w:type="dxa" w:w="4400"/>
            <w:shd w:fill="1F3864" w:val="clear"/>
            <w:tcMar>
              <w:top w:type="dxa" w:w="80"/>
              <w:left w:type="dxa" w:w="100"/>
              <w:bottom w:type="dxa" w:w="80"/>
              <w:right w:type="dxa" w:w="100"/>
            </w:tcMar>
            <w:vAlign w:val="center"/>
          </w:tcPr>
          <w:p>
            <w:pPr>
              <w:jc w:val="left"/>
            </w:pPr>
            <w:r>
              <w:rPr>
                <w:b/>
                <w:bCs/>
                <w:color w:val="FFFFFF"/>
                <w:sz w:val="20"/>
                <w:szCs w:val="20"/>
              </w:rPr>
              <w:t xml:space="preserve">Recommendation</w:t>
            </w:r>
          </w:p>
        </w:tc>
        <w:tc>
          <w:tcPr>
            <w:tcW w:type="dxa" w:w="1600"/>
            <w:shd w:fill="1F3864" w:val="clear"/>
            <w:tcMar>
              <w:top w:type="dxa" w:w="80"/>
              <w:left w:type="dxa" w:w="100"/>
              <w:bottom w:type="dxa" w:w="80"/>
              <w:right w:type="dxa" w:w="100"/>
            </w:tcMar>
            <w:vAlign w:val="center"/>
          </w:tcPr>
          <w:p>
            <w:pPr>
              <w:jc w:val="left"/>
            </w:pPr>
            <w:r>
              <w:rPr>
                <w:b/>
                <w:bCs/>
                <w:color w:val="FFFFFF"/>
                <w:sz w:val="20"/>
                <w:szCs w:val="20"/>
              </w:rPr>
              <w:t xml:space="preserve">Priority</w:t>
            </w:r>
          </w:p>
        </w:tc>
        <w:tc>
          <w:tcPr>
            <w:tcW w:type="dxa" w:w="2900"/>
            <w:shd w:fill="1F3864" w:val="clear"/>
            <w:tcMar>
              <w:top w:type="dxa" w:w="80"/>
              <w:left w:type="dxa" w:w="100"/>
              <w:bottom w:type="dxa" w:w="80"/>
              <w:right w:type="dxa" w:w="100"/>
            </w:tcMar>
            <w:vAlign w:val="center"/>
          </w:tcPr>
          <w:p>
            <w:pPr>
              <w:jc w:val="left"/>
            </w:pPr>
            <w:r>
              <w:rPr>
                <w:b/>
                <w:bCs/>
                <w:color w:val="FFFFFF"/>
                <w:sz w:val="20"/>
                <w:szCs w:val="20"/>
              </w:rPr>
              <w:t xml:space="preserve">Estimated impact</w:t>
            </w:r>
          </w:p>
        </w:tc>
      </w:tr>
      <w:tr>
        <w:trPr>
          <w:cantSplit/>
        </w:trPr>
        <w:tc>
          <w:tcPr>
            <w:tcW w:type="dxa" w:w="500"/>
            <w:tcMar>
              <w:top w:type="dxa" w:w="80"/>
              <w:left w:type="dxa" w:w="100"/>
              <w:bottom w:type="dxa" w:w="80"/>
              <w:right w:type="dxa" w:w="100"/>
            </w:tcMar>
            <w:vAlign w:val="center"/>
          </w:tcPr>
          <w:p>
            <w:pPr>
              <w:jc w:val="left"/>
            </w:pPr>
            <w:r>
              <w:rPr>
                <w:b w:val="false"/>
                <w:bCs w:val="false"/>
                <w:color w:val="000000"/>
                <w:sz w:val="20"/>
                <w:szCs w:val="20"/>
              </w:rPr>
              <w:t xml:space="preserve">1</w:t>
            </w:r>
          </w:p>
        </w:tc>
        <w:tc>
          <w:tcPr>
            <w:tcW w:type="dxa" w:w="4400"/>
            <w:tcMar>
              <w:top w:type="dxa" w:w="80"/>
              <w:left w:type="dxa" w:w="100"/>
              <w:bottom w:type="dxa" w:w="80"/>
              <w:right w:type="dxa" w:w="100"/>
            </w:tcMar>
            <w:vAlign w:val="center"/>
          </w:tcPr>
          <w:p>
            <w:pPr>
              <w:jc w:val="left"/>
            </w:pPr>
            <w:r>
              <w:rPr>
                <w:b w:val="false"/>
                <w:bCs w:val="false"/>
                <w:color w:val="000000"/>
                <w:sz w:val="20"/>
                <w:szCs w:val="20"/>
              </w:rPr>
              <w:t xml:space="preserve">Delete orphan-disk-demo (or snapshot/export first if data must be retained, then delete)</w:t>
            </w:r>
          </w:p>
        </w:tc>
        <w:tc>
          <w:tcPr>
            <w:tcW w:type="dxa" w:w="1600"/>
            <w:tcMar>
              <w:top w:type="dxa" w:w="80"/>
              <w:left w:type="dxa" w:w="100"/>
              <w:bottom w:type="dxa" w:w="80"/>
              <w:right w:type="dxa" w:w="100"/>
            </w:tcMar>
            <w:vAlign w:val="center"/>
          </w:tcPr>
          <w:p>
            <w:pPr>
              <w:jc w:val="left"/>
            </w:pPr>
            <w:r>
              <w:rPr>
                <w:b w:val="false"/>
                <w:bCs w:val="false"/>
                <w:color w:val="000000"/>
                <w:sz w:val="20"/>
                <w:szCs w:val="20"/>
              </w:rPr>
              <w:t xml:space="preserve">High</w:t>
            </w:r>
          </w:p>
        </w:tc>
        <w:tc>
          <w:tcPr>
            <w:tcW w:type="dxa" w:w="2900"/>
            <w:tcMar>
              <w:top w:type="dxa" w:w="80"/>
              <w:left w:type="dxa" w:w="100"/>
              <w:bottom w:type="dxa" w:w="80"/>
              <w:right w:type="dxa" w:w="100"/>
            </w:tcMar>
            <w:vAlign w:val="center"/>
          </w:tcPr>
          <w:p>
            <w:pPr>
              <w:jc w:val="left"/>
            </w:pPr>
            <w:r>
              <w:rPr>
                <w:b w:val="false"/>
                <w:bCs w:val="false"/>
                <w:color w:val="000000"/>
                <w:sz w:val="20"/>
                <w:szCs w:val="20"/>
              </w:rPr>
              <w:t xml:space="preserve">Removes $16.38 MTD / ≈ $240+ per month if left running</w:t>
            </w:r>
          </w:p>
        </w:tc>
      </w:tr>
      <w:tr>
        <w:trPr>
          <w:cantSplit/>
        </w:trPr>
        <w:tc>
          <w:tcPr>
            <w:tcW w:type="dxa" w:w="500"/>
            <w:shd w:fill="F2F2F2" w:val="clear"/>
            <w:tcMar>
              <w:top w:type="dxa" w:w="80"/>
              <w:left w:type="dxa" w:w="100"/>
              <w:bottom w:type="dxa" w:w="80"/>
              <w:right w:type="dxa" w:w="100"/>
            </w:tcMar>
            <w:vAlign w:val="center"/>
          </w:tcPr>
          <w:p>
            <w:pPr>
              <w:jc w:val="left"/>
            </w:pPr>
            <w:r>
              <w:rPr>
                <w:b w:val="false"/>
                <w:bCs w:val="false"/>
                <w:color w:val="000000"/>
                <w:sz w:val="20"/>
                <w:szCs w:val="20"/>
              </w:rPr>
              <w:t xml:space="preserve">2</w:t>
            </w:r>
          </w:p>
        </w:tc>
        <w:tc>
          <w:tcPr>
            <w:tcW w:type="dxa" w:w="4400"/>
            <w:shd w:fill="F2F2F2" w:val="clear"/>
            <w:tcMar>
              <w:top w:type="dxa" w:w="80"/>
              <w:left w:type="dxa" w:w="100"/>
              <w:bottom w:type="dxa" w:w="80"/>
              <w:right w:type="dxa" w:w="100"/>
            </w:tcMar>
            <w:vAlign w:val="center"/>
          </w:tcPr>
          <w:p>
            <w:pPr>
              <w:jc w:val="left"/>
            </w:pPr>
            <w:r>
              <w:rPr>
                <w:b w:val="false"/>
                <w:bCs w:val="false"/>
                <w:color w:val="000000"/>
                <w:sz w:val="20"/>
                <w:szCs w:val="20"/>
              </w:rPr>
              <w:t xml:space="preserve">Right-size vm-cost-audit-demo from Standard B2ls v2 (2 vCPU/4GiB) to a smaller B-series SKU (e.g., B1ls v2 / B1s) based on 0.17% avg CPU</w:t>
            </w:r>
          </w:p>
        </w:tc>
        <w:tc>
          <w:tcPr>
            <w:tcW w:type="dxa" w:w="1600"/>
            <w:shd w:fill="F2F2F2" w:val="clear"/>
            <w:tcMar>
              <w:top w:type="dxa" w:w="80"/>
              <w:left w:type="dxa" w:w="100"/>
              <w:bottom w:type="dxa" w:w="80"/>
              <w:right w:type="dxa" w:w="100"/>
            </w:tcMar>
            <w:vAlign w:val="center"/>
          </w:tcPr>
          <w:p>
            <w:pPr>
              <w:jc w:val="left"/>
            </w:pPr>
            <w:r>
              <w:rPr>
                <w:b w:val="false"/>
                <w:bCs w:val="false"/>
                <w:color w:val="000000"/>
                <w:sz w:val="20"/>
                <w:szCs w:val="20"/>
              </w:rPr>
              <w:t xml:space="preserve">Medium</w:t>
            </w:r>
          </w:p>
        </w:tc>
        <w:tc>
          <w:tcPr>
            <w:tcW w:type="dxa" w:w="2900"/>
            <w:shd w:fill="F2F2F2" w:val="clear"/>
            <w:tcMar>
              <w:top w:type="dxa" w:w="80"/>
              <w:left w:type="dxa" w:w="100"/>
              <w:bottom w:type="dxa" w:w="80"/>
              <w:right w:type="dxa" w:w="100"/>
            </w:tcMar>
            <w:vAlign w:val="center"/>
          </w:tcPr>
          <w:p>
            <w:pPr>
              <w:jc w:val="left"/>
            </w:pPr>
            <w:r>
              <w:rPr>
                <w:b w:val="false"/>
                <w:bCs w:val="false"/>
                <w:color w:val="000000"/>
                <w:sz w:val="20"/>
                <w:szCs w:val="20"/>
              </w:rPr>
              <w:t xml:space="preserve">Typically 40–60% reduction in VM compute cost at this utilization level</w:t>
            </w:r>
          </w:p>
        </w:tc>
      </w:tr>
      <w:tr>
        <w:trPr>
          <w:cantSplit/>
        </w:trPr>
        <w:tc>
          <w:tcPr>
            <w:tcW w:type="dxa" w:w="500"/>
            <w:tcMar>
              <w:top w:type="dxa" w:w="80"/>
              <w:left w:type="dxa" w:w="100"/>
              <w:bottom w:type="dxa" w:w="80"/>
              <w:right w:type="dxa" w:w="100"/>
            </w:tcMar>
            <w:vAlign w:val="center"/>
          </w:tcPr>
          <w:p>
            <w:pPr>
              <w:jc w:val="left"/>
            </w:pPr>
            <w:r>
              <w:rPr>
                <w:b w:val="false"/>
                <w:bCs w:val="false"/>
                <w:color w:val="000000"/>
                <w:sz w:val="20"/>
                <w:szCs w:val="20"/>
              </w:rPr>
              <w:t xml:space="preserve">3</w:t>
            </w:r>
          </w:p>
        </w:tc>
        <w:tc>
          <w:tcPr>
            <w:tcW w:type="dxa" w:w="4400"/>
            <w:tcMar>
              <w:top w:type="dxa" w:w="80"/>
              <w:left w:type="dxa" w:w="100"/>
              <w:bottom w:type="dxa" w:w="80"/>
              <w:right w:type="dxa" w:w="100"/>
            </w:tcMar>
            <w:vAlign w:val="center"/>
          </w:tcPr>
          <w:p>
            <w:pPr>
              <w:jc w:val="left"/>
            </w:pPr>
            <w:r>
              <w:rPr>
                <w:b w:val="false"/>
                <w:bCs w:val="false"/>
                <w:color w:val="000000"/>
                <w:sz w:val="20"/>
                <w:szCs w:val="20"/>
              </w:rPr>
              <w:t xml:space="preserve">Enable an auto-shutdown schedule on the VM for non-business hours</w:t>
            </w:r>
          </w:p>
        </w:tc>
        <w:tc>
          <w:tcPr>
            <w:tcW w:type="dxa" w:w="1600"/>
            <w:tcMar>
              <w:top w:type="dxa" w:w="80"/>
              <w:left w:type="dxa" w:w="100"/>
              <w:bottom w:type="dxa" w:w="80"/>
              <w:right w:type="dxa" w:w="100"/>
            </w:tcMar>
            <w:vAlign w:val="center"/>
          </w:tcPr>
          <w:p>
            <w:pPr>
              <w:jc w:val="left"/>
            </w:pPr>
            <w:r>
              <w:rPr>
                <w:b w:val="false"/>
                <w:bCs w:val="false"/>
                <w:color w:val="000000"/>
                <w:sz w:val="20"/>
                <w:szCs w:val="20"/>
              </w:rPr>
              <w:t xml:space="preserve">Medium</w:t>
            </w:r>
          </w:p>
        </w:tc>
        <w:tc>
          <w:tcPr>
            <w:tcW w:type="dxa" w:w="2900"/>
            <w:tcMar>
              <w:top w:type="dxa" w:w="80"/>
              <w:left w:type="dxa" w:w="100"/>
              <w:bottom w:type="dxa" w:w="80"/>
              <w:right w:type="dxa" w:w="100"/>
            </w:tcMar>
            <w:vAlign w:val="center"/>
          </w:tcPr>
          <w:p>
            <w:pPr>
              <w:jc w:val="left"/>
            </w:pPr>
            <w:r>
              <w:rPr>
                <w:b w:val="false"/>
                <w:bCs w:val="false"/>
                <w:color w:val="000000"/>
                <w:sz w:val="20"/>
                <w:szCs w:val="20"/>
              </w:rPr>
              <w:t xml:space="preserve">Cuts billable VM runtime hours for a demo/dev workload</w:t>
            </w:r>
          </w:p>
        </w:tc>
      </w:tr>
      <w:tr>
        <w:trPr>
          <w:cantSplit/>
        </w:trPr>
        <w:tc>
          <w:tcPr>
            <w:tcW w:type="dxa" w:w="500"/>
            <w:shd w:fill="F2F2F2" w:val="clear"/>
            <w:tcMar>
              <w:top w:type="dxa" w:w="80"/>
              <w:left w:type="dxa" w:w="100"/>
              <w:bottom w:type="dxa" w:w="80"/>
              <w:right w:type="dxa" w:w="100"/>
            </w:tcMar>
            <w:vAlign w:val="center"/>
          </w:tcPr>
          <w:p>
            <w:pPr>
              <w:jc w:val="left"/>
            </w:pPr>
            <w:r>
              <w:rPr>
                <w:b w:val="false"/>
                <w:bCs w:val="false"/>
                <w:color w:val="000000"/>
                <w:sz w:val="20"/>
                <w:szCs w:val="20"/>
              </w:rPr>
              <w:t xml:space="preserve">4</w:t>
            </w:r>
          </w:p>
        </w:tc>
        <w:tc>
          <w:tcPr>
            <w:tcW w:type="dxa" w:w="4400"/>
            <w:shd w:fill="F2F2F2" w:val="clear"/>
            <w:tcMar>
              <w:top w:type="dxa" w:w="80"/>
              <w:left w:type="dxa" w:w="100"/>
              <w:bottom w:type="dxa" w:w="80"/>
              <w:right w:type="dxa" w:w="100"/>
            </w:tcMar>
            <w:vAlign w:val="center"/>
          </w:tcPr>
          <w:p>
            <w:pPr>
              <w:jc w:val="left"/>
            </w:pPr>
            <w:r>
              <w:rPr>
                <w:b w:val="false"/>
                <w:bCs w:val="false"/>
                <w:color w:val="000000"/>
                <w:sz w:val="20"/>
                <w:szCs w:val="20"/>
              </w:rPr>
              <w:t xml:space="preserve">Move storagecostaudit's default access tier from Hot to Cool (or Archive) if data is infrequently accessed</w:t>
            </w:r>
          </w:p>
        </w:tc>
        <w:tc>
          <w:tcPr>
            <w:tcW w:type="dxa" w:w="1600"/>
            <w:shd w:fill="F2F2F2" w:val="clear"/>
            <w:tcMar>
              <w:top w:type="dxa" w:w="80"/>
              <w:left w:type="dxa" w:w="100"/>
              <w:bottom w:type="dxa" w:w="80"/>
              <w:right w:type="dxa" w:w="100"/>
            </w:tcMar>
            <w:vAlign w:val="center"/>
          </w:tcPr>
          <w:p>
            <w:pPr>
              <w:jc w:val="left"/>
            </w:pPr>
            <w:r>
              <w:rPr>
                <w:b w:val="false"/>
                <w:bCs w:val="false"/>
                <w:color w:val="000000"/>
                <w:sz w:val="20"/>
                <w:szCs w:val="20"/>
              </w:rPr>
              <w:t xml:space="preserve">Low–Medium</w:t>
            </w:r>
          </w:p>
        </w:tc>
        <w:tc>
          <w:tcPr>
            <w:tcW w:type="dxa" w:w="2900"/>
            <w:shd w:fill="F2F2F2" w:val="clear"/>
            <w:tcMar>
              <w:top w:type="dxa" w:w="80"/>
              <w:left w:type="dxa" w:w="100"/>
              <w:bottom w:type="dxa" w:w="80"/>
              <w:right w:type="dxa" w:w="100"/>
            </w:tcMar>
            <w:vAlign w:val="center"/>
          </w:tcPr>
          <w:p>
            <w:pPr>
              <w:jc w:val="left"/>
            </w:pPr>
            <w:r>
              <w:rPr>
                <w:b w:val="false"/>
                <w:bCs w:val="false"/>
                <w:color w:val="000000"/>
                <w:sz w:val="20"/>
                <w:szCs w:val="20"/>
              </w:rPr>
              <w:t xml:space="preserve">Cool tier storage is materially cheaper per GB than Hot; confirm against expected access pattern</w:t>
            </w:r>
          </w:p>
        </w:tc>
      </w:tr>
      <w:tr>
        <w:trPr>
          <w:cantSplit/>
        </w:trPr>
        <w:tc>
          <w:tcPr>
            <w:tcW w:type="dxa" w:w="500"/>
            <w:tcMar>
              <w:top w:type="dxa" w:w="80"/>
              <w:left w:type="dxa" w:w="100"/>
              <w:bottom w:type="dxa" w:w="80"/>
              <w:right w:type="dxa" w:w="100"/>
            </w:tcMar>
            <w:vAlign w:val="center"/>
          </w:tcPr>
          <w:p>
            <w:pPr>
              <w:jc w:val="left"/>
            </w:pPr>
            <w:r>
              <w:rPr>
                <w:b w:val="false"/>
                <w:bCs w:val="false"/>
                <w:color w:val="000000"/>
                <w:sz w:val="20"/>
                <w:szCs w:val="20"/>
              </w:rPr>
              <w:t xml:space="preserve">5</w:t>
            </w:r>
          </w:p>
        </w:tc>
        <w:tc>
          <w:tcPr>
            <w:tcW w:type="dxa" w:w="4400"/>
            <w:tcMar>
              <w:top w:type="dxa" w:w="80"/>
              <w:left w:type="dxa" w:w="100"/>
              <w:bottom w:type="dxa" w:w="80"/>
              <w:right w:type="dxa" w:w="100"/>
            </w:tcMar>
            <w:vAlign w:val="center"/>
          </w:tcPr>
          <w:p>
            <w:pPr>
              <w:jc w:val="left"/>
            </w:pPr>
            <w:r>
              <w:rPr>
                <w:b w:val="false"/>
                <w:bCs w:val="false"/>
                <w:color w:val="000000"/>
                <w:sz w:val="20"/>
                <w:szCs w:val="20"/>
              </w:rPr>
              <w:t xml:space="preserve">Set Cost Management budget alerts at 50% / 80% / 100% of the $20 monthly budget</w:t>
            </w:r>
          </w:p>
        </w:tc>
        <w:tc>
          <w:tcPr>
            <w:tcW w:type="dxa" w:w="1600"/>
            <w:tcMar>
              <w:top w:type="dxa" w:w="80"/>
              <w:left w:type="dxa" w:w="100"/>
              <w:bottom w:type="dxa" w:w="80"/>
              <w:right w:type="dxa" w:w="100"/>
            </w:tcMar>
            <w:vAlign w:val="center"/>
          </w:tcPr>
          <w:p>
            <w:pPr>
              <w:jc w:val="left"/>
            </w:pPr>
            <w:r>
              <w:rPr>
                <w:b w:val="false"/>
                <w:bCs w:val="false"/>
                <w:color w:val="000000"/>
                <w:sz w:val="20"/>
                <w:szCs w:val="20"/>
              </w:rPr>
              <w:t xml:space="preserve">Governance</w:t>
            </w:r>
          </w:p>
        </w:tc>
        <w:tc>
          <w:tcPr>
            <w:tcW w:type="dxa" w:w="2900"/>
            <w:tcMar>
              <w:top w:type="dxa" w:w="80"/>
              <w:left w:type="dxa" w:w="100"/>
              <w:bottom w:type="dxa" w:w="80"/>
              <w:right w:type="dxa" w:w="100"/>
            </w:tcMar>
            <w:vAlign w:val="center"/>
          </w:tcPr>
          <w:p>
            <w:pPr>
              <w:jc w:val="left"/>
            </w:pPr>
            <w:r>
              <w:rPr>
                <w:b w:val="false"/>
                <w:bCs w:val="false"/>
                <w:color w:val="000000"/>
                <w:sz w:val="20"/>
                <w:szCs w:val="20"/>
              </w:rPr>
              <w:t xml:space="preserve">Earlier warning before overspend, instead of discovering it after the fact</w:t>
            </w:r>
          </w:p>
        </w:tc>
      </w:tr>
      <w:tr>
        <w:trPr>
          <w:cantSplit/>
        </w:trPr>
        <w:tc>
          <w:tcPr>
            <w:tcW w:type="dxa" w:w="500"/>
            <w:shd w:fill="F2F2F2" w:val="clear"/>
            <w:tcMar>
              <w:top w:type="dxa" w:w="80"/>
              <w:left w:type="dxa" w:w="100"/>
              <w:bottom w:type="dxa" w:w="80"/>
              <w:right w:type="dxa" w:w="100"/>
            </w:tcMar>
            <w:vAlign w:val="center"/>
          </w:tcPr>
          <w:p>
            <w:pPr>
              <w:jc w:val="left"/>
            </w:pPr>
            <w:r>
              <w:rPr>
                <w:b w:val="false"/>
                <w:bCs w:val="false"/>
                <w:color w:val="000000"/>
                <w:sz w:val="20"/>
                <w:szCs w:val="20"/>
              </w:rPr>
              <w:t xml:space="preserve">6</w:t>
            </w:r>
          </w:p>
        </w:tc>
        <w:tc>
          <w:tcPr>
            <w:tcW w:type="dxa" w:w="4400"/>
            <w:shd w:fill="F2F2F2" w:val="clear"/>
            <w:tcMar>
              <w:top w:type="dxa" w:w="80"/>
              <w:left w:type="dxa" w:w="100"/>
              <w:bottom w:type="dxa" w:w="80"/>
              <w:right w:type="dxa" w:w="100"/>
            </w:tcMar>
            <w:vAlign w:val="center"/>
          </w:tcPr>
          <w:p>
            <w:pPr>
              <w:jc w:val="left"/>
            </w:pPr>
            <w:r>
              <w:rPr>
                <w:b w:val="false"/>
                <w:bCs w:val="false"/>
                <w:color w:val="000000"/>
                <w:sz w:val="20"/>
                <w:szCs w:val="20"/>
              </w:rPr>
              <w:t xml:space="preserve">Action and close out the existing Azure Advisor cost recommendation (currently 0% complete)</w:t>
            </w:r>
          </w:p>
        </w:tc>
        <w:tc>
          <w:tcPr>
            <w:tcW w:type="dxa" w:w="1600"/>
            <w:shd w:fill="F2F2F2" w:val="clear"/>
            <w:tcMar>
              <w:top w:type="dxa" w:w="80"/>
              <w:left w:type="dxa" w:w="100"/>
              <w:bottom w:type="dxa" w:w="80"/>
              <w:right w:type="dxa" w:w="100"/>
            </w:tcMar>
            <w:vAlign w:val="center"/>
          </w:tcPr>
          <w:p>
            <w:pPr>
              <w:jc w:val="left"/>
            </w:pPr>
            <w:r>
              <w:rPr>
                <w:b w:val="false"/>
                <w:bCs w:val="false"/>
                <w:color w:val="000000"/>
                <w:sz w:val="20"/>
                <w:szCs w:val="20"/>
              </w:rPr>
              <w:t xml:space="preserve">High</w:t>
            </w:r>
          </w:p>
        </w:tc>
        <w:tc>
          <w:tcPr>
            <w:tcW w:type="dxa" w:w="2900"/>
            <w:shd w:fill="F2F2F2" w:val="clear"/>
            <w:tcMar>
              <w:top w:type="dxa" w:w="80"/>
              <w:left w:type="dxa" w:w="100"/>
              <w:bottom w:type="dxa" w:w="80"/>
              <w:right w:type="dxa" w:w="100"/>
            </w:tcMar>
            <w:vAlign w:val="center"/>
          </w:tcPr>
          <w:p>
            <w:pPr>
              <w:jc w:val="left"/>
            </w:pPr>
            <w:r>
              <w:rPr>
                <w:b w:val="false"/>
                <w:bCs w:val="false"/>
                <w:color w:val="000000"/>
                <w:sz w:val="20"/>
                <w:szCs w:val="20"/>
              </w:rPr>
              <w:t xml:space="preserve">Brings Advisor Cost score up from 37%</w:t>
            </w:r>
          </w:p>
        </w:tc>
      </w:tr>
    </w:tbl>
    <w:p>
      <w:pPr>
        <w:pStyle w:val="Heading1"/>
        <w:pBdr>
          <w:bottom w:val="single" w:color="1F3864" w:sz="8" w:space="4"/>
        </w:pBdr>
        <w:spacing w:after="240" w:before="480"/>
      </w:pPr>
      <w:r>
        <w:rPr>
          <w:b/>
          <w:bCs/>
          <w:color w:val="1F3864"/>
        </w:rPr>
        <w:t xml:space="preserve">8. Before-and-After Comparison</w:t>
      </w:r>
    </w:p>
    <w:p>
      <w:pPr>
        <w:pStyle w:val="Heading2"/>
        <w:spacing w:after="160" w:before="320"/>
      </w:pPr>
      <w:r>
        <w:rPr>
          <w:b/>
          <w:bCs/>
          <w:color w:val="2E74B5"/>
        </w:rPr>
        <w:t xml:space="preserve">8.1 Cost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shd w:fill="1F3864" w:val="clear"/>
            <w:tcMar>
              <w:top w:type="dxa" w:w="80"/>
              <w:left w:type="dxa" w:w="100"/>
              <w:bottom w:type="dxa" w:w="80"/>
              <w:right w:type="dxa" w:w="100"/>
            </w:tcMar>
            <w:vAlign w:val="center"/>
          </w:tcPr>
          <w:p>
            <w:pPr>
              <w:jc w:val="left"/>
            </w:pPr>
            <w:r>
              <w:rPr>
                <w:b/>
                <w:bCs/>
                <w:color w:val="FFFFFF"/>
                <w:sz w:val="20"/>
                <w:szCs w:val="20"/>
              </w:rPr>
              <w:t xml:space="preserve">Metric</w:t>
            </w:r>
          </w:p>
        </w:tc>
        <w:tc>
          <w:tcPr>
            <w:tcW w:type="dxa" w:w="3000"/>
            <w:shd w:fill="1F3864" w:val="clear"/>
            <w:tcMar>
              <w:top w:type="dxa" w:w="80"/>
              <w:left w:type="dxa" w:w="100"/>
              <w:bottom w:type="dxa" w:w="80"/>
              <w:right w:type="dxa" w:w="100"/>
            </w:tcMar>
            <w:vAlign w:val="center"/>
          </w:tcPr>
          <w:p>
            <w:pPr>
              <w:jc w:val="left"/>
            </w:pPr>
            <w:r>
              <w:rPr>
                <w:b/>
                <w:bCs/>
                <w:color w:val="FFFFFF"/>
                <w:sz w:val="20"/>
                <w:szCs w:val="20"/>
              </w:rPr>
              <w:t xml:space="preserve">Before (as audited)</w:t>
            </w:r>
          </w:p>
        </w:tc>
        <w:tc>
          <w:tcPr>
            <w:tcW w:type="dxa" w:w="3000"/>
            <w:shd w:fill="1F3864" w:val="clear"/>
            <w:tcMar>
              <w:top w:type="dxa" w:w="80"/>
              <w:left w:type="dxa" w:w="100"/>
              <w:bottom w:type="dxa" w:w="80"/>
              <w:right w:type="dxa" w:w="100"/>
            </w:tcMar>
            <w:vAlign w:val="center"/>
          </w:tcPr>
          <w:p>
            <w:pPr>
              <w:jc w:val="left"/>
            </w:pPr>
            <w:r>
              <w:rPr>
                <w:b/>
                <w:bCs/>
                <w:color w:val="FFFFFF"/>
                <w:sz w:val="20"/>
                <w:szCs w:val="20"/>
              </w:rPr>
              <w:t xml:space="preserve">After (projected, once actions 1–4 above are applied)</w:t>
            </w:r>
          </w:p>
        </w:tc>
      </w:tr>
      <w:tr>
        <w:trPr>
          <w:cantSplit/>
        </w:trPr>
        <w:tc>
          <w:tcPr>
            <w:tcW w:type="dxa" w:w="3000"/>
            <w:tcMar>
              <w:top w:type="dxa" w:w="80"/>
              <w:left w:type="dxa" w:w="100"/>
              <w:bottom w:type="dxa" w:w="80"/>
              <w:right w:type="dxa" w:w="100"/>
            </w:tcMar>
            <w:vAlign w:val="center"/>
          </w:tcPr>
          <w:p>
            <w:pPr>
              <w:jc w:val="left"/>
            </w:pPr>
            <w:r>
              <w:rPr>
                <w:b w:val="false"/>
                <w:bCs w:val="false"/>
                <w:color w:val="000000"/>
                <w:sz w:val="20"/>
                <w:szCs w:val="20"/>
              </w:rPr>
              <w:t xml:space="preserve">Month-to-date spend (5 days)</w:t>
            </w:r>
          </w:p>
        </w:tc>
        <w:tc>
          <w:tcPr>
            <w:tcW w:type="dxa" w:w="3000"/>
            <w:tcMar>
              <w:top w:type="dxa" w:w="80"/>
              <w:left w:type="dxa" w:w="100"/>
              <w:bottom w:type="dxa" w:w="80"/>
              <w:right w:type="dxa" w:w="100"/>
            </w:tcMar>
            <w:vAlign w:val="center"/>
          </w:tcPr>
          <w:p>
            <w:pPr>
              <w:jc w:val="left"/>
            </w:pPr>
            <w:r>
              <w:rPr>
                <w:b w:val="false"/>
                <w:bCs w:val="false"/>
                <w:color w:val="000000"/>
                <w:sz w:val="20"/>
                <w:szCs w:val="20"/>
              </w:rPr>
              <w:t xml:space="preserve">$22.01</w:t>
            </w:r>
          </w:p>
        </w:tc>
        <w:tc>
          <w:tcPr>
            <w:tcW w:type="dxa" w:w="3000"/>
            <w:tcMar>
              <w:top w:type="dxa" w:w="80"/>
              <w:left w:type="dxa" w:w="100"/>
              <w:bottom w:type="dxa" w:w="80"/>
              <w:right w:type="dxa" w:w="100"/>
            </w:tcMar>
            <w:vAlign w:val="center"/>
          </w:tcPr>
          <w:p>
            <w:pPr>
              <w:jc w:val="left"/>
            </w:pPr>
            <w:r>
              <w:rPr>
                <w:b w:val="false"/>
                <w:bCs w:val="false"/>
                <w:color w:val="000000"/>
                <w:sz w:val="20"/>
                <w:szCs w:val="20"/>
              </w:rPr>
              <w:t xml:space="preserve">≈ $5.60 (removes the $16.38 orphan-disk charge)</w:t>
            </w:r>
          </w:p>
        </w:tc>
      </w:tr>
      <w:tr>
        <w:trPr>
          <w:cantSplit/>
        </w:trPr>
        <w:tc>
          <w:tcPr>
            <w:tcW w:type="dxa" w:w="3000"/>
            <w:shd w:fill="F2F2F2" w:val="clear"/>
            <w:tcMar>
              <w:top w:type="dxa" w:w="80"/>
              <w:left w:type="dxa" w:w="100"/>
              <w:bottom w:type="dxa" w:w="80"/>
              <w:right w:type="dxa" w:w="100"/>
            </w:tcMar>
            <w:vAlign w:val="center"/>
          </w:tcPr>
          <w:p>
            <w:pPr>
              <w:jc w:val="left"/>
            </w:pPr>
            <w:r>
              <w:rPr>
                <w:b w:val="false"/>
                <w:bCs w:val="false"/>
                <w:color w:val="000000"/>
                <w:sz w:val="20"/>
                <w:szCs w:val="20"/>
              </w:rPr>
              <w:t xml:space="preserve">Largest cost driver</w:t>
            </w:r>
          </w:p>
        </w:tc>
        <w:tc>
          <w:tcPr>
            <w:tcW w:type="dxa" w:w="3000"/>
            <w:shd w:fill="F2F2F2" w:val="clear"/>
            <w:tcMar>
              <w:top w:type="dxa" w:w="80"/>
              <w:left w:type="dxa" w:w="100"/>
              <w:bottom w:type="dxa" w:w="80"/>
              <w:right w:type="dxa" w:w="100"/>
            </w:tcMar>
            <w:vAlign w:val="center"/>
          </w:tcPr>
          <w:p>
            <w:pPr>
              <w:jc w:val="left"/>
            </w:pPr>
            <w:r>
              <w:rPr>
                <w:b w:val="false"/>
                <w:bCs w:val="false"/>
                <w:color w:val="000000"/>
                <w:sz w:val="20"/>
                <w:szCs w:val="20"/>
              </w:rPr>
              <w:t xml:space="preserve">Unattached disk — 74.4% of spend</w:t>
            </w:r>
          </w:p>
        </w:tc>
        <w:tc>
          <w:tcPr>
            <w:tcW w:type="dxa" w:w="3000"/>
            <w:shd w:fill="F2F2F2" w:val="clear"/>
            <w:tcMar>
              <w:top w:type="dxa" w:w="80"/>
              <w:left w:type="dxa" w:w="100"/>
              <w:bottom w:type="dxa" w:w="80"/>
              <w:right w:type="dxa" w:w="100"/>
            </w:tcMar>
            <w:vAlign w:val="center"/>
          </w:tcPr>
          <w:p>
            <w:pPr>
              <w:jc w:val="left"/>
            </w:pPr>
            <w:r>
              <w:rPr>
                <w:b w:val="false"/>
                <w:bCs w:val="false"/>
                <w:color w:val="000000"/>
                <w:sz w:val="20"/>
                <w:szCs w:val="20"/>
              </w:rPr>
              <w:t xml:space="preserve">Right-sized VM / storage — no single unmanaged resource dominates spend</w:t>
            </w:r>
          </w:p>
        </w:tc>
      </w:tr>
      <w:tr>
        <w:trPr>
          <w:cantSplit/>
        </w:trPr>
        <w:tc>
          <w:tcPr>
            <w:tcW w:type="dxa" w:w="3000"/>
            <w:tcMar>
              <w:top w:type="dxa" w:w="80"/>
              <w:left w:type="dxa" w:w="100"/>
              <w:bottom w:type="dxa" w:w="80"/>
              <w:right w:type="dxa" w:w="100"/>
            </w:tcMar>
            <w:vAlign w:val="center"/>
          </w:tcPr>
          <w:p>
            <w:pPr>
              <w:jc w:val="left"/>
            </w:pPr>
            <w:r>
              <w:rPr>
                <w:b w:val="false"/>
                <w:bCs w:val="false"/>
                <w:color w:val="000000"/>
                <w:sz w:val="20"/>
                <w:szCs w:val="20"/>
              </w:rPr>
              <w:t xml:space="preserve">Budget status (day 5)</w:t>
            </w:r>
          </w:p>
        </w:tc>
        <w:tc>
          <w:tcPr>
            <w:tcW w:type="dxa" w:w="3000"/>
            <w:tcMar>
              <w:top w:type="dxa" w:w="80"/>
              <w:left w:type="dxa" w:w="100"/>
              <w:bottom w:type="dxa" w:w="80"/>
              <w:right w:type="dxa" w:w="100"/>
            </w:tcMar>
            <w:vAlign w:val="center"/>
          </w:tcPr>
          <w:p>
            <w:pPr>
              <w:jc w:val="left"/>
            </w:pPr>
            <w:r>
              <w:rPr>
                <w:b w:val="false"/>
                <w:bCs w:val="false"/>
                <w:color w:val="000000"/>
                <w:sz w:val="20"/>
                <w:szCs w:val="20"/>
              </w:rPr>
              <w:t xml:space="preserve">Over budget by 10%</w:t>
            </w:r>
          </w:p>
        </w:tc>
        <w:tc>
          <w:tcPr>
            <w:tcW w:type="dxa" w:w="3000"/>
            <w:tcMar>
              <w:top w:type="dxa" w:w="80"/>
              <w:left w:type="dxa" w:w="100"/>
              <w:bottom w:type="dxa" w:w="80"/>
              <w:right w:type="dxa" w:w="100"/>
            </w:tcMar>
            <w:vAlign w:val="center"/>
          </w:tcPr>
          <w:p>
            <w:pPr>
              <w:jc w:val="left"/>
            </w:pPr>
            <w:r>
              <w:rPr>
                <w:b w:val="false"/>
                <w:bCs w:val="false"/>
                <w:color w:val="000000"/>
                <w:sz w:val="20"/>
                <w:szCs w:val="20"/>
              </w:rPr>
              <w:t xml:space="preserve">Well within the $20/month budget</w:t>
            </w:r>
          </w:p>
        </w:tc>
      </w:tr>
      <w:tr>
        <w:trPr>
          <w:cantSplit/>
        </w:trPr>
        <w:tc>
          <w:tcPr>
            <w:tcW w:type="dxa" w:w="3000"/>
            <w:shd w:fill="F2F2F2" w:val="clear"/>
            <w:tcMar>
              <w:top w:type="dxa" w:w="80"/>
              <w:left w:type="dxa" w:w="100"/>
              <w:bottom w:type="dxa" w:w="80"/>
              <w:right w:type="dxa" w:w="100"/>
            </w:tcMar>
            <w:vAlign w:val="center"/>
          </w:tcPr>
          <w:p>
            <w:pPr>
              <w:jc w:val="left"/>
            </w:pPr>
            <w:r>
              <w:rPr>
                <w:b w:val="false"/>
                <w:bCs w:val="false"/>
                <w:color w:val="000000"/>
                <w:sz w:val="20"/>
                <w:szCs w:val="20"/>
              </w:rPr>
              <w:t xml:space="preserve">Storage cost</w:t>
            </w:r>
          </w:p>
        </w:tc>
        <w:tc>
          <w:tcPr>
            <w:tcW w:type="dxa" w:w="3000"/>
            <w:shd w:fill="F2F2F2" w:val="clear"/>
            <w:tcMar>
              <w:top w:type="dxa" w:w="80"/>
              <w:left w:type="dxa" w:w="100"/>
              <w:bottom w:type="dxa" w:w="80"/>
              <w:right w:type="dxa" w:w="100"/>
            </w:tcMar>
            <w:vAlign w:val="center"/>
          </w:tcPr>
          <w:p>
            <w:pPr>
              <w:jc w:val="left"/>
            </w:pPr>
            <w:r>
              <w:rPr>
                <w:b w:val="false"/>
                <w:bCs w:val="false"/>
                <w:color w:val="000000"/>
                <w:sz w:val="20"/>
                <w:szCs w:val="20"/>
              </w:rPr>
              <w:t xml:space="preserve">$17.35</w:t>
            </w:r>
          </w:p>
        </w:tc>
        <w:tc>
          <w:tcPr>
            <w:tcW w:type="dxa" w:w="3000"/>
            <w:shd w:fill="F2F2F2" w:val="clear"/>
            <w:tcMar>
              <w:top w:type="dxa" w:w="80"/>
              <w:left w:type="dxa" w:w="100"/>
              <w:bottom w:type="dxa" w:w="80"/>
              <w:right w:type="dxa" w:w="100"/>
            </w:tcMar>
            <w:vAlign w:val="center"/>
          </w:tcPr>
          <w:p>
            <w:pPr>
              <w:jc w:val="left"/>
            </w:pPr>
            <w:r>
              <w:rPr>
                <w:b w:val="false"/>
                <w:bCs w:val="false"/>
                <w:color w:val="000000"/>
                <w:sz w:val="20"/>
                <w:szCs w:val="20"/>
              </w:rPr>
              <w:t xml:space="preserve">≈ $0.97 (orphan disk removed; storage account cost only)</w:t>
            </w:r>
          </w:p>
        </w:tc>
      </w:tr>
    </w:tbl>
    <w:p>
      <w:pPr>
        <w:spacing w:after="160"/>
      </w:pPr>
      <w:r>
        <w:rPr>
          <w:i/>
          <w:iCs/>
          <w:color w:val="595959"/>
          <w:sz w:val="18"/>
          <w:szCs w:val="18"/>
        </w:rPr>
        <w:t xml:space="preserve">Note: the “after” figures reflect removing the orphaned disk (the fully-substantiated, evidence-backed action) and are directional for VM/storage tiering changes, which depend on the workload's actual future usage pattern. They should be re-validated in Cost Management after each change is applied.</w:t>
      </w:r>
    </w:p>
    <w:p>
      <w:pPr>
        <w:pStyle w:val="Heading2"/>
        <w:spacing w:after="160" w:before="320"/>
      </w:pPr>
      <w:r>
        <w:rPr>
          <w:b/>
          <w:bCs/>
          <w:color w:val="2E74B5"/>
        </w:rPr>
        <w:t xml:space="preserve">8.2 Azure Advisor Cost Score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shd w:fill="1F3864" w:val="clear"/>
            <w:tcMar>
              <w:top w:type="dxa" w:w="80"/>
              <w:left w:type="dxa" w:w="100"/>
              <w:bottom w:type="dxa" w:w="80"/>
              <w:right w:type="dxa" w:w="100"/>
            </w:tcMar>
            <w:vAlign w:val="center"/>
          </w:tcPr>
          <w:p>
            <w:pPr>
              <w:jc w:val="left"/>
            </w:pPr>
            <w:r>
              <w:rPr>
                <w:b/>
                <w:bCs/>
                <w:color w:val="FFFFFF"/>
                <w:sz w:val="20"/>
                <w:szCs w:val="20"/>
              </w:rPr>
              <w:t xml:space="preserve">Metric</w:t>
            </w:r>
          </w:p>
        </w:tc>
        <w:tc>
          <w:tcPr>
            <w:tcW w:type="dxa" w:w="3000"/>
            <w:shd w:fill="1F3864" w:val="clear"/>
            <w:tcMar>
              <w:top w:type="dxa" w:w="80"/>
              <w:left w:type="dxa" w:w="100"/>
              <w:bottom w:type="dxa" w:w="80"/>
              <w:right w:type="dxa" w:w="100"/>
            </w:tcMar>
            <w:vAlign w:val="center"/>
          </w:tcPr>
          <w:p>
            <w:pPr>
              <w:jc w:val="left"/>
            </w:pPr>
            <w:r>
              <w:rPr>
                <w:b/>
                <w:bCs/>
                <w:color w:val="FFFFFF"/>
                <w:sz w:val="20"/>
                <w:szCs w:val="20"/>
              </w:rPr>
              <w:t xml:space="preserve">Before</w:t>
            </w:r>
          </w:p>
        </w:tc>
        <w:tc>
          <w:tcPr>
            <w:tcW w:type="dxa" w:w="3000"/>
            <w:shd w:fill="1F3864" w:val="clear"/>
            <w:tcMar>
              <w:top w:type="dxa" w:w="80"/>
              <w:left w:type="dxa" w:w="100"/>
              <w:bottom w:type="dxa" w:w="80"/>
              <w:right w:type="dxa" w:w="100"/>
            </w:tcMar>
            <w:vAlign w:val="center"/>
          </w:tcPr>
          <w:p>
            <w:pPr>
              <w:jc w:val="left"/>
            </w:pPr>
            <w:r>
              <w:rPr>
                <w:b/>
                <w:bCs/>
                <w:color w:val="FFFFFF"/>
                <w:sz w:val="20"/>
                <w:szCs w:val="20"/>
              </w:rPr>
              <w:t xml:space="preserve">After (target)</w:t>
            </w:r>
          </w:p>
        </w:tc>
      </w:tr>
      <w:tr>
        <w:trPr>
          <w:cantSplit/>
        </w:trPr>
        <w:tc>
          <w:tcPr>
            <w:tcW w:type="dxa" w:w="3000"/>
            <w:tcMar>
              <w:top w:type="dxa" w:w="80"/>
              <w:left w:type="dxa" w:w="100"/>
              <w:bottom w:type="dxa" w:w="80"/>
              <w:right w:type="dxa" w:w="100"/>
            </w:tcMar>
            <w:vAlign w:val="center"/>
          </w:tcPr>
          <w:p>
            <w:pPr>
              <w:jc w:val="left"/>
            </w:pPr>
            <w:r>
              <w:rPr>
                <w:b w:val="false"/>
                <w:bCs w:val="false"/>
                <w:color w:val="000000"/>
                <w:sz w:val="20"/>
                <w:szCs w:val="20"/>
              </w:rPr>
              <w:t xml:space="preserve">Advisor Cost score</w:t>
            </w:r>
          </w:p>
        </w:tc>
        <w:tc>
          <w:tcPr>
            <w:tcW w:type="dxa" w:w="3000"/>
            <w:tcMar>
              <w:top w:type="dxa" w:w="80"/>
              <w:left w:type="dxa" w:w="100"/>
              <w:bottom w:type="dxa" w:w="80"/>
              <w:right w:type="dxa" w:w="100"/>
            </w:tcMar>
            <w:vAlign w:val="center"/>
          </w:tcPr>
          <w:p>
            <w:pPr>
              <w:jc w:val="left"/>
            </w:pPr>
            <w:r>
              <w:rPr>
                <w:b w:val="false"/>
                <w:bCs w:val="false"/>
                <w:color w:val="000000"/>
                <w:sz w:val="20"/>
                <w:szCs w:val="20"/>
              </w:rPr>
              <w:t xml:space="preserve">37%</w:t>
            </w:r>
          </w:p>
        </w:tc>
        <w:tc>
          <w:tcPr>
            <w:tcW w:type="dxa" w:w="3000"/>
            <w:tcMar>
              <w:top w:type="dxa" w:w="80"/>
              <w:left w:type="dxa" w:w="100"/>
              <w:bottom w:type="dxa" w:w="80"/>
              <w:right w:type="dxa" w:w="100"/>
            </w:tcMar>
            <w:vAlign w:val="center"/>
          </w:tcPr>
          <w:p>
            <w:pPr>
              <w:jc w:val="left"/>
            </w:pPr>
            <w:r>
              <w:rPr>
                <w:b w:val="false"/>
                <w:bCs w:val="false"/>
                <w:color w:val="000000"/>
                <w:sz w:val="20"/>
                <w:szCs w:val="20"/>
              </w:rPr>
              <w:t xml:space="preserve">Materially higher once the orphaned-disk recommendation is actioned</w:t>
            </w:r>
          </w:p>
        </w:tc>
      </w:tr>
      <w:tr>
        <w:trPr>
          <w:cantSplit/>
        </w:trPr>
        <w:tc>
          <w:tcPr>
            <w:tcW w:type="dxa" w:w="3000"/>
            <w:shd w:fill="F2F2F2" w:val="clear"/>
            <w:tcMar>
              <w:top w:type="dxa" w:w="80"/>
              <w:left w:type="dxa" w:w="100"/>
              <w:bottom w:type="dxa" w:w="80"/>
              <w:right w:type="dxa" w:w="100"/>
            </w:tcMar>
            <w:vAlign w:val="center"/>
          </w:tcPr>
          <w:p>
            <w:pPr>
              <w:jc w:val="left"/>
            </w:pPr>
            <w:r>
              <w:rPr>
                <w:b w:val="false"/>
                <w:bCs w:val="false"/>
                <w:color w:val="000000"/>
                <w:sz w:val="20"/>
                <w:szCs w:val="20"/>
              </w:rPr>
              <w:t xml:space="preserve">Active cost recommendations</w:t>
            </w:r>
          </w:p>
        </w:tc>
        <w:tc>
          <w:tcPr>
            <w:tcW w:type="dxa" w:w="3000"/>
            <w:shd w:fill="F2F2F2" w:val="clear"/>
            <w:tcMar>
              <w:top w:type="dxa" w:w="80"/>
              <w:left w:type="dxa" w:w="100"/>
              <w:bottom w:type="dxa" w:w="80"/>
              <w:right w:type="dxa" w:w="100"/>
            </w:tcMar>
            <w:vAlign w:val="center"/>
          </w:tcPr>
          <w:p>
            <w:pPr>
              <w:jc w:val="left"/>
            </w:pPr>
            <w:r>
              <w:rPr>
                <w:b w:val="false"/>
                <w:bCs w:val="false"/>
                <w:color w:val="000000"/>
                <w:sz w:val="20"/>
                <w:szCs w:val="20"/>
              </w:rPr>
              <w:t xml:space="preserve">1 open (0% complete)</w:t>
            </w:r>
          </w:p>
        </w:tc>
        <w:tc>
          <w:tcPr>
            <w:tcW w:type="dxa" w:w="3000"/>
            <w:shd w:fill="F2F2F2" w:val="clear"/>
            <w:tcMar>
              <w:top w:type="dxa" w:w="80"/>
              <w:left w:type="dxa" w:w="100"/>
              <w:bottom w:type="dxa" w:w="80"/>
              <w:right w:type="dxa" w:w="100"/>
            </w:tcMar>
            <w:vAlign w:val="center"/>
          </w:tcPr>
          <w:p>
            <w:pPr>
              <w:jc w:val="left"/>
            </w:pPr>
            <w:r>
              <w:rPr>
                <w:b w:val="false"/>
                <w:bCs w:val="false"/>
                <w:color w:val="000000"/>
                <w:sz w:val="20"/>
                <w:szCs w:val="20"/>
              </w:rPr>
              <w:t xml:space="preserve">0 open</w:t>
            </w:r>
          </w:p>
        </w:tc>
      </w:tr>
      <w:tr>
        <w:trPr>
          <w:cantSplit/>
        </w:trPr>
        <w:tc>
          <w:tcPr>
            <w:tcW w:type="dxa" w:w="3000"/>
            <w:tcMar>
              <w:top w:type="dxa" w:w="80"/>
              <w:left w:type="dxa" w:w="100"/>
              <w:bottom w:type="dxa" w:w="80"/>
              <w:right w:type="dxa" w:w="100"/>
            </w:tcMar>
            <w:vAlign w:val="center"/>
          </w:tcPr>
          <w:p>
            <w:pPr>
              <w:jc w:val="left"/>
            </w:pPr>
            <w:r>
              <w:rPr>
                <w:b w:val="false"/>
                <w:bCs w:val="false"/>
                <w:color w:val="000000"/>
                <w:sz w:val="20"/>
                <w:szCs w:val="20"/>
              </w:rPr>
              <w:t xml:space="preserve">Resource-group Advisor coverage of flagged resources</w:t>
            </w:r>
          </w:p>
        </w:tc>
        <w:tc>
          <w:tcPr>
            <w:tcW w:type="dxa" w:w="3000"/>
            <w:tcMar>
              <w:top w:type="dxa" w:w="80"/>
              <w:left w:type="dxa" w:w="100"/>
              <w:bottom w:type="dxa" w:w="80"/>
              <w:right w:type="dxa" w:w="100"/>
            </w:tcMar>
            <w:vAlign w:val="center"/>
          </w:tcPr>
          <w:p>
            <w:pPr>
              <w:jc w:val="left"/>
            </w:pPr>
            <w:r>
              <w:rPr>
                <w:b w:val="false"/>
                <w:bCs w:val="false"/>
                <w:color w:val="000000"/>
                <w:sz w:val="20"/>
                <w:szCs w:val="20"/>
              </w:rPr>
              <w:t xml:space="preserve">1 of 7 (14.3%)</w:t>
            </w:r>
          </w:p>
        </w:tc>
        <w:tc>
          <w:tcPr>
            <w:tcW w:type="dxa" w:w="3000"/>
            <w:tcMar>
              <w:top w:type="dxa" w:w="80"/>
              <w:left w:type="dxa" w:w="100"/>
              <w:bottom w:type="dxa" w:w="80"/>
              <w:right w:type="dxa" w:w="100"/>
            </w:tcMar>
            <w:vAlign w:val="center"/>
          </w:tcPr>
          <w:p>
            <w:pPr>
              <w:jc w:val="left"/>
            </w:pPr>
            <w:r>
              <w:rPr>
                <w:b w:val="false"/>
                <w:bCs w:val="false"/>
                <w:color w:val="000000"/>
                <w:sz w:val="20"/>
                <w:szCs w:val="20"/>
              </w:rPr>
              <w:t xml:space="preserve">0 of 7 (0%)</w:t>
            </w:r>
          </w:p>
        </w:tc>
      </w:tr>
    </w:tbl>
    <w:p>
      <w:pPr>
        <w:pStyle w:val="Heading1"/>
        <w:pBdr>
          <w:bottom w:val="single" w:color="1F3864" w:sz="8" w:space="4"/>
        </w:pBdr>
        <w:spacing w:after="240" w:before="480"/>
      </w:pPr>
      <w:r>
        <w:rPr>
          <w:b/>
          <w:bCs/>
          <w:color w:val="1F3864"/>
        </w:rPr>
        <w:t xml:space="preserve">9. Implementation Plan / Next Steps</w:t>
      </w:r>
    </w:p>
    <w:p>
      <w:pPr>
        <w:pStyle w:val="ListParagraph"/>
        <w:numPr>
          <w:ilvl w:val="0"/>
          <w:numId w:val="2"/>
        </w:numPr>
        <w:spacing w:after="80"/>
      </w:pPr>
      <w:r>
        <w:t xml:space="preserve">Week 1: Confirm orphan-disk-demo is not needed (check with the team / take a final snapshot if uncertain), then delete it.</w:t>
      </w:r>
    </w:p>
    <w:p>
      <w:pPr>
        <w:pStyle w:val="ListParagraph"/>
        <w:numPr>
          <w:ilvl w:val="0"/>
          <w:numId w:val="2"/>
        </w:numPr>
        <w:spacing w:after="80"/>
      </w:pPr>
      <w:r>
        <w:t xml:space="preserve">Week 1: Enable an auto-shutdown schedule on vm-cost-audit-demo.</w:t>
      </w:r>
    </w:p>
    <w:p>
      <w:pPr>
        <w:pStyle w:val="ListParagraph"/>
        <w:numPr>
          <w:ilvl w:val="0"/>
          <w:numId w:val="2"/>
        </w:numPr>
        <w:spacing w:after="80"/>
      </w:pPr>
      <w:r>
        <w:t xml:space="preserve">Week 2: Right-size the VM SKU based on confirmed workload requirements; monitor CPU/RAM for 7 days post-change.</w:t>
      </w:r>
    </w:p>
    <w:p>
      <w:pPr>
        <w:pStyle w:val="ListParagraph"/>
        <w:numPr>
          <w:ilvl w:val="0"/>
          <w:numId w:val="2"/>
        </w:numPr>
        <w:spacing w:after="80"/>
      </w:pPr>
      <w:r>
        <w:t xml:space="preserve">Week 2: Review storagecostaudit's access pattern and move to Cool tier if appropriate.</w:t>
      </w:r>
    </w:p>
    <w:p>
      <w:pPr>
        <w:pStyle w:val="ListParagraph"/>
        <w:numPr>
          <w:ilvl w:val="0"/>
          <w:numId w:val="2"/>
        </w:numPr>
        <w:spacing w:after="80"/>
      </w:pPr>
      <w:r>
        <w:t xml:space="preserve">Ongoing: Run the accompanying PowerShell audit script (Appendix, Section 10) on a monthly schedule to catch new orphaned disks, idle VMs, and budget drift before they accumulate.</w:t>
      </w:r>
    </w:p>
    <w:p>
      <w:pPr>
        <w:pStyle w:val="ListParagraph"/>
        <w:numPr>
          <w:ilvl w:val="0"/>
          <w:numId w:val="2"/>
        </w:numPr>
        <w:spacing w:after="80"/>
      </w:pPr>
      <w:r>
        <w:t xml:space="preserve">Ongoing: Review Azure Advisor Cost score and Cost Management budget alerts weekly.</w:t>
      </w:r>
    </w:p>
    <w:p>
      <w:pPr>
        <w:pStyle w:val="Heading1"/>
        <w:pBdr>
          <w:bottom w:val="single" w:color="1F3864" w:sz="8" w:space="4"/>
        </w:pBdr>
        <w:spacing w:after="240" w:before="480"/>
      </w:pPr>
      <w:r>
        <w:rPr>
          <w:b/>
          <w:bCs/>
          <w:color w:val="1F3864"/>
        </w:rPr>
        <w:t xml:space="preserve">10. Appendix</w:t>
      </w:r>
    </w:p>
    <w:p>
      <w:pPr>
        <w:pStyle w:val="Heading2"/>
        <w:spacing w:after="160" w:before="320"/>
      </w:pPr>
      <w:r>
        <w:rPr>
          <w:b/>
          <w:bCs/>
          <w:color w:val="2E74B5"/>
        </w:rPr>
        <w:t xml:space="preserve">10.1 PowerShell Audit Automation Script</w:t>
      </w:r>
    </w:p>
    <w:p>
      <w:pPr>
        <w:spacing w:after="160"/>
      </w:pPr>
      <w:r>
        <w:t xml:space="preserve">A companion script, Audit-CloudCosts.ps1, automates the core checks performed manually in this audit (unattached disks, low-CPU VMs, and month-to-date cost by resource). It is provided as a separate file alongside this report and in the accompanying README.md, and is intended to be run monthly (e.g., via Task Scheduler or an Azure Automation runbook) so this review does not depend on someone remembering to do it manually.</w:t>
      </w:r>
    </w:p>
    <w:p>
      <w:pPr>
        <w:pStyle w:val="Heading2"/>
        <w:spacing w:after="160" w:before="320"/>
      </w:pPr>
      <w:r>
        <w:rPr>
          <w:b/>
          <w:bCs/>
          <w:color w:val="2E74B5"/>
        </w:rPr>
        <w:t xml:space="preserve">10.2 Screenshot Index</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00"/>
        <w:gridCol w:w="5800"/>
        <w:gridCol w:w="2000"/>
      </w:tblGrid>
      <w:tr>
        <w:trPr>
          <w:tblHeader/>
        </w:trPr>
        <w:tc>
          <w:tcPr>
            <w:tcW w:type="dxa" w:w="1200"/>
            <w:shd w:fill="1F3864" w:val="clear"/>
            <w:tcMar>
              <w:top w:type="dxa" w:w="80"/>
              <w:left w:type="dxa" w:w="100"/>
              <w:bottom w:type="dxa" w:w="80"/>
              <w:right w:type="dxa" w:w="100"/>
            </w:tcMar>
            <w:vAlign w:val="center"/>
          </w:tcPr>
          <w:p>
            <w:pPr>
              <w:jc w:val="left"/>
            </w:pPr>
            <w:r>
              <w:rPr>
                <w:b/>
                <w:bCs/>
                <w:color w:val="FFFFFF"/>
                <w:sz w:val="20"/>
                <w:szCs w:val="20"/>
              </w:rPr>
              <w:t xml:space="preserve">Figure</w:t>
            </w:r>
          </w:p>
        </w:tc>
        <w:tc>
          <w:tcPr>
            <w:tcW w:type="dxa" w:w="5800"/>
            <w:shd w:fill="1F3864" w:val="clear"/>
            <w:tcMar>
              <w:top w:type="dxa" w:w="80"/>
              <w:left w:type="dxa" w:w="100"/>
              <w:bottom w:type="dxa" w:w="80"/>
              <w:right w:type="dxa" w:w="100"/>
            </w:tcMar>
            <w:vAlign w:val="center"/>
          </w:tcPr>
          <w:p>
            <w:pPr>
              <w:jc w:val="left"/>
            </w:pPr>
            <w:r>
              <w:rPr>
                <w:b/>
                <w:bCs/>
                <w:color w:val="FFFFFF"/>
                <w:sz w:val="20"/>
                <w:szCs w:val="20"/>
              </w:rPr>
              <w:t xml:space="preserve">Source screen</w:t>
            </w:r>
          </w:p>
        </w:tc>
        <w:tc>
          <w:tcPr>
            <w:tcW w:type="dxa" w:w="2000"/>
            <w:shd w:fill="1F3864" w:val="clear"/>
            <w:tcMar>
              <w:top w:type="dxa" w:w="80"/>
              <w:left w:type="dxa" w:w="100"/>
              <w:bottom w:type="dxa" w:w="80"/>
              <w:right w:type="dxa" w:w="100"/>
            </w:tcMar>
            <w:vAlign w:val="center"/>
          </w:tcPr>
          <w:p>
            <w:pPr>
              <w:jc w:val="left"/>
            </w:pPr>
            <w:r>
              <w:rPr>
                <w:b/>
                <w:bCs/>
                <w:color w:val="FFFFFF"/>
                <w:sz w:val="20"/>
                <w:szCs w:val="20"/>
              </w:rPr>
              <w:t xml:space="preserve">Section</w:t>
            </w:r>
          </w:p>
        </w:tc>
      </w:tr>
      <w:tr>
        <w:trPr>
          <w:cantSplit/>
        </w:trPr>
        <w:tc>
          <w:tcPr>
            <w:tcW w:type="dxa" w:w="1200"/>
            <w:tcMar>
              <w:top w:type="dxa" w:w="80"/>
              <w:left w:type="dxa" w:w="100"/>
              <w:bottom w:type="dxa" w:w="80"/>
              <w:right w:type="dxa" w:w="100"/>
            </w:tcMar>
            <w:vAlign w:val="center"/>
          </w:tcPr>
          <w:p>
            <w:pPr>
              <w:jc w:val="left"/>
            </w:pPr>
            <w:r>
              <w:rPr>
                <w:b w:val="false"/>
                <w:bCs w:val="false"/>
                <w:color w:val="000000"/>
                <w:sz w:val="20"/>
                <w:szCs w:val="20"/>
              </w:rPr>
              <w:t xml:space="preserve">1</w:t>
            </w:r>
          </w:p>
        </w:tc>
        <w:tc>
          <w:tcPr>
            <w:tcW w:type="dxa" w:w="5800"/>
            <w:tcMar>
              <w:top w:type="dxa" w:w="80"/>
              <w:left w:type="dxa" w:w="100"/>
              <w:bottom w:type="dxa" w:w="80"/>
              <w:right w:type="dxa" w:w="100"/>
            </w:tcMar>
            <w:vAlign w:val="center"/>
          </w:tcPr>
          <w:p>
            <w:pPr>
              <w:jc w:val="left"/>
            </w:pPr>
            <w:r>
              <w:rPr>
                <w:b w:val="false"/>
                <w:bCs w:val="false"/>
                <w:color w:val="000000"/>
                <w:sz w:val="20"/>
                <w:szCs w:val="20"/>
              </w:rPr>
              <w:t xml:space="preserve">Azure Advisor — Overview</w:t>
            </w:r>
          </w:p>
        </w:tc>
        <w:tc>
          <w:tcPr>
            <w:tcW w:type="dxa" w:w="2000"/>
            <w:tcMar>
              <w:top w:type="dxa" w:w="80"/>
              <w:left w:type="dxa" w:w="100"/>
              <w:bottom w:type="dxa" w:w="80"/>
              <w:right w:type="dxa" w:w="100"/>
            </w:tcMar>
            <w:vAlign w:val="center"/>
          </w:tcPr>
          <w:p>
            <w:pPr>
              <w:jc w:val="left"/>
            </w:pPr>
            <w:r>
              <w:rPr>
                <w:b w:val="false"/>
                <w:bCs w:val="false"/>
                <w:color w:val="000000"/>
                <w:sz w:val="20"/>
                <w:szCs w:val="20"/>
              </w:rPr>
              <w:t xml:space="preserve">4</w:t>
            </w:r>
          </w:p>
        </w:tc>
      </w:tr>
      <w:tr>
        <w:trPr>
          <w:cantSplit/>
        </w:trPr>
        <w:tc>
          <w:tcPr>
            <w:tcW w:type="dxa" w:w="1200"/>
            <w:shd w:fill="F2F2F2" w:val="clear"/>
            <w:tcMar>
              <w:top w:type="dxa" w:w="80"/>
              <w:left w:type="dxa" w:w="100"/>
              <w:bottom w:type="dxa" w:w="80"/>
              <w:right w:type="dxa" w:w="100"/>
            </w:tcMar>
            <w:vAlign w:val="center"/>
          </w:tcPr>
          <w:p>
            <w:pPr>
              <w:jc w:val="left"/>
            </w:pPr>
            <w:r>
              <w:rPr>
                <w:b w:val="false"/>
                <w:bCs w:val="false"/>
                <w:color w:val="000000"/>
                <w:sz w:val="20"/>
                <w:szCs w:val="20"/>
              </w:rPr>
              <w:t xml:space="preserve">2</w:t>
            </w:r>
          </w:p>
        </w:tc>
        <w:tc>
          <w:tcPr>
            <w:tcW w:type="dxa" w:w="5800"/>
            <w:shd w:fill="F2F2F2" w:val="clear"/>
            <w:tcMar>
              <w:top w:type="dxa" w:w="80"/>
              <w:left w:type="dxa" w:w="100"/>
              <w:bottom w:type="dxa" w:w="80"/>
              <w:right w:type="dxa" w:w="100"/>
            </w:tcMar>
            <w:vAlign w:val="center"/>
          </w:tcPr>
          <w:p>
            <w:pPr>
              <w:jc w:val="left"/>
            </w:pPr>
            <w:r>
              <w:rPr>
                <w:b w:val="false"/>
                <w:bCs w:val="false"/>
                <w:color w:val="000000"/>
                <w:sz w:val="20"/>
                <w:szCs w:val="20"/>
              </w:rPr>
              <w:t xml:space="preserve">Azure Advisor — Advisor score</w:t>
            </w:r>
          </w:p>
        </w:tc>
        <w:tc>
          <w:tcPr>
            <w:tcW w:type="dxa" w:w="2000"/>
            <w:shd w:fill="F2F2F2" w:val="clear"/>
            <w:tcMar>
              <w:top w:type="dxa" w:w="80"/>
              <w:left w:type="dxa" w:w="100"/>
              <w:bottom w:type="dxa" w:w="80"/>
              <w:right w:type="dxa" w:w="100"/>
            </w:tcMar>
            <w:vAlign w:val="center"/>
          </w:tcPr>
          <w:p>
            <w:pPr>
              <w:jc w:val="left"/>
            </w:pPr>
            <w:r>
              <w:rPr>
                <w:b w:val="false"/>
                <w:bCs w:val="false"/>
                <w:color w:val="000000"/>
                <w:sz w:val="20"/>
                <w:szCs w:val="20"/>
              </w:rPr>
              <w:t xml:space="preserve">6.1</w:t>
            </w:r>
          </w:p>
        </w:tc>
      </w:tr>
      <w:tr>
        <w:trPr>
          <w:cantSplit/>
        </w:trPr>
        <w:tc>
          <w:tcPr>
            <w:tcW w:type="dxa" w:w="1200"/>
            <w:tcMar>
              <w:top w:type="dxa" w:w="80"/>
              <w:left w:type="dxa" w:w="100"/>
              <w:bottom w:type="dxa" w:w="80"/>
              <w:right w:type="dxa" w:w="100"/>
            </w:tcMar>
            <w:vAlign w:val="center"/>
          </w:tcPr>
          <w:p>
            <w:pPr>
              <w:jc w:val="left"/>
            </w:pPr>
            <w:r>
              <w:rPr>
                <w:b w:val="false"/>
                <w:bCs w:val="false"/>
                <w:color w:val="000000"/>
                <w:sz w:val="20"/>
                <w:szCs w:val="20"/>
              </w:rPr>
              <w:t xml:space="preserve">3</w:t>
            </w:r>
          </w:p>
        </w:tc>
        <w:tc>
          <w:tcPr>
            <w:tcW w:type="dxa" w:w="5800"/>
            <w:tcMar>
              <w:top w:type="dxa" w:w="80"/>
              <w:left w:type="dxa" w:w="100"/>
              <w:bottom w:type="dxa" w:w="80"/>
              <w:right w:type="dxa" w:w="100"/>
            </w:tcMar>
            <w:vAlign w:val="center"/>
          </w:tcPr>
          <w:p>
            <w:pPr>
              <w:jc w:val="left"/>
            </w:pPr>
            <w:r>
              <w:rPr>
                <w:b w:val="false"/>
                <w:bCs w:val="false"/>
                <w:color w:val="000000"/>
                <w:sz w:val="20"/>
                <w:szCs w:val="20"/>
              </w:rPr>
              <w:t xml:space="preserve">Azure Advisor — Cost-Audit recommendations</w:t>
            </w:r>
          </w:p>
        </w:tc>
        <w:tc>
          <w:tcPr>
            <w:tcW w:type="dxa" w:w="2000"/>
            <w:tcMar>
              <w:top w:type="dxa" w:w="80"/>
              <w:left w:type="dxa" w:w="100"/>
              <w:bottom w:type="dxa" w:w="80"/>
              <w:right w:type="dxa" w:w="100"/>
            </w:tcMar>
            <w:vAlign w:val="center"/>
          </w:tcPr>
          <w:p>
            <w:pPr>
              <w:jc w:val="left"/>
            </w:pPr>
            <w:r>
              <w:rPr>
                <w:b w:val="false"/>
                <w:bCs w:val="false"/>
                <w:color w:val="000000"/>
                <w:sz w:val="20"/>
                <w:szCs w:val="20"/>
              </w:rPr>
              <w:t xml:space="preserve">6.1</w:t>
            </w:r>
          </w:p>
        </w:tc>
      </w:tr>
      <w:tr>
        <w:trPr>
          <w:cantSplit/>
        </w:trPr>
        <w:tc>
          <w:tcPr>
            <w:tcW w:type="dxa" w:w="1200"/>
            <w:shd w:fill="F2F2F2" w:val="clear"/>
            <w:tcMar>
              <w:top w:type="dxa" w:w="80"/>
              <w:left w:type="dxa" w:w="100"/>
              <w:bottom w:type="dxa" w:w="80"/>
              <w:right w:type="dxa" w:w="100"/>
            </w:tcMar>
            <w:vAlign w:val="center"/>
          </w:tcPr>
          <w:p>
            <w:pPr>
              <w:jc w:val="left"/>
            </w:pPr>
            <w:r>
              <w:rPr>
                <w:b w:val="false"/>
                <w:bCs w:val="false"/>
                <w:color w:val="000000"/>
                <w:sz w:val="20"/>
                <w:szCs w:val="20"/>
              </w:rPr>
              <w:t xml:space="preserve">4</w:t>
            </w:r>
          </w:p>
        </w:tc>
        <w:tc>
          <w:tcPr>
            <w:tcW w:type="dxa" w:w="5800"/>
            <w:shd w:fill="F2F2F2" w:val="clear"/>
            <w:tcMar>
              <w:top w:type="dxa" w:w="80"/>
              <w:left w:type="dxa" w:w="100"/>
              <w:bottom w:type="dxa" w:w="80"/>
              <w:right w:type="dxa" w:w="100"/>
            </w:tcMar>
            <w:vAlign w:val="center"/>
          </w:tcPr>
          <w:p>
            <w:pPr>
              <w:jc w:val="left"/>
            </w:pPr>
            <w:r>
              <w:rPr>
                <w:b w:val="false"/>
                <w:bCs w:val="false"/>
                <w:color w:val="000000"/>
                <w:sz w:val="20"/>
                <w:szCs w:val="20"/>
              </w:rPr>
              <w:t xml:space="preserve">Cost Management — Cost analysis (Cost-Audit, Aug 2026)</w:t>
            </w:r>
          </w:p>
        </w:tc>
        <w:tc>
          <w:tcPr>
            <w:tcW w:type="dxa" w:w="2000"/>
            <w:shd w:fill="F2F2F2" w:val="clear"/>
            <w:tcMar>
              <w:top w:type="dxa" w:w="80"/>
              <w:left w:type="dxa" w:w="100"/>
              <w:bottom w:type="dxa" w:w="80"/>
              <w:right w:type="dxa" w:w="100"/>
            </w:tcMar>
            <w:vAlign w:val="center"/>
          </w:tcPr>
          <w:p>
            <w:pPr>
              <w:jc w:val="left"/>
            </w:pPr>
            <w:r>
              <w:rPr>
                <w:b w:val="false"/>
                <w:bCs w:val="false"/>
                <w:color w:val="000000"/>
                <w:sz w:val="20"/>
                <w:szCs w:val="20"/>
              </w:rPr>
              <w:t xml:space="preserve">6.2</w:t>
            </w:r>
          </w:p>
        </w:tc>
      </w:tr>
      <w:tr>
        <w:trPr>
          <w:cantSplit/>
        </w:trPr>
        <w:tc>
          <w:tcPr>
            <w:tcW w:type="dxa" w:w="1200"/>
            <w:tcMar>
              <w:top w:type="dxa" w:w="80"/>
              <w:left w:type="dxa" w:w="100"/>
              <w:bottom w:type="dxa" w:w="80"/>
              <w:right w:type="dxa" w:w="100"/>
            </w:tcMar>
            <w:vAlign w:val="center"/>
          </w:tcPr>
          <w:p>
            <w:pPr>
              <w:jc w:val="left"/>
            </w:pPr>
            <w:r>
              <w:rPr>
                <w:b w:val="false"/>
                <w:bCs w:val="false"/>
                <w:color w:val="000000"/>
                <w:sz w:val="20"/>
                <w:szCs w:val="20"/>
              </w:rPr>
              <w:t xml:space="preserve">5</w:t>
            </w:r>
          </w:p>
        </w:tc>
        <w:tc>
          <w:tcPr>
            <w:tcW w:type="dxa" w:w="5800"/>
            <w:tcMar>
              <w:top w:type="dxa" w:w="80"/>
              <w:left w:type="dxa" w:w="100"/>
              <w:bottom w:type="dxa" w:w="80"/>
              <w:right w:type="dxa" w:w="100"/>
            </w:tcMar>
            <w:vAlign w:val="center"/>
          </w:tcPr>
          <w:p>
            <w:pPr>
              <w:jc w:val="left"/>
            </w:pPr>
            <w:r>
              <w:rPr>
                <w:b w:val="false"/>
                <w:bCs w:val="false"/>
                <w:color w:val="000000"/>
                <w:sz w:val="20"/>
                <w:szCs w:val="20"/>
              </w:rPr>
              <w:t xml:space="preserve">vm-cost-audit-demo — Overview / size</w:t>
            </w:r>
          </w:p>
        </w:tc>
        <w:tc>
          <w:tcPr>
            <w:tcW w:type="dxa" w:w="2000"/>
            <w:tcMar>
              <w:top w:type="dxa" w:w="80"/>
              <w:left w:type="dxa" w:w="100"/>
              <w:bottom w:type="dxa" w:w="80"/>
              <w:right w:type="dxa" w:w="100"/>
            </w:tcMar>
            <w:vAlign w:val="center"/>
          </w:tcPr>
          <w:p>
            <w:pPr>
              <w:jc w:val="left"/>
            </w:pPr>
            <w:r>
              <w:rPr>
                <w:b w:val="false"/>
                <w:bCs w:val="false"/>
                <w:color w:val="000000"/>
                <w:sz w:val="20"/>
                <w:szCs w:val="20"/>
              </w:rPr>
              <w:t xml:space="preserve">6.3</w:t>
            </w:r>
          </w:p>
        </w:tc>
      </w:tr>
      <w:tr>
        <w:trPr>
          <w:cantSplit/>
        </w:trPr>
        <w:tc>
          <w:tcPr>
            <w:tcW w:type="dxa" w:w="1200"/>
            <w:shd w:fill="F2F2F2" w:val="clear"/>
            <w:tcMar>
              <w:top w:type="dxa" w:w="80"/>
              <w:left w:type="dxa" w:w="100"/>
              <w:bottom w:type="dxa" w:w="80"/>
              <w:right w:type="dxa" w:w="100"/>
            </w:tcMar>
            <w:vAlign w:val="center"/>
          </w:tcPr>
          <w:p>
            <w:pPr>
              <w:jc w:val="left"/>
            </w:pPr>
            <w:r>
              <w:rPr>
                <w:b w:val="false"/>
                <w:bCs w:val="false"/>
                <w:color w:val="000000"/>
                <w:sz w:val="20"/>
                <w:szCs w:val="20"/>
              </w:rPr>
              <w:t xml:space="preserve">6</w:t>
            </w:r>
          </w:p>
        </w:tc>
        <w:tc>
          <w:tcPr>
            <w:tcW w:type="dxa" w:w="5800"/>
            <w:shd w:fill="F2F2F2" w:val="clear"/>
            <w:tcMar>
              <w:top w:type="dxa" w:w="80"/>
              <w:left w:type="dxa" w:w="100"/>
              <w:bottom w:type="dxa" w:w="80"/>
              <w:right w:type="dxa" w:w="100"/>
            </w:tcMar>
            <w:vAlign w:val="center"/>
          </w:tcPr>
          <w:p>
            <w:pPr>
              <w:jc w:val="left"/>
            </w:pPr>
            <w:r>
              <w:rPr>
                <w:b w:val="false"/>
                <w:bCs w:val="false"/>
                <w:color w:val="000000"/>
                <w:sz w:val="20"/>
                <w:szCs w:val="20"/>
              </w:rPr>
              <w:t xml:space="preserve">vm-cost-audit-demo — Metrics (Avg % CPU)</w:t>
            </w:r>
          </w:p>
        </w:tc>
        <w:tc>
          <w:tcPr>
            <w:tcW w:type="dxa" w:w="2000"/>
            <w:shd w:fill="F2F2F2" w:val="clear"/>
            <w:tcMar>
              <w:top w:type="dxa" w:w="80"/>
              <w:left w:type="dxa" w:w="100"/>
              <w:bottom w:type="dxa" w:w="80"/>
              <w:right w:type="dxa" w:w="100"/>
            </w:tcMar>
            <w:vAlign w:val="center"/>
          </w:tcPr>
          <w:p>
            <w:pPr>
              <w:jc w:val="left"/>
            </w:pPr>
            <w:r>
              <w:rPr>
                <w:b w:val="false"/>
                <w:bCs w:val="false"/>
                <w:color w:val="000000"/>
                <w:sz w:val="20"/>
                <w:szCs w:val="20"/>
              </w:rPr>
              <w:t xml:space="preserve">6.3</w:t>
            </w:r>
          </w:p>
        </w:tc>
      </w:tr>
      <w:tr>
        <w:trPr>
          <w:cantSplit/>
        </w:trPr>
        <w:tc>
          <w:tcPr>
            <w:tcW w:type="dxa" w:w="1200"/>
            <w:tcMar>
              <w:top w:type="dxa" w:w="80"/>
              <w:left w:type="dxa" w:w="100"/>
              <w:bottom w:type="dxa" w:w="80"/>
              <w:right w:type="dxa" w:w="100"/>
            </w:tcMar>
            <w:vAlign w:val="center"/>
          </w:tcPr>
          <w:p>
            <w:pPr>
              <w:jc w:val="left"/>
            </w:pPr>
            <w:r>
              <w:rPr>
                <w:b w:val="false"/>
                <w:bCs w:val="false"/>
                <w:color w:val="000000"/>
                <w:sz w:val="20"/>
                <w:szCs w:val="20"/>
              </w:rPr>
              <w:t xml:space="preserve">7</w:t>
            </w:r>
          </w:p>
        </w:tc>
        <w:tc>
          <w:tcPr>
            <w:tcW w:type="dxa" w:w="5800"/>
            <w:tcMar>
              <w:top w:type="dxa" w:w="80"/>
              <w:left w:type="dxa" w:w="100"/>
              <w:bottom w:type="dxa" w:w="80"/>
              <w:right w:type="dxa" w:w="100"/>
            </w:tcMar>
            <w:vAlign w:val="center"/>
          </w:tcPr>
          <w:p>
            <w:pPr>
              <w:jc w:val="left"/>
            </w:pPr>
            <w:r>
              <w:rPr>
                <w:b w:val="false"/>
                <w:bCs w:val="false"/>
                <w:color w:val="000000"/>
                <w:sz w:val="20"/>
                <w:szCs w:val="20"/>
              </w:rPr>
              <w:t xml:space="preserve">vm-cost-audit-demo — Essentials (status)</w:t>
            </w:r>
          </w:p>
        </w:tc>
        <w:tc>
          <w:tcPr>
            <w:tcW w:type="dxa" w:w="2000"/>
            <w:tcMar>
              <w:top w:type="dxa" w:w="80"/>
              <w:left w:type="dxa" w:w="100"/>
              <w:bottom w:type="dxa" w:w="80"/>
              <w:right w:type="dxa" w:w="100"/>
            </w:tcMar>
            <w:vAlign w:val="center"/>
          </w:tcPr>
          <w:p>
            <w:pPr>
              <w:jc w:val="left"/>
            </w:pPr>
            <w:r>
              <w:rPr>
                <w:b w:val="false"/>
                <w:bCs w:val="false"/>
                <w:color w:val="000000"/>
                <w:sz w:val="20"/>
                <w:szCs w:val="20"/>
              </w:rPr>
              <w:t xml:space="preserve">6.3</w:t>
            </w:r>
          </w:p>
        </w:tc>
      </w:tr>
      <w:tr>
        <w:trPr>
          <w:cantSplit/>
        </w:trPr>
        <w:tc>
          <w:tcPr>
            <w:tcW w:type="dxa" w:w="1200"/>
            <w:shd w:fill="F2F2F2" w:val="clear"/>
            <w:tcMar>
              <w:top w:type="dxa" w:w="80"/>
              <w:left w:type="dxa" w:w="100"/>
              <w:bottom w:type="dxa" w:w="80"/>
              <w:right w:type="dxa" w:w="100"/>
            </w:tcMar>
            <w:vAlign w:val="center"/>
          </w:tcPr>
          <w:p>
            <w:pPr>
              <w:jc w:val="left"/>
            </w:pPr>
            <w:r>
              <w:rPr>
                <w:b w:val="false"/>
                <w:bCs w:val="false"/>
                <w:color w:val="000000"/>
                <w:sz w:val="20"/>
                <w:szCs w:val="20"/>
              </w:rPr>
              <w:t xml:space="preserve">8</w:t>
            </w:r>
          </w:p>
        </w:tc>
        <w:tc>
          <w:tcPr>
            <w:tcW w:type="dxa" w:w="5800"/>
            <w:shd w:fill="F2F2F2" w:val="clear"/>
            <w:tcMar>
              <w:top w:type="dxa" w:w="80"/>
              <w:left w:type="dxa" w:w="100"/>
              <w:bottom w:type="dxa" w:w="80"/>
              <w:right w:type="dxa" w:w="100"/>
            </w:tcMar>
            <w:vAlign w:val="center"/>
          </w:tcPr>
          <w:p>
            <w:pPr>
              <w:jc w:val="left"/>
            </w:pPr>
            <w:r>
              <w:rPr>
                <w:b w:val="false"/>
                <w:bCs w:val="false"/>
                <w:color w:val="000000"/>
                <w:sz w:val="20"/>
                <w:szCs w:val="20"/>
              </w:rPr>
              <w:t xml:space="preserve">storagecostaudit — Overview / essentials</w:t>
            </w:r>
          </w:p>
        </w:tc>
        <w:tc>
          <w:tcPr>
            <w:tcW w:type="dxa" w:w="2000"/>
            <w:shd w:fill="F2F2F2" w:val="clear"/>
            <w:tcMar>
              <w:top w:type="dxa" w:w="80"/>
              <w:left w:type="dxa" w:w="100"/>
              <w:bottom w:type="dxa" w:w="80"/>
              <w:right w:type="dxa" w:w="100"/>
            </w:tcMar>
            <w:vAlign w:val="center"/>
          </w:tcPr>
          <w:p>
            <w:pPr>
              <w:jc w:val="left"/>
            </w:pPr>
            <w:r>
              <w:rPr>
                <w:b w:val="false"/>
                <w:bCs w:val="false"/>
                <w:color w:val="000000"/>
                <w:sz w:val="20"/>
                <w:szCs w:val="20"/>
              </w:rPr>
              <w:t xml:space="preserve">6.4</w:t>
            </w:r>
          </w:p>
        </w:tc>
      </w:tr>
      <w:tr>
        <w:trPr>
          <w:cantSplit/>
        </w:trPr>
        <w:tc>
          <w:tcPr>
            <w:tcW w:type="dxa" w:w="1200"/>
            <w:tcMar>
              <w:top w:type="dxa" w:w="80"/>
              <w:left w:type="dxa" w:w="100"/>
              <w:bottom w:type="dxa" w:w="80"/>
              <w:right w:type="dxa" w:w="100"/>
            </w:tcMar>
            <w:vAlign w:val="center"/>
          </w:tcPr>
          <w:p>
            <w:pPr>
              <w:jc w:val="left"/>
            </w:pPr>
            <w:r>
              <w:rPr>
                <w:b w:val="false"/>
                <w:bCs w:val="false"/>
                <w:color w:val="000000"/>
                <w:sz w:val="20"/>
                <w:szCs w:val="20"/>
              </w:rPr>
              <w:t xml:space="preserve">9</w:t>
            </w:r>
          </w:p>
        </w:tc>
        <w:tc>
          <w:tcPr>
            <w:tcW w:type="dxa" w:w="5800"/>
            <w:tcMar>
              <w:top w:type="dxa" w:w="80"/>
              <w:left w:type="dxa" w:w="100"/>
              <w:bottom w:type="dxa" w:w="80"/>
              <w:right w:type="dxa" w:w="100"/>
            </w:tcMar>
            <w:vAlign w:val="center"/>
          </w:tcPr>
          <w:p>
            <w:pPr>
              <w:jc w:val="left"/>
            </w:pPr>
            <w:r>
              <w:rPr>
                <w:b w:val="false"/>
                <w:bCs w:val="false"/>
                <w:color w:val="000000"/>
                <w:sz w:val="20"/>
                <w:szCs w:val="20"/>
              </w:rPr>
              <w:t xml:space="preserve">storagecostaudit — Blob service &amp; security settings</w:t>
            </w:r>
          </w:p>
        </w:tc>
        <w:tc>
          <w:tcPr>
            <w:tcW w:type="dxa" w:w="2000"/>
            <w:tcMar>
              <w:top w:type="dxa" w:w="80"/>
              <w:left w:type="dxa" w:w="100"/>
              <w:bottom w:type="dxa" w:w="80"/>
              <w:right w:type="dxa" w:w="100"/>
            </w:tcMar>
            <w:vAlign w:val="center"/>
          </w:tcPr>
          <w:p>
            <w:pPr>
              <w:jc w:val="left"/>
            </w:pPr>
            <w:r>
              <w:rPr>
                <w:b w:val="false"/>
                <w:bCs w:val="false"/>
                <w:color w:val="000000"/>
                <w:sz w:val="20"/>
                <w:szCs w:val="20"/>
              </w:rPr>
              <w:t xml:space="preserve">6.4</w:t>
            </w:r>
          </w:p>
        </w:tc>
      </w:tr>
      <w:tr>
        <w:trPr>
          <w:cantSplit/>
        </w:trPr>
        <w:tc>
          <w:tcPr>
            <w:tcW w:type="dxa" w:w="1200"/>
            <w:shd w:fill="F2F2F2" w:val="clear"/>
            <w:tcMar>
              <w:top w:type="dxa" w:w="80"/>
              <w:left w:type="dxa" w:w="100"/>
              <w:bottom w:type="dxa" w:w="80"/>
              <w:right w:type="dxa" w:w="100"/>
            </w:tcMar>
            <w:vAlign w:val="center"/>
          </w:tcPr>
          <w:p>
            <w:pPr>
              <w:jc w:val="left"/>
            </w:pPr>
            <w:r>
              <w:rPr>
                <w:b w:val="false"/>
                <w:bCs w:val="false"/>
                <w:color w:val="000000"/>
                <w:sz w:val="20"/>
                <w:szCs w:val="20"/>
              </w:rPr>
              <w:t xml:space="preserve">10</w:t>
            </w:r>
          </w:p>
        </w:tc>
        <w:tc>
          <w:tcPr>
            <w:tcW w:type="dxa" w:w="5800"/>
            <w:shd w:fill="F2F2F2" w:val="clear"/>
            <w:tcMar>
              <w:top w:type="dxa" w:w="80"/>
              <w:left w:type="dxa" w:w="100"/>
              <w:bottom w:type="dxa" w:w="80"/>
              <w:right w:type="dxa" w:w="100"/>
            </w:tcMar>
            <w:vAlign w:val="center"/>
          </w:tcPr>
          <w:p>
            <w:pPr>
              <w:jc w:val="left"/>
            </w:pPr>
            <w:r>
              <w:rPr>
                <w:b w:val="false"/>
                <w:bCs w:val="false"/>
                <w:color w:val="000000"/>
                <w:sz w:val="20"/>
                <w:szCs w:val="20"/>
              </w:rPr>
              <w:t xml:space="preserve">orphan-disk-demo — Overview / essentials</w:t>
            </w:r>
          </w:p>
        </w:tc>
        <w:tc>
          <w:tcPr>
            <w:tcW w:type="dxa" w:w="2000"/>
            <w:shd w:fill="F2F2F2" w:val="clear"/>
            <w:tcMar>
              <w:top w:type="dxa" w:w="80"/>
              <w:left w:type="dxa" w:w="100"/>
              <w:bottom w:type="dxa" w:w="80"/>
              <w:right w:type="dxa" w:w="100"/>
            </w:tcMar>
            <w:vAlign w:val="center"/>
          </w:tcPr>
          <w:p>
            <w:pPr>
              <w:jc w:val="left"/>
            </w:pPr>
            <w:r>
              <w:rPr>
                <w:b w:val="false"/>
                <w:bCs w:val="false"/>
                <w:color w:val="000000"/>
                <w:sz w:val="20"/>
                <w:szCs w:val="20"/>
              </w:rPr>
              <w:t xml:space="preserve">6.5</w:t>
            </w:r>
          </w:p>
        </w:tc>
      </w:tr>
      <w:tr>
        <w:trPr>
          <w:cantSplit/>
        </w:trPr>
        <w:tc>
          <w:tcPr>
            <w:tcW w:type="dxa" w:w="1200"/>
            <w:tcMar>
              <w:top w:type="dxa" w:w="80"/>
              <w:left w:type="dxa" w:w="100"/>
              <w:bottom w:type="dxa" w:w="80"/>
              <w:right w:type="dxa" w:w="100"/>
            </w:tcMar>
            <w:vAlign w:val="center"/>
          </w:tcPr>
          <w:p>
            <w:pPr>
              <w:jc w:val="left"/>
            </w:pPr>
            <w:r>
              <w:rPr>
                <w:b w:val="false"/>
                <w:bCs w:val="false"/>
                <w:color w:val="000000"/>
                <w:sz w:val="20"/>
                <w:szCs w:val="20"/>
              </w:rPr>
              <w:t xml:space="preserve">11</w:t>
            </w:r>
          </w:p>
        </w:tc>
        <w:tc>
          <w:tcPr>
            <w:tcW w:type="dxa" w:w="5800"/>
            <w:tcMar>
              <w:top w:type="dxa" w:w="80"/>
              <w:left w:type="dxa" w:w="100"/>
              <w:bottom w:type="dxa" w:w="80"/>
              <w:right w:type="dxa" w:w="100"/>
            </w:tcMar>
            <w:vAlign w:val="center"/>
          </w:tcPr>
          <w:p>
            <w:pPr>
              <w:jc w:val="left"/>
            </w:pPr>
            <w:r>
              <w:rPr>
                <w:b w:val="false"/>
                <w:bCs w:val="false"/>
                <w:color w:val="000000"/>
                <w:sz w:val="20"/>
                <w:szCs w:val="20"/>
              </w:rPr>
              <w:t xml:space="preserve">orphan-disk-demo — Size, performance, encryption</w:t>
            </w:r>
          </w:p>
        </w:tc>
        <w:tc>
          <w:tcPr>
            <w:tcW w:type="dxa" w:w="2000"/>
            <w:tcMar>
              <w:top w:type="dxa" w:w="80"/>
              <w:left w:type="dxa" w:w="100"/>
              <w:bottom w:type="dxa" w:w="80"/>
              <w:right w:type="dxa" w:w="100"/>
            </w:tcMar>
            <w:vAlign w:val="center"/>
          </w:tcPr>
          <w:p>
            <w:pPr>
              <w:jc w:val="left"/>
            </w:pPr>
            <w:r>
              <w:rPr>
                <w:b w:val="false"/>
                <w:bCs w:val="false"/>
                <w:color w:val="000000"/>
                <w:sz w:val="20"/>
                <w:szCs w:val="20"/>
              </w:rPr>
              <w:t xml:space="preserve">6.5</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r>
    <w:r>
      <w:rPr>
        <w:color w:val="595959"/>
        <w:sz w:val="16"/>
        <w:szCs w:val="16"/>
      </w:rPr>
      <w:fldChar w:fldCharType="begin"/>
      <w:instrText xml:space="preserve">PAGE</w:instrText>
      <w:fldChar w:fldCharType="separate"/>
      <w:fldChar w:fldCharType="end"/>
    </w:r>
    <w:r>
      <w:rPr>
        <w:color w:val="595959"/>
        <w:sz w:val="16"/>
        <w:szCs w:val="16"/>
      </w:rPr>
      <w:t xml:space="preserve"> of </w:t>
    </w:r>
    <w:r>
      <w:rPr>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Cloud Cost Optimization Audit — Cost-Audit Resource Group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240d86d62dcdac7508de76ad371e6761a8e209e.png"/><Relationship Id="rId10" Type="http://schemas.openxmlformats.org/officeDocument/2006/relationships/image" Target="media/8a93c77edd56a3e7cc48a7a7ae7d1387b447601c.png"/><Relationship Id="rId11" Type="http://schemas.openxmlformats.org/officeDocument/2006/relationships/image" Target="media/0490041a8873cf588e47afb84c217b748fd17136.png"/><Relationship Id="rId12" Type="http://schemas.openxmlformats.org/officeDocument/2006/relationships/image" Target="media/c5b5c19ff6e3c8ad26ec098f80b9d1283d892905.png"/><Relationship Id="rId13" Type="http://schemas.openxmlformats.org/officeDocument/2006/relationships/image" Target="media/4383374b369720507fe8c4e4650c06b22f6b378c.png"/><Relationship Id="rId14" Type="http://schemas.openxmlformats.org/officeDocument/2006/relationships/image" Target="media/10570808867c49ce6cd220af66d1a576e96ce158.png"/><Relationship Id="rId15" Type="http://schemas.openxmlformats.org/officeDocument/2006/relationships/image" Target="media/dbdbcf22b1ca84cd5576d151c0631b095881fdf8.png"/><Relationship Id="rId16" Type="http://schemas.openxmlformats.org/officeDocument/2006/relationships/image" Target="media/09183c331d8e7acbe1cd476e892d35f46b432dbd.png"/><Relationship Id="rId17" Type="http://schemas.openxmlformats.org/officeDocument/2006/relationships/image" Target="media/6b69a2606e465e15793cdd5bf56814bb861b4cb5.png"/><Relationship Id="rId18" Type="http://schemas.openxmlformats.org/officeDocument/2006/relationships/image" Target="media/0fbbc9cefabce3ce50958932c6fe938a607f932b.png"/><Relationship Id="rId19" Type="http://schemas.openxmlformats.org/officeDocument/2006/relationships/image" Target="media/aba9287ff8d4334ac0c5b8bf108e56a12d8cf428.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2026-08-14T11:15:58.072Z</dcterms:created>
  <dcterms:modified xsi:type="dcterms:W3CDTF">2026-08-14T11:15:58.072Z</dcterms:modified>
</cp:coreProperties>
</file>

<file path=docProps/custom.xml><?xml version="1.0" encoding="utf-8"?>
<Properties xmlns="http://schemas.openxmlformats.org/officeDocument/2006/custom-properties" xmlns:vt="http://schemas.openxmlformats.org/officeDocument/2006/docPropsVTypes"/>
</file>