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Name: Michael Puckett</w:t>
      </w:r>
    </w:p>
    <w:p>
      <w:pPr>
        <w:pStyle w:val="Normal"/>
        <w:bidi w:val="0"/>
        <w:spacing w:lineRule="auto" w:line="480"/>
        <w:jc w:val="start"/>
        <w:rPr>
          <w:rFonts w:ascii="Times New Roman" w:hAnsi="Times New Roman"/>
        </w:rPr>
      </w:pPr>
      <w:r>
        <w:rPr>
          <w:rFonts w:ascii="Times New Roman" w:hAnsi="Times New Roman"/>
        </w:rPr>
        <w:t xml:space="preserve">Date: </w:t>
      </w:r>
      <w:r>
        <w:rPr>
          <w:rFonts w:ascii="Times New Roman" w:hAnsi="Times New Roman"/>
        </w:rPr>
        <w:t>2026Oct17</w:t>
      </w:r>
    </w:p>
    <w:p>
      <w:pPr>
        <w:pStyle w:val="Normal"/>
        <w:bidi w:val="0"/>
        <w:spacing w:lineRule="auto" w:line="480"/>
        <w:jc w:val="start"/>
        <w:rPr>
          <w:rFonts w:ascii="Times New Roman" w:hAnsi="Times New Roman"/>
        </w:rPr>
      </w:pPr>
      <w:r>
        <w:rPr>
          <w:rFonts w:ascii="Times New Roman" w:hAnsi="Times New Roman"/>
        </w:rPr>
        <w:t>Class: CS-410</w:t>
      </w:r>
    </w:p>
    <w:p>
      <w:pPr>
        <w:pStyle w:val="Normal"/>
        <w:bidi w:val="0"/>
        <w:spacing w:lineRule="auto" w:line="480"/>
        <w:jc w:val="start"/>
        <w:rPr>
          <w:rFonts w:ascii="Times New Roman" w:hAnsi="Times New Roman"/>
        </w:rPr>
      </w:pPr>
      <w:r>
        <w:rPr>
          <w:rFonts w:ascii="Times New Roman" w:hAnsi="Times New Roman"/>
        </w:rPr>
        <w:t>Assignment: Module Seven Journal</w:t>
      </w:r>
    </w:p>
    <w:p>
      <w:pPr>
        <w:pStyle w:val="Normal"/>
        <w:bidi w:val="0"/>
        <w:spacing w:lineRule="auto" w:line="480"/>
        <w:jc w:val="start"/>
        <w:rPr>
          <w:rFonts w:ascii="Times New Roman" w:hAnsi="Times New Roman"/>
        </w:rPr>
      </w:pPr>
      <w:r>
        <w:rPr>
          <w:rFonts w:ascii="Times New Roman" w:hAnsi="Times New Roman"/>
        </w:rPr>
        <w:tab/>
        <w:t>The Digital Millennium Copyright Act of 1998 updated copyright for digital copies and carried out the WIPO Copyright Treaty (World Intellectual Property Organization, 1996). The access-control rules were meant to protect the lock on a work, not only to punish copying after the lock was off (Digital Millennium Copyright Act [DMCA], 1998). A publisher that could rely on a technical control would be more willing to sell software, music, and film online.</w:t>
      </w:r>
    </w:p>
    <w:p>
      <w:pPr>
        <w:pStyle w:val="Normal"/>
        <w:bidi w:val="0"/>
        <w:spacing w:lineRule="auto" w:line="480"/>
        <w:jc w:val="start"/>
        <w:rPr>
          <w:rFonts w:ascii="Times New Roman" w:hAnsi="Times New Roman"/>
        </w:rPr>
      </w:pPr>
      <w:r>
        <w:rPr>
          <w:rFonts w:ascii="Times New Roman" w:hAnsi="Times New Roman"/>
        </w:rPr>
        <w:tab/>
        <w:t>Those rules are in 17 U.S.C. § 1201, and they are narrower than a ban on reverse engineering in general (DMCA, 1998). Section 1201(a)(1) prohibits circumventing a technological measure that controls access to a copyrighted work. Sections 1201(a)(2) and 1201(b) prohibit making or offering a tool or service for that circumvention. A person can violate the section without distributing a copied program. A willful violation for commercial advantage or private financial gain can be criminal under 17 U.S.C. § 1204. Reading code that was never behind an access control, or using a program under its license, is not what § 1201 bans.</w:t>
      </w:r>
    </w:p>
    <w:p>
      <w:pPr>
        <w:pStyle w:val="Normal"/>
        <w:bidi w:val="0"/>
        <w:spacing w:lineRule="auto" w:line="480"/>
        <w:jc w:val="start"/>
        <w:rPr>
          <w:rFonts w:ascii="Times New Roman" w:hAnsi="Times New Roman"/>
        </w:rPr>
      </w:pPr>
      <w:r>
        <w:rPr>
          <w:rFonts w:ascii="Times New Roman" w:hAnsi="Times New Roman"/>
        </w:rPr>
        <w:t>It is treated as an anti-reverse engineering law because reaching the code often means getting past a control first. A packed binary, a license check, or encrypted firmware is the kind of measure § 1201 is written around (DMCA, 1998). Section 1201(c)(1) keeps fair use as a defense to infringement. The circumvention ban is still its own violation, and offering the bypass to other people is a separate trafficking violation under §§ 1201(a)(2) and 1201(b). The law is about the method, so it reaches reverse engineering even when the goal was to understand the program rather than to copy it.</w:t>
      </w:r>
    </w:p>
    <w:p>
      <w:pPr>
        <w:pStyle w:val="Normal"/>
        <w:bidi w:val="0"/>
        <w:spacing w:lineRule="auto" w:line="480"/>
        <w:jc w:val="start"/>
        <w:rPr>
          <w:rFonts w:ascii="Times New Roman" w:hAnsi="Times New Roman"/>
        </w:rPr>
      </w:pPr>
      <w:r>
        <w:rPr>
          <w:rFonts w:ascii="Times New Roman" w:hAnsi="Times New Roman"/>
        </w:rPr>
        <w:tab/>
        <w:t>The statute leaves room for some reverse engineering, and those are the cases that are both legal and ethical. Section 1201(f) allows a person who lawfully obtained the right to use a program to circumvent an access control for the sole purpose of interoperability with an independently created program, when that does not infringe (DMCA, 1998). Section 1201(g) permits good-faith encryption research on a copy the person lawfully obtained, after trying to get authorization. Section 1201(j) permits good-faith security testing with the owner's authorization. Section 1201(a)(1)(C) also tells the Librarian of Congress to reconsider exemptions every three years. The binaries in this course were supplied for us to examine, which fits the same idea: lawful possession, and a reason other than piracy.</w:t>
      </w:r>
    </w:p>
    <w:p>
      <w:pPr>
        <w:pStyle w:val="Normal"/>
        <w:bidi w:val="0"/>
        <w:spacing w:lineRule="auto" w:line="480"/>
        <w:jc w:val="start"/>
        <w:rPr>
          <w:rFonts w:ascii="Times New Roman" w:hAnsi="Times New Roman"/>
        </w:rPr>
      </w:pPr>
      <w:r>
        <w:rPr>
          <w:rFonts w:ascii="Times New Roman" w:hAnsi="Times New Roman"/>
        </w:rPr>
        <w:tab/>
        <w:t>The long-term cost shows up in research more than in piracy. Determined copying did not stop. Publishing a teardown of a locked product is harder, because a § 1201 exemption is narrow and the three-year rule can take it back (DMCA, 1998). Interoperability is slower when the safe path is to ask the vendor, and the vendor can refuse. Reading a binary is not illegal. Using that skill on a locked product, without one of those exceptions, is a legal question before it is a technical one. I would keep the rule aimed at access controls, and I would keep the security and interoperability exceptions wide enough that a good-faith look at a system is not a crime.</w:t>
      </w:r>
    </w:p>
    <w:p>
      <w:pPr>
        <w:pStyle w:val="Normal"/>
        <w:bidi w:val="0"/>
        <w:spacing w:lineRule="auto" w:line="480"/>
        <w:jc w:val="center"/>
        <w:rPr>
          <w:rFonts w:ascii="Times New Roman" w:hAnsi="Times New Roman"/>
        </w:rPr>
      </w:pPr>
      <w:r>
        <w:rPr>
          <w:rFonts w:ascii="Times New Roman" w:hAnsi="Times New Roman"/>
          <w:b/>
        </w:rPr>
        <w:t>References</w:t>
      </w:r>
    </w:p>
    <w:p>
      <w:pPr>
        <w:pStyle w:val="Normal"/>
        <w:bidi w:val="0"/>
        <w:spacing w:lineRule="auto" w:line="480"/>
        <w:ind w:hanging="720" w:start="720"/>
        <w:jc w:val="start"/>
        <w:rPr>
          <w:rFonts w:ascii="Times New Roman" w:hAnsi="Times New Roman"/>
        </w:rPr>
      </w:pPr>
      <w:r>
        <w:rPr>
          <w:rFonts w:ascii="Times New Roman" w:hAnsi="Times New Roman"/>
        </w:rPr>
        <w:t>Digital Millennium Copyright Act of 1998, 17 U.S.C. §§ 1201–1204 (1998). https://www.copyright.gov/title17/92chap12.html</w:t>
      </w:r>
    </w:p>
    <w:p>
      <w:pPr>
        <w:pStyle w:val="Normal"/>
        <w:bidi w:val="0"/>
        <w:spacing w:lineRule="auto" w:line="480"/>
        <w:ind w:hanging="720" w:start="720"/>
        <w:jc w:val="start"/>
        <w:rPr>
          <w:rFonts w:ascii="Times New Roman" w:hAnsi="Times New Roman"/>
        </w:rPr>
      </w:pPr>
      <w:r>
        <w:rPr>
          <w:rFonts w:ascii="Times New Roman" w:hAnsi="Times New Roman"/>
        </w:rPr>
        <w:t xml:space="preserve">World Intellectual Property Organization. (1996). </w:t>
      </w:r>
      <w:r>
        <w:rPr>
          <w:rFonts w:ascii="Times New Roman" w:hAnsi="Times New Roman"/>
          <w:i/>
        </w:rPr>
        <w:t>WIPO Copyright Treaty</w:t>
      </w:r>
      <w:r>
        <w:rPr>
          <w:rFonts w:ascii="Times New Roman" w:hAnsi="Times New Roman"/>
        </w:rPr>
        <w:t>. https://www.wipo.int/wipolex/en/treaties/textdetails/12740</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LibreOffice/26.2.5.2$MacOSX_AARCH64 LibreOffice_project/cd7284b4cbbfeb507e630c1aac019f4157393acb</Application>
  <AppVersion>15.0000</AppVersion>
  <Pages>2</Pages>
  <Words>548</Words>
  <Characters>2944</Characters>
  <CharactersWithSpaces>3483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2026-08-02T22:22:34Z</dcterms:created>
  <dc:creator/>
  <dc:description/>
  <dc:language>en-US</dc:language>
  <cp:lastModifiedBy/>
  <dcterms:modified xsi:type="dcterms:W3CDTF">2026-10-17T10:28:53Z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